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805" w:rsidRPr="00BF72E4" w:rsidRDefault="00994653">
      <w:pPr>
        <w:pStyle w:val="2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Xfdc228205d289f7802beaeab6ec18f0d711d323"/>
      <w:bookmarkStart w:id="1" w:name="supplementary-data"/>
      <w:bookmarkStart w:id="2" w:name="_GoBack"/>
      <w:r w:rsidRPr="00F704CF">
        <w:rPr>
          <w:rFonts w:ascii="Times New Roman" w:hAnsi="Times New Roman" w:cs="Times New Roman"/>
          <w:b/>
          <w:color w:val="auto"/>
          <w:sz w:val="20"/>
          <w:szCs w:val="20"/>
        </w:rPr>
        <w:t>Supplementary Table S1</w:t>
      </w:r>
      <w:bookmarkEnd w:id="2"/>
      <w:r w:rsidRPr="00BF72E4">
        <w:rPr>
          <w:rFonts w:ascii="Times New Roman" w:hAnsi="Times New Roman" w:cs="Times New Roman"/>
          <w:color w:val="auto"/>
          <w:sz w:val="20"/>
          <w:szCs w:val="20"/>
        </w:rPr>
        <w:t>. Analyte-specific autoverification parameter ranges (October 2024 – April 2025)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101"/>
        <w:gridCol w:w="992"/>
        <w:gridCol w:w="1559"/>
        <w:gridCol w:w="1135"/>
        <w:gridCol w:w="1134"/>
        <w:gridCol w:w="1559"/>
        <w:gridCol w:w="1376"/>
      </w:tblGrid>
      <w:tr w:rsidR="000633AA" w:rsidRPr="00BF72E4" w:rsidTr="00063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22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Analyte</w:t>
            </w:r>
          </w:p>
        </w:tc>
        <w:tc>
          <w:tcPr>
            <w:tcW w:w="560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Unit</w:t>
            </w:r>
          </w:p>
        </w:tc>
        <w:tc>
          <w:tcPr>
            <w:tcW w:w="880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Autoverifica-tion Range</w:t>
            </w:r>
          </w:p>
        </w:tc>
        <w:tc>
          <w:tcPr>
            <w:tcW w:w="641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Critical Value</w:t>
            </w:r>
          </w:p>
        </w:tc>
        <w:tc>
          <w:tcPr>
            <w:tcW w:w="640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History Window</w:t>
            </w:r>
          </w:p>
        </w:tc>
        <w:tc>
          <w:tcPr>
            <w:tcW w:w="880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Delta Check Limit</w:t>
            </w:r>
          </w:p>
        </w:tc>
        <w:tc>
          <w:tcPr>
            <w:tcW w:w="777" w:type="pct"/>
            <w:tcBorders>
              <w:top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Total Tests (n)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TP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50–90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±15%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252,344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ALB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20–60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±15%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252,578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ALT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1–300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118,883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AST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1–300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90,193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TBIL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1–100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&gt;257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257,148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DBIL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0.1–20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157,399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100–400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55,365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HBDH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50–200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7,181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GGT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5–250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14,027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2,000–18,000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11,873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4–24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11,875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ALP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30–400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14,013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TBA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0.01–50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15,214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UREA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1–12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53,887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UREA (Nephrology)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1–30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CREA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20–442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&gt;442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107,693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CREA (Nephrology)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20–1,000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&gt;1,000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30–800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49,575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CYSC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0.5–5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23,117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CYSC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5–15 (CREA&gt;442)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3–11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Neonatal: &lt;1.7 or &gt;16.6Adult: &lt;2.8 or &gt;24.75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93,220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GLU (Diabetes)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3–24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TG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0.1–8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37,285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HDL-C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0.5–2.5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74,190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LDL-C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74,238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TC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1–8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74,234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APOA1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0.3–2.6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APOB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0.2–2.4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3,798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LPA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0–1,000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±15%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3,799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Potassium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3.2–5.5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&lt;3.0 or &gt;6.5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±10%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35,815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134–150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 xml:space="preserve">&lt;120 </w:t>
            </w:r>
            <w:r w:rsidRPr="00BF72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 &gt;160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24,916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CL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95–114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12,866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CO₂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18–33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11,059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1.87–2.77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&lt;1.75 or &gt;3.5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±15%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24,798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0.77–2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3,886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0.68–1.2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3,354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20–500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4,299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CK-MB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U/L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0–25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4,175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HCY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μmol/L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0–25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±20%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3,747</w:t>
            </w:r>
          </w:p>
        </w:tc>
      </w:tr>
      <w:tr w:rsidR="000633AA" w:rsidRPr="00BF72E4" w:rsidTr="000633AA">
        <w:tc>
          <w:tcPr>
            <w:tcW w:w="622" w:type="pct"/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56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IU/mL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0–20</w:t>
            </w:r>
          </w:p>
        </w:tc>
        <w:tc>
          <w:tcPr>
            <w:tcW w:w="641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</w:tc>
      </w:tr>
      <w:tr w:rsidR="000633AA" w:rsidRPr="00BF72E4" w:rsidTr="000633AA">
        <w:tc>
          <w:tcPr>
            <w:tcW w:w="622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ASO</w:t>
            </w:r>
          </w:p>
        </w:tc>
        <w:tc>
          <w:tcPr>
            <w:tcW w:w="560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IU/mL</w:t>
            </w:r>
          </w:p>
        </w:tc>
        <w:tc>
          <w:tcPr>
            <w:tcW w:w="880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0–200</w:t>
            </w:r>
          </w:p>
        </w:tc>
        <w:tc>
          <w:tcPr>
            <w:tcW w:w="641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40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 d</w:t>
            </w:r>
          </w:p>
        </w:tc>
        <w:tc>
          <w:tcPr>
            <w:tcW w:w="880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±30%</w:t>
            </w:r>
          </w:p>
        </w:tc>
        <w:tc>
          <w:tcPr>
            <w:tcW w:w="777" w:type="pct"/>
            <w:tcBorders>
              <w:bottom w:val="single" w:sz="8" w:space="0" w:color="auto"/>
            </w:tcBorders>
          </w:tcPr>
          <w:p w:rsidR="000633AA" w:rsidRPr="00BF72E4" w:rsidRDefault="000633A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1,348</w:t>
            </w:r>
          </w:p>
        </w:tc>
      </w:tr>
    </w:tbl>
    <w:p w:rsidR="00C579D4" w:rsidRPr="00BF72E4" w:rsidRDefault="00994653">
      <w:pPr>
        <w:pStyle w:val="a0"/>
        <w:rPr>
          <w:rFonts w:ascii="Times New Roman" w:hAnsi="Times New Roman" w:cs="Times New Roman"/>
          <w:sz w:val="20"/>
          <w:szCs w:val="20"/>
        </w:rPr>
      </w:pPr>
      <w:r w:rsidRPr="00BF72E4">
        <w:rPr>
          <w:rFonts w:ascii="Times New Roman" w:hAnsi="Times New Roman" w:cs="Times New Roman"/>
          <w:sz w:val="20"/>
          <w:szCs w:val="20"/>
        </w:rPr>
        <w:t>Note: “—” indicates not applicable. Pass rates for UREA (Nephrology), CREA (Nephrology), CYSC (CREA&gt;442), GLU (Diabetes), and other population-specific configurations are not reported separately.</w:t>
      </w:r>
      <w:r w:rsidR="000633AA" w:rsidRPr="00BF72E4">
        <w:rPr>
          <w:rFonts w:ascii="Times New Roman" w:hAnsi="Times New Roman" w:cs="Times New Roman"/>
          <w:sz w:val="20"/>
          <w:szCs w:val="20"/>
        </w:rPr>
        <w:t xml:space="preserve"> Abbreviations: ADA, Adenosine deaminase; ALB, Albumin; ALP, Alkaline phosphatase; ALT, Alanine aminotransferase; APOA1, Apolipoprotein A1; APOB, Apolipoprotein B; ASO, Antistreptolysin O; AST, Aspartate aminotransferase; CA, Calcium; CHE, Cholinesterase; CK, Creatine kinase; CK-MB, Creatine kinase-MB isoenzyme; CL, Chloride; CO₂, Carbon dioxide; CREA, Creatinine; CYSC, Cystatin C; DBIL, Direct bilirubin; GGT, Gamma-glutamyl transferase; GLU, Glucose; HBDH, Hydroxybutyrate dehydrogenase; HCY, Homocysteine; HDL-C, High-density lipoprotein cholesterol; LDH, Lactate dehydrogenase; LDL-C, Low-density lipoprotein cholesterol; LPA, Lipoprotein (a); MG, Magnesium; NA, Sodium; P, Phosphorus; RF, Rheumatoid factor; TBA, Total bile acids; TBIL, Total bilirubin; TC, Total cholesterol; TG, Triglycerides; TP, Total protein; UA, Uric acid; UREA, Urea.</w:t>
      </w:r>
    </w:p>
    <w:p w:rsidR="00C579D4" w:rsidRPr="00BF72E4" w:rsidRDefault="00C579D4" w:rsidP="00C579D4">
      <w:pPr>
        <w:pStyle w:val="a0"/>
        <w:rPr>
          <w:sz w:val="20"/>
          <w:szCs w:val="20"/>
        </w:rPr>
        <w:sectPr w:rsidR="00C579D4" w:rsidRPr="00BF72E4" w:rsidSect="000633AA">
          <w:footnotePr>
            <w:numRestart w:val="eachSect"/>
          </w:footnotePr>
          <w:pgSz w:w="12240" w:h="15840"/>
          <w:pgMar w:top="1440" w:right="1800" w:bottom="1440" w:left="1800" w:header="720" w:footer="720" w:gutter="0"/>
          <w:cols w:space="720"/>
          <w:docGrid w:linePitch="326"/>
        </w:sectPr>
      </w:pPr>
      <w:r w:rsidRPr="00BF72E4">
        <w:rPr>
          <w:sz w:val="20"/>
          <w:szCs w:val="20"/>
        </w:rPr>
        <w:br w:type="page"/>
      </w:r>
    </w:p>
    <w:p w:rsidR="00C579D4" w:rsidRPr="00BF72E4" w:rsidRDefault="00C579D4" w:rsidP="00C579D4">
      <w:pPr>
        <w:pStyle w:val="a0"/>
        <w:rPr>
          <w:sz w:val="20"/>
          <w:szCs w:val="20"/>
        </w:rPr>
      </w:pPr>
    </w:p>
    <w:p w:rsidR="00643805" w:rsidRPr="00BF72E4" w:rsidRDefault="00643805">
      <w:pPr>
        <w:pStyle w:val="a0"/>
        <w:rPr>
          <w:rFonts w:ascii="Times New Roman" w:hAnsi="Times New Roman" w:cs="Times New Roman"/>
          <w:sz w:val="20"/>
          <w:szCs w:val="20"/>
        </w:rPr>
      </w:pPr>
    </w:p>
    <w:p w:rsidR="00643805" w:rsidRPr="00BF72E4" w:rsidRDefault="00994653">
      <w:pPr>
        <w:pStyle w:val="2"/>
        <w:rPr>
          <w:rFonts w:ascii="Times New Roman" w:hAnsi="Times New Roman" w:cs="Times New Roman"/>
          <w:color w:val="auto"/>
          <w:sz w:val="20"/>
          <w:szCs w:val="20"/>
        </w:rPr>
      </w:pPr>
      <w:bookmarkStart w:id="3" w:name="X3b0dba00dfa7bf3ba7000e490667dd35381eb62"/>
      <w:bookmarkEnd w:id="0"/>
      <w:r w:rsidRPr="00BF72E4">
        <w:rPr>
          <w:rFonts w:ascii="Times New Roman" w:hAnsi="Times New Roman" w:cs="Times New Roman"/>
          <w:b/>
          <w:color w:val="auto"/>
          <w:sz w:val="20"/>
          <w:szCs w:val="20"/>
        </w:rPr>
        <w:t>Supplementary Table S2.</w:t>
      </w:r>
      <w:r w:rsidRPr="00BF72E4">
        <w:rPr>
          <w:rFonts w:ascii="Times New Roman" w:hAnsi="Times New Roman" w:cs="Times New Roman"/>
          <w:color w:val="auto"/>
          <w:sz w:val="20"/>
          <w:szCs w:val="20"/>
        </w:rPr>
        <w:t xml:space="preserve"> Classification of intercepted samples during autoverification system validation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871"/>
        <w:gridCol w:w="1682"/>
        <w:gridCol w:w="1417"/>
        <w:gridCol w:w="886"/>
      </w:tblGrid>
      <w:tr w:rsidR="00994653" w:rsidRPr="00BF72E4" w:rsidTr="00BA6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356" w:type="dxa"/>
            <w:tcBorders>
              <w:top w:val="single" w:sz="8" w:space="0" w:color="auto"/>
            </w:tcBorders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Interception Reason</w:t>
            </w:r>
          </w:p>
        </w:tc>
        <w:tc>
          <w:tcPr>
            <w:tcW w:w="1504" w:type="dxa"/>
            <w:tcBorders>
              <w:top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Intercepted Samples</w:t>
            </w:r>
          </w:p>
        </w:tc>
        <w:tc>
          <w:tcPr>
            <w:tcW w:w="1267" w:type="dxa"/>
            <w:tcBorders>
              <w:top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% of Intercepted</w:t>
            </w:r>
          </w:p>
        </w:tc>
        <w:tc>
          <w:tcPr>
            <w:tcW w:w="792" w:type="dxa"/>
            <w:tcBorders>
              <w:top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/>
                <w:sz w:val="20"/>
                <w:szCs w:val="20"/>
              </w:rPr>
              <w:t>% of Total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Approved after direct manual review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46.49%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1.77%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Exceeded delta check limit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24.31%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0.92%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Exceeded autoverification range (clinically consistent)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20.99%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0.80%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Required auto-dilution (exceeded linear range)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4.06%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0.15%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Critical value alert triggered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3.66%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0.14%</w:t>
            </w:r>
          </w:p>
        </w:tc>
      </w:tr>
      <w:tr w:rsidR="00994653" w:rsidRPr="00BF72E4">
        <w:tc>
          <w:tcPr>
            <w:tcW w:w="4356" w:type="dxa"/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Required instrument change and retesting</w:t>
            </w:r>
          </w:p>
        </w:tc>
        <w:tc>
          <w:tcPr>
            <w:tcW w:w="1504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0.50%</w:t>
            </w:r>
          </w:p>
        </w:tc>
        <w:tc>
          <w:tcPr>
            <w:tcW w:w="792" w:type="dxa"/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</w:tr>
      <w:tr w:rsidR="00994653" w:rsidRPr="00BF72E4" w:rsidTr="00BA6A89">
        <w:tc>
          <w:tcPr>
            <w:tcW w:w="4356" w:type="dxa"/>
            <w:tcBorders>
              <w:bottom w:val="single" w:sz="8" w:space="0" w:color="auto"/>
            </w:tcBorders>
          </w:tcPr>
          <w:p w:rsidR="00643805" w:rsidRPr="00BF72E4" w:rsidRDefault="00994653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Cs/>
                <w:sz w:val="20"/>
                <w:szCs w:val="20"/>
              </w:rPr>
              <w:t>Total intercepted</w:t>
            </w:r>
          </w:p>
        </w:tc>
        <w:tc>
          <w:tcPr>
            <w:tcW w:w="1504" w:type="dxa"/>
            <w:tcBorders>
              <w:bottom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Cs/>
                <w:sz w:val="20"/>
                <w:szCs w:val="20"/>
              </w:rPr>
              <w:t>2,020</w:t>
            </w:r>
          </w:p>
        </w:tc>
        <w:tc>
          <w:tcPr>
            <w:tcW w:w="1267" w:type="dxa"/>
            <w:tcBorders>
              <w:bottom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Cs/>
                <w:sz w:val="20"/>
                <w:szCs w:val="20"/>
              </w:rPr>
              <w:t>100%</w:t>
            </w:r>
          </w:p>
        </w:tc>
        <w:tc>
          <w:tcPr>
            <w:tcW w:w="792" w:type="dxa"/>
            <w:tcBorders>
              <w:bottom w:val="single" w:sz="8" w:space="0" w:color="auto"/>
            </w:tcBorders>
          </w:tcPr>
          <w:p w:rsidR="00643805" w:rsidRPr="00BF72E4" w:rsidRDefault="0099465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2E4">
              <w:rPr>
                <w:rFonts w:ascii="Times New Roman" w:hAnsi="Times New Roman" w:cs="Times New Roman"/>
                <w:bCs/>
                <w:sz w:val="20"/>
                <w:szCs w:val="20"/>
              </w:rPr>
              <w:t>3.80%</w:t>
            </w:r>
          </w:p>
        </w:tc>
      </w:tr>
      <w:bookmarkEnd w:id="1"/>
      <w:bookmarkEnd w:id="3"/>
    </w:tbl>
    <w:p w:rsidR="00685A20" w:rsidRPr="00BF72E4" w:rsidRDefault="00685A20">
      <w:pPr>
        <w:rPr>
          <w:rFonts w:ascii="Times New Roman" w:hAnsi="Times New Roman" w:cs="Times New Roman"/>
          <w:sz w:val="20"/>
          <w:szCs w:val="20"/>
        </w:rPr>
      </w:pPr>
    </w:p>
    <w:sectPr w:rsidR="00685A20" w:rsidRPr="00BF72E4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A89" w:rsidRDefault="00BA6A89" w:rsidP="00BA6A89">
      <w:pPr>
        <w:spacing w:after="0"/>
      </w:pPr>
      <w:r>
        <w:separator/>
      </w:r>
    </w:p>
  </w:endnote>
  <w:endnote w:type="continuationSeparator" w:id="0">
    <w:p w:rsidR="00BA6A89" w:rsidRDefault="00BA6A89" w:rsidP="00BA6A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A89" w:rsidRDefault="00BA6A89" w:rsidP="00BA6A89">
      <w:pPr>
        <w:spacing w:after="0"/>
      </w:pPr>
      <w:r>
        <w:separator/>
      </w:r>
    </w:p>
  </w:footnote>
  <w:footnote w:type="continuationSeparator" w:id="0">
    <w:p w:rsidR="00BA6A89" w:rsidRDefault="00BA6A89" w:rsidP="00BA6A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A990"/>
    <w:multiLevelType w:val="multilevel"/>
    <w:tmpl w:val="58E49B6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3805"/>
    <w:rsid w:val="000633AA"/>
    <w:rsid w:val="00260F30"/>
    <w:rsid w:val="002912F8"/>
    <w:rsid w:val="003D76CE"/>
    <w:rsid w:val="00613B86"/>
    <w:rsid w:val="00643805"/>
    <w:rsid w:val="00685A20"/>
    <w:rsid w:val="00786BE9"/>
    <w:rsid w:val="007F669D"/>
    <w:rsid w:val="00994653"/>
    <w:rsid w:val="00BA6A89"/>
    <w:rsid w:val="00BF72E4"/>
    <w:rsid w:val="00C47CA9"/>
    <w:rsid w:val="00C579D4"/>
    <w:rsid w:val="00F5286B"/>
    <w:rsid w:val="00F7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04A644D-247F-4A77-B4EF-6ECCEA2D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">
    <w:name w:val="标题 Char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副标题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6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标题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标题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标题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标题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标题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标题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题注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unhideWhenUsed/>
    <w:rsid w:val="00BA6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d"/>
    <w:rsid w:val="00BA6A89"/>
    <w:rPr>
      <w:sz w:val="18"/>
      <w:szCs w:val="18"/>
    </w:rPr>
  </w:style>
  <w:style w:type="paragraph" w:styleId="ae">
    <w:name w:val="footer"/>
    <w:basedOn w:val="a"/>
    <w:link w:val="Char3"/>
    <w:unhideWhenUsed/>
    <w:rsid w:val="00BA6A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1"/>
    <w:link w:val="ae"/>
    <w:rsid w:val="00BA6A89"/>
    <w:rPr>
      <w:sz w:val="18"/>
      <w:szCs w:val="18"/>
    </w:rPr>
  </w:style>
  <w:style w:type="paragraph" w:styleId="af">
    <w:name w:val="Balloon Text"/>
    <w:basedOn w:val="a"/>
    <w:link w:val="Char4"/>
    <w:semiHidden/>
    <w:unhideWhenUsed/>
    <w:rsid w:val="000633AA"/>
    <w:pPr>
      <w:spacing w:after="0"/>
    </w:pPr>
    <w:rPr>
      <w:sz w:val="18"/>
      <w:szCs w:val="18"/>
    </w:rPr>
  </w:style>
  <w:style w:type="character" w:customStyle="1" w:styleId="Char4">
    <w:name w:val="批注框文本 Char"/>
    <w:basedOn w:val="a1"/>
    <w:link w:val="af"/>
    <w:semiHidden/>
    <w:rsid w:val="000633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E17D8-B5F5-4C9F-BAB8-DD08ACBB1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503</Words>
  <Characters>2871</Characters>
  <Application>Microsoft Office Word</Application>
  <DocSecurity>0</DocSecurity>
  <Lines>23</Lines>
  <Paragraphs>6</Paragraphs>
  <ScaleCrop>false</ScaleCrop>
  <Company>SNB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Data</dc:title>
  <dc:creator/>
  <cp:keywords/>
  <cp:lastModifiedBy>ShiJiYanFaB/chen.sun/孙晨</cp:lastModifiedBy>
  <cp:revision>15</cp:revision>
  <dcterms:created xsi:type="dcterms:W3CDTF">2026-06-26T04:12:00Z</dcterms:created>
  <dcterms:modified xsi:type="dcterms:W3CDTF">2026-06-30T07:38:00Z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/Users/sunchen/Library/Mobile Documents/iCloud~md~obsidian/Documents/references.json</vt:lpwstr>
  </property>
  <property fmtid="{D5CDD505-2E9C-101B-9397-08002B2CF9AE}" pid="3" name="csl">
    <vt:lpwstr>/Users/sunchen/Library/Mobile Documents/iCloud~md~obsidian/Documents/american-medical-association-brackets.csl</vt:lpwstr>
  </property>
  <property fmtid="{D5CDD505-2E9C-101B-9397-08002B2CF9AE}" pid="4" name="status">
    <vt:lpwstr>supplementary</vt:lpwstr>
  </property>
</Properties>
</file>