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0D3E5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Style w:val="7"/>
          <w:rFonts w:hint="default" w:ascii="Arial" w:hAnsi="Arial" w:cs="Arial"/>
          <w:sz w:val="24"/>
          <w:szCs w:val="24"/>
        </w:rPr>
      </w:pPr>
      <w:r>
        <w:rPr>
          <w:rStyle w:val="7"/>
          <w:rFonts w:hint="default" w:ascii="Arial" w:hAnsi="Arial" w:cs="Arial"/>
          <w:sz w:val="24"/>
          <w:szCs w:val="24"/>
        </w:rPr>
        <w:t>Questionnaire</w:t>
      </w:r>
    </w:p>
    <w:p w14:paraId="70A4EA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Style w:val="7"/>
          <w:rFonts w:hint="default" w:ascii="Arial" w:hAnsi="Arial" w:cs="Arial"/>
          <w:sz w:val="24"/>
          <w:szCs w:val="24"/>
        </w:rPr>
      </w:pPr>
    </w:p>
    <w:p w14:paraId="2B6770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Arial" w:hAnsi="Arial" w:cs="Arial"/>
          <w:sz w:val="24"/>
          <w:szCs w:val="24"/>
        </w:rPr>
      </w:pPr>
      <w:r>
        <w:rPr>
          <w:rFonts w:hint="default" w:ascii="Arial" w:hAnsi="Arial" w:cs="Arial"/>
          <w:sz w:val="24"/>
          <w:szCs w:val="24"/>
        </w:rPr>
        <w:t>This questionnaire aims to evaluate how different museum guide modes affect visitors’ understanding, learning, and experience of cultural heritage. Your responses will help us better understand museum visitor experiences and improve museum interpretation strategies and educational value. All information collected will be used solely for research purposes. Please answer the questions according to your actual experience and personal perceptions.</w:t>
      </w:r>
    </w:p>
    <w:p w14:paraId="522A607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Arial" w:hAnsi="Arial" w:cs="Arial"/>
          <w:sz w:val="24"/>
          <w:szCs w:val="24"/>
        </w:rPr>
      </w:pPr>
    </w:p>
    <w:p w14:paraId="0B83ACD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Pre-Visit Knowledge Test</w:t>
      </w:r>
    </w:p>
    <w:p w14:paraId="48DD7A29">
      <w:pPr>
        <w:rPr>
          <w:rFonts w:hint="default"/>
        </w:rPr>
      </w:pPr>
    </w:p>
    <w:p w14:paraId="690F858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1. To which period does the White Jade Pig-Dragon belong?</w:t>
      </w:r>
    </w:p>
    <w:p w14:paraId="23F1B2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Approximately 3,500–3,000 years ago</w:t>
      </w:r>
      <w:r>
        <w:rPr>
          <w:rFonts w:hint="default" w:ascii="Arial" w:hAnsi="Arial" w:cs="Arial"/>
          <w:sz w:val="24"/>
          <w:szCs w:val="24"/>
        </w:rPr>
        <w:br w:type="textWrapping"/>
      </w:r>
      <w:r>
        <w:rPr>
          <w:rFonts w:hint="default" w:ascii="Arial" w:hAnsi="Arial" w:cs="Arial"/>
          <w:sz w:val="24"/>
          <w:szCs w:val="24"/>
        </w:rPr>
        <w:t>B. Approximately 5,500–5,000 years ago</w:t>
      </w:r>
      <w:r>
        <w:rPr>
          <w:rFonts w:hint="default" w:ascii="Arial" w:hAnsi="Arial" w:cs="Arial"/>
          <w:sz w:val="24"/>
          <w:szCs w:val="24"/>
        </w:rPr>
        <w:br w:type="textWrapping"/>
      </w:r>
      <w:r>
        <w:rPr>
          <w:rFonts w:hint="default" w:ascii="Arial" w:hAnsi="Arial" w:cs="Arial"/>
          <w:sz w:val="24"/>
          <w:szCs w:val="24"/>
        </w:rPr>
        <w:t>C. Approximately 7,500–7,000 years ago</w:t>
      </w:r>
      <w:r>
        <w:rPr>
          <w:rFonts w:hint="default" w:ascii="Arial" w:hAnsi="Arial" w:cs="Arial"/>
          <w:sz w:val="24"/>
          <w:szCs w:val="24"/>
        </w:rPr>
        <w:br w:type="textWrapping"/>
      </w:r>
      <w:r>
        <w:rPr>
          <w:rFonts w:hint="default" w:ascii="Arial" w:hAnsi="Arial" w:cs="Arial"/>
          <w:sz w:val="24"/>
          <w:szCs w:val="24"/>
        </w:rPr>
        <w:t>D. I don't know</w:t>
      </w:r>
    </w:p>
    <w:p w14:paraId="026BBB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2. Where was the White Jade Pig-Dragon excavated?</w:t>
      </w:r>
    </w:p>
    <w:p w14:paraId="47B438B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From a Liangzhu culture burial site</w:t>
      </w:r>
      <w:r>
        <w:rPr>
          <w:rFonts w:hint="default" w:ascii="Arial" w:hAnsi="Arial" w:cs="Arial"/>
          <w:sz w:val="24"/>
          <w:szCs w:val="24"/>
        </w:rPr>
        <w:br w:type="textWrapping"/>
      </w:r>
      <w:r>
        <w:rPr>
          <w:rFonts w:hint="default" w:ascii="Arial" w:hAnsi="Arial" w:cs="Arial"/>
          <w:sz w:val="24"/>
          <w:szCs w:val="24"/>
        </w:rPr>
        <w:t>B. From a Hongshan culture burial site</w:t>
      </w:r>
      <w:r>
        <w:rPr>
          <w:rFonts w:hint="default" w:ascii="Arial" w:hAnsi="Arial" w:cs="Arial"/>
          <w:sz w:val="24"/>
          <w:szCs w:val="24"/>
        </w:rPr>
        <w:br w:type="textWrapping"/>
      </w:r>
      <w:r>
        <w:rPr>
          <w:rFonts w:hint="default" w:ascii="Arial" w:hAnsi="Arial" w:cs="Arial"/>
          <w:sz w:val="24"/>
          <w:szCs w:val="24"/>
        </w:rPr>
        <w:t>C. From a Longshan culture burial site</w:t>
      </w:r>
      <w:r>
        <w:rPr>
          <w:rFonts w:hint="default" w:ascii="Arial" w:hAnsi="Arial" w:cs="Arial"/>
          <w:sz w:val="24"/>
          <w:szCs w:val="24"/>
        </w:rPr>
        <w:br w:type="textWrapping"/>
      </w:r>
      <w:r>
        <w:rPr>
          <w:rFonts w:hint="default" w:ascii="Arial" w:hAnsi="Arial" w:cs="Arial"/>
          <w:sz w:val="24"/>
          <w:szCs w:val="24"/>
        </w:rPr>
        <w:t>D. I don't know</w:t>
      </w:r>
    </w:p>
    <w:p w14:paraId="3B1101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3. What is the primary material of the White Jade Pig-Dragon?</w:t>
      </w:r>
    </w:p>
    <w:p w14:paraId="44DD87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White marble</w:t>
      </w:r>
      <w:r>
        <w:rPr>
          <w:rFonts w:hint="default" w:ascii="Arial" w:hAnsi="Arial" w:cs="Arial"/>
          <w:sz w:val="24"/>
          <w:szCs w:val="24"/>
        </w:rPr>
        <w:br w:type="textWrapping"/>
      </w:r>
      <w:r>
        <w:rPr>
          <w:rFonts w:hint="default" w:ascii="Arial" w:hAnsi="Arial" w:cs="Arial"/>
          <w:sz w:val="24"/>
          <w:szCs w:val="24"/>
        </w:rPr>
        <w:t>B. Beige jade</w:t>
      </w:r>
      <w:r>
        <w:rPr>
          <w:rFonts w:hint="default" w:ascii="Arial" w:hAnsi="Arial" w:cs="Arial"/>
          <w:sz w:val="24"/>
          <w:szCs w:val="24"/>
        </w:rPr>
        <w:br w:type="textWrapping"/>
      </w:r>
      <w:r>
        <w:rPr>
          <w:rFonts w:hint="default" w:ascii="Arial" w:hAnsi="Arial" w:cs="Arial"/>
          <w:sz w:val="24"/>
          <w:szCs w:val="24"/>
        </w:rPr>
        <w:t>C. White serpentinite</w:t>
      </w:r>
      <w:r>
        <w:rPr>
          <w:rFonts w:hint="default" w:ascii="Arial" w:hAnsi="Arial" w:cs="Arial"/>
          <w:sz w:val="24"/>
          <w:szCs w:val="24"/>
        </w:rPr>
        <w:br w:type="textWrapping"/>
      </w:r>
      <w:r>
        <w:rPr>
          <w:rFonts w:hint="default" w:ascii="Arial" w:hAnsi="Arial" w:cs="Arial"/>
          <w:sz w:val="24"/>
          <w:szCs w:val="24"/>
        </w:rPr>
        <w:t>D. I don't know</w:t>
      </w:r>
    </w:p>
    <w:p w14:paraId="1E7F63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4. Compared with other discovered jade pig-dragons from the Hongshan culture, what is distinctive about this artifact?</w:t>
      </w:r>
    </w:p>
    <w:p w14:paraId="47B444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It is the smallest and most finely crafted.</w:t>
      </w:r>
      <w:r>
        <w:rPr>
          <w:rFonts w:hint="default" w:ascii="Arial" w:hAnsi="Arial" w:cs="Arial"/>
          <w:sz w:val="24"/>
          <w:szCs w:val="24"/>
        </w:rPr>
        <w:br w:type="textWrapping"/>
      </w:r>
      <w:r>
        <w:rPr>
          <w:rFonts w:hint="default" w:ascii="Arial" w:hAnsi="Arial" w:cs="Arial"/>
          <w:sz w:val="24"/>
          <w:szCs w:val="24"/>
        </w:rPr>
        <w:t>B. It is relatively large and has the most regular form.</w:t>
      </w:r>
      <w:r>
        <w:rPr>
          <w:rFonts w:hint="default" w:ascii="Arial" w:hAnsi="Arial" w:cs="Arial"/>
          <w:sz w:val="24"/>
          <w:szCs w:val="24"/>
        </w:rPr>
        <w:br w:type="textWrapping"/>
      </w:r>
      <w:r>
        <w:rPr>
          <w:rFonts w:hint="default" w:ascii="Arial" w:hAnsi="Arial" w:cs="Arial"/>
          <w:sz w:val="24"/>
          <w:szCs w:val="24"/>
        </w:rPr>
        <w:t>C. It is medium-sized and roughly crafted.</w:t>
      </w:r>
      <w:r>
        <w:rPr>
          <w:rFonts w:hint="default" w:ascii="Arial" w:hAnsi="Arial" w:cs="Arial"/>
          <w:sz w:val="24"/>
          <w:szCs w:val="24"/>
        </w:rPr>
        <w:br w:type="textWrapping"/>
      </w:r>
      <w:r>
        <w:rPr>
          <w:rFonts w:hint="default" w:ascii="Arial" w:hAnsi="Arial" w:cs="Arial"/>
          <w:sz w:val="24"/>
          <w:szCs w:val="24"/>
        </w:rPr>
        <w:t>D. I don't know.</w:t>
      </w:r>
    </w:p>
    <w:p w14:paraId="4D21AA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5. Which of the following is NOT a characteristic of the White Jade Pig-Dragon?</w:t>
      </w:r>
    </w:p>
    <w:p w14:paraId="6470942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A broad head, large ears, and round eyes</w:t>
      </w:r>
      <w:r>
        <w:rPr>
          <w:rFonts w:hint="default" w:ascii="Arial" w:hAnsi="Arial" w:cs="Arial"/>
          <w:sz w:val="24"/>
          <w:szCs w:val="24"/>
        </w:rPr>
        <w:br w:type="textWrapping"/>
      </w:r>
      <w:r>
        <w:rPr>
          <w:rFonts w:hint="default" w:ascii="Arial" w:hAnsi="Arial" w:cs="Arial"/>
          <w:sz w:val="24"/>
          <w:szCs w:val="24"/>
        </w:rPr>
        <w:t>B. Inward-curving tusks and a straight body</w:t>
      </w:r>
      <w:r>
        <w:rPr>
          <w:rFonts w:hint="default" w:ascii="Arial" w:hAnsi="Arial" w:cs="Arial"/>
          <w:sz w:val="24"/>
          <w:szCs w:val="24"/>
        </w:rPr>
        <w:br w:type="textWrapping"/>
      </w:r>
      <w:r>
        <w:rPr>
          <w:rFonts w:hint="default" w:ascii="Arial" w:hAnsi="Arial" w:cs="Arial"/>
          <w:sz w:val="24"/>
          <w:szCs w:val="24"/>
        </w:rPr>
        <w:t>C. A ring-shaped curved body with a perforation on the back</w:t>
      </w:r>
      <w:r>
        <w:rPr>
          <w:rFonts w:hint="default" w:ascii="Arial" w:hAnsi="Arial" w:cs="Arial"/>
          <w:sz w:val="24"/>
          <w:szCs w:val="24"/>
        </w:rPr>
        <w:br w:type="textWrapping"/>
      </w:r>
      <w:r>
        <w:rPr>
          <w:rFonts w:hint="default" w:ascii="Arial" w:hAnsi="Arial" w:cs="Arial"/>
          <w:sz w:val="24"/>
          <w:szCs w:val="24"/>
        </w:rPr>
        <w:t>D. I don't know</w:t>
      </w:r>
    </w:p>
    <w:p w14:paraId="7660EE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6. What was the cultural symbolic significance of the White Jade Pig-Dragon in Hongshan culture?</w:t>
      </w:r>
    </w:p>
    <w:p w14:paraId="4888706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A. It was purely decorative and had no special symbolic meaning.</w:t>
      </w:r>
      <w:r>
        <w:rPr>
          <w:rFonts w:hint="default" w:ascii="Arial" w:hAnsi="Arial" w:cs="Arial"/>
          <w:sz w:val="24"/>
          <w:szCs w:val="24"/>
        </w:rPr>
        <w:br w:type="textWrapping"/>
      </w:r>
      <w:r>
        <w:rPr>
          <w:rFonts w:hint="default" w:ascii="Arial" w:hAnsi="Arial" w:cs="Arial"/>
          <w:sz w:val="24"/>
          <w:szCs w:val="24"/>
        </w:rPr>
        <w:t>B. It symbolized social status, rank, and power and functioned as an early ritual object.</w:t>
      </w:r>
      <w:r>
        <w:rPr>
          <w:rFonts w:hint="default" w:ascii="Arial" w:hAnsi="Arial" w:cs="Arial"/>
          <w:sz w:val="24"/>
          <w:szCs w:val="24"/>
        </w:rPr>
        <w:br w:type="textWrapping"/>
      </w:r>
      <w:r>
        <w:rPr>
          <w:rFonts w:hint="default" w:ascii="Arial" w:hAnsi="Arial" w:cs="Arial"/>
          <w:sz w:val="24"/>
          <w:szCs w:val="24"/>
        </w:rPr>
        <w:t>C. It was used only as a prop in ritual dances.</w:t>
      </w:r>
      <w:r>
        <w:rPr>
          <w:rFonts w:hint="default" w:ascii="Arial" w:hAnsi="Arial" w:cs="Arial"/>
          <w:sz w:val="24"/>
          <w:szCs w:val="24"/>
        </w:rPr>
        <w:br w:type="textWrapping"/>
      </w:r>
      <w:r>
        <w:rPr>
          <w:rFonts w:hint="default" w:ascii="Arial" w:hAnsi="Arial" w:cs="Arial"/>
          <w:sz w:val="24"/>
          <w:szCs w:val="24"/>
        </w:rPr>
        <w:t>D. I don't know.</w:t>
      </w:r>
    </w:p>
    <w:p w14:paraId="001A69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p>
    <w:p w14:paraId="7E61558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Visit Information</w:t>
      </w:r>
    </w:p>
    <w:p w14:paraId="0DF5707C">
      <w:pPr>
        <w:rPr>
          <w:rFonts w:hint="default"/>
        </w:rPr>
      </w:pPr>
    </w:p>
    <w:p w14:paraId="4C386D3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Guide mode used:</w:t>
      </w:r>
    </w:p>
    <w:p w14:paraId="7AEBFA3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 AR glasses</w:t>
      </w:r>
      <w:r>
        <w:rPr>
          <w:rFonts w:hint="default" w:ascii="Arial" w:hAnsi="Arial" w:cs="Arial"/>
          <w:sz w:val="24"/>
          <w:szCs w:val="24"/>
        </w:rPr>
        <w:br w:type="textWrapping"/>
      </w:r>
      <w:r>
        <w:rPr>
          <w:rFonts w:hint="default" w:ascii="Arial" w:hAnsi="Arial" w:cs="Arial"/>
          <w:sz w:val="24"/>
          <w:szCs w:val="24"/>
        </w:rPr>
        <w:t>□ Handheld AR guide</w:t>
      </w:r>
      <w:r>
        <w:rPr>
          <w:rFonts w:hint="default" w:ascii="Arial" w:hAnsi="Arial" w:cs="Arial"/>
          <w:sz w:val="24"/>
          <w:szCs w:val="24"/>
        </w:rPr>
        <w:br w:type="textWrapping"/>
      </w:r>
      <w:r>
        <w:rPr>
          <w:rFonts w:hint="default" w:ascii="Arial" w:hAnsi="Arial" w:cs="Arial"/>
          <w:sz w:val="24"/>
          <w:szCs w:val="24"/>
        </w:rPr>
        <w:t>□ Audio guide</w:t>
      </w:r>
    </w:p>
    <w:p w14:paraId="20B31C9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Approximate duration of your visit:</w:t>
      </w:r>
    </w:p>
    <w:p w14:paraId="7EE4758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 Less than 30 minutes</w:t>
      </w:r>
      <w:r>
        <w:rPr>
          <w:rFonts w:hint="default" w:ascii="Arial" w:hAnsi="Arial" w:cs="Arial"/>
          <w:sz w:val="24"/>
          <w:szCs w:val="24"/>
        </w:rPr>
        <w:br w:type="textWrapping"/>
      </w:r>
      <w:r>
        <w:rPr>
          <w:rFonts w:hint="default" w:ascii="Arial" w:hAnsi="Arial" w:cs="Arial"/>
          <w:sz w:val="24"/>
          <w:szCs w:val="24"/>
        </w:rPr>
        <w:t>□ 30–60 minutes</w:t>
      </w:r>
      <w:r>
        <w:rPr>
          <w:rFonts w:hint="default" w:ascii="Arial" w:hAnsi="Arial" w:cs="Arial"/>
          <w:sz w:val="24"/>
          <w:szCs w:val="24"/>
        </w:rPr>
        <w:br w:type="textWrapping"/>
      </w:r>
      <w:r>
        <w:rPr>
          <w:rFonts w:hint="default" w:ascii="Arial" w:hAnsi="Arial" w:cs="Arial"/>
          <w:sz w:val="24"/>
          <w:szCs w:val="24"/>
        </w:rPr>
        <w:t>□ 1–2 hours</w:t>
      </w:r>
      <w:r>
        <w:rPr>
          <w:rFonts w:hint="default" w:ascii="Arial" w:hAnsi="Arial" w:cs="Arial"/>
          <w:sz w:val="24"/>
          <w:szCs w:val="24"/>
        </w:rPr>
        <w:br w:type="textWrapping"/>
      </w:r>
      <w:r>
        <w:rPr>
          <w:rFonts w:hint="default" w:ascii="Arial" w:hAnsi="Arial" w:cs="Arial"/>
          <w:sz w:val="24"/>
          <w:szCs w:val="24"/>
        </w:rPr>
        <w:t>□ More than 2 hours</w:t>
      </w:r>
    </w:p>
    <w:p w14:paraId="2800D8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Have you previously used a similar guide device?</w:t>
      </w:r>
    </w:p>
    <w:p w14:paraId="72A6FF2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 Never</w:t>
      </w:r>
      <w:r>
        <w:rPr>
          <w:rFonts w:hint="default" w:ascii="Arial" w:hAnsi="Arial" w:cs="Arial"/>
          <w:sz w:val="24"/>
          <w:szCs w:val="24"/>
        </w:rPr>
        <w:br w:type="textWrapping"/>
      </w:r>
      <w:r>
        <w:rPr>
          <w:rFonts w:hint="default" w:ascii="Arial" w:hAnsi="Arial" w:cs="Arial"/>
          <w:sz w:val="24"/>
          <w:szCs w:val="24"/>
        </w:rPr>
        <w:t>□ 1–2 times</w:t>
      </w:r>
      <w:r>
        <w:rPr>
          <w:rFonts w:hint="default" w:ascii="Arial" w:hAnsi="Arial" w:cs="Arial"/>
          <w:sz w:val="24"/>
          <w:szCs w:val="24"/>
        </w:rPr>
        <w:br w:type="textWrapping"/>
      </w:r>
      <w:r>
        <w:rPr>
          <w:rFonts w:hint="default" w:ascii="Arial" w:hAnsi="Arial" w:cs="Arial"/>
          <w:sz w:val="24"/>
          <w:szCs w:val="24"/>
        </w:rPr>
        <w:t>□ Multiple times</w:t>
      </w:r>
    </w:p>
    <w:p w14:paraId="615FA09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p>
    <w:p w14:paraId="64FB1B2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Arial" w:hAnsi="Arial" w:cs="Arial"/>
          <w:sz w:val="24"/>
          <w:szCs w:val="24"/>
        </w:rPr>
      </w:pPr>
      <w:r>
        <w:rPr>
          <w:rFonts w:hint="default" w:ascii="Arial" w:hAnsi="Arial" w:cs="Arial"/>
          <w:sz w:val="24"/>
          <w:szCs w:val="24"/>
        </w:rPr>
        <w:t>Museum Experience Scale</w:t>
      </w:r>
    </w:p>
    <w:p w14:paraId="26687D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Please rate the following statements according to your experience.</w:t>
      </w:r>
    </w:p>
    <w:p w14:paraId="7B538CC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Response scale:</w:t>
      </w:r>
      <w:r>
        <w:rPr>
          <w:rFonts w:hint="default" w:ascii="Arial" w:hAnsi="Arial" w:cs="Arial"/>
          <w:sz w:val="24"/>
          <w:szCs w:val="24"/>
        </w:rPr>
        <w:br w:type="textWrapping"/>
      </w:r>
      <w:r>
        <w:rPr>
          <w:rFonts w:hint="default" w:ascii="Arial" w:hAnsi="Arial" w:cs="Arial"/>
          <w:sz w:val="24"/>
          <w:szCs w:val="24"/>
        </w:rPr>
        <w:t>1 = Strongly disagree</w:t>
      </w:r>
      <w:r>
        <w:rPr>
          <w:rFonts w:hint="default" w:ascii="Arial" w:hAnsi="Arial" w:cs="Arial"/>
          <w:sz w:val="24"/>
          <w:szCs w:val="24"/>
        </w:rPr>
        <w:br w:type="textWrapping"/>
      </w:r>
      <w:r>
        <w:rPr>
          <w:rFonts w:hint="default" w:ascii="Arial" w:hAnsi="Arial" w:cs="Arial"/>
          <w:sz w:val="24"/>
          <w:szCs w:val="24"/>
        </w:rPr>
        <w:t>2 = Disagree</w:t>
      </w:r>
      <w:r>
        <w:rPr>
          <w:rFonts w:hint="default" w:ascii="Arial" w:hAnsi="Arial" w:cs="Arial"/>
          <w:sz w:val="24"/>
          <w:szCs w:val="24"/>
        </w:rPr>
        <w:br w:type="textWrapping"/>
      </w:r>
      <w:r>
        <w:rPr>
          <w:rFonts w:hint="default" w:ascii="Arial" w:hAnsi="Arial" w:cs="Arial"/>
          <w:sz w:val="24"/>
          <w:szCs w:val="24"/>
        </w:rPr>
        <w:t>3 = Neutral</w:t>
      </w:r>
      <w:r>
        <w:rPr>
          <w:rFonts w:hint="default" w:ascii="Arial" w:hAnsi="Arial" w:cs="Arial"/>
          <w:sz w:val="24"/>
          <w:szCs w:val="24"/>
        </w:rPr>
        <w:br w:type="textWrapping"/>
      </w:r>
      <w:r>
        <w:rPr>
          <w:rFonts w:hint="default" w:ascii="Arial" w:hAnsi="Arial" w:cs="Arial"/>
          <w:sz w:val="24"/>
          <w:szCs w:val="24"/>
        </w:rPr>
        <w:t>4 = Agree</w:t>
      </w:r>
      <w:r>
        <w:rPr>
          <w:rFonts w:hint="default" w:ascii="Arial" w:hAnsi="Arial" w:cs="Arial"/>
          <w:sz w:val="24"/>
          <w:szCs w:val="24"/>
        </w:rPr>
        <w:br w:type="textWrapping"/>
      </w:r>
      <w:r>
        <w:rPr>
          <w:rFonts w:hint="default" w:ascii="Arial" w:hAnsi="Arial" w:cs="Arial"/>
          <w:sz w:val="24"/>
          <w:szCs w:val="24"/>
        </w:rPr>
        <w:t>5 = Strongly agree</w:t>
      </w:r>
    </w:p>
    <w:p w14:paraId="2D8FFA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p>
    <w:p w14:paraId="6770B03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Engagement</w:t>
      </w:r>
    </w:p>
    <w:p w14:paraId="248DA89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1.</w:t>
      </w:r>
      <w:r>
        <w:rPr>
          <w:rFonts w:hint="default" w:ascii="Arial" w:hAnsi="Arial" w:cs="Arial"/>
          <w:sz w:val="24"/>
          <w:szCs w:val="24"/>
        </w:rPr>
        <w:t xml:space="preserve"> I enjoyed using this guide mode to visit the exhibition.</w:t>
      </w:r>
      <w:r>
        <w:rPr>
          <w:rFonts w:hint="default" w:ascii="Arial" w:hAnsi="Arial" w:cs="Arial"/>
          <w:sz w:val="24"/>
          <w:szCs w:val="24"/>
        </w:rPr>
        <w:br w:type="textWrapping"/>
      </w:r>
      <w:r>
        <w:rPr>
          <w:rStyle w:val="7"/>
          <w:rFonts w:hint="default" w:ascii="Arial" w:hAnsi="Arial" w:cs="Arial"/>
          <w:sz w:val="24"/>
          <w:szCs w:val="24"/>
        </w:rPr>
        <w:t>2.</w:t>
      </w:r>
      <w:r>
        <w:rPr>
          <w:rFonts w:hint="default" w:ascii="Arial" w:hAnsi="Arial" w:cs="Arial"/>
          <w:sz w:val="24"/>
          <w:szCs w:val="24"/>
        </w:rPr>
        <w:t xml:space="preserve"> I felt actively engaged with the exhibition.</w:t>
      </w:r>
      <w:r>
        <w:rPr>
          <w:rFonts w:hint="default" w:ascii="Arial" w:hAnsi="Arial" w:cs="Arial"/>
          <w:sz w:val="24"/>
          <w:szCs w:val="24"/>
        </w:rPr>
        <w:br w:type="textWrapping"/>
      </w:r>
      <w:r>
        <w:rPr>
          <w:rStyle w:val="7"/>
          <w:rFonts w:hint="default" w:ascii="Arial" w:hAnsi="Arial" w:cs="Arial"/>
          <w:sz w:val="24"/>
          <w:szCs w:val="24"/>
        </w:rPr>
        <w:t>3.</w:t>
      </w:r>
      <w:r>
        <w:rPr>
          <w:rFonts w:hint="default" w:ascii="Arial" w:hAnsi="Arial" w:cs="Arial"/>
          <w:sz w:val="24"/>
          <w:szCs w:val="24"/>
        </w:rPr>
        <w:t xml:space="preserve"> Visiting the exhibition using this guide mode was very interesting.</w:t>
      </w:r>
      <w:r>
        <w:rPr>
          <w:rFonts w:hint="default" w:ascii="Arial" w:hAnsi="Arial" w:cs="Arial"/>
          <w:sz w:val="24"/>
          <w:szCs w:val="24"/>
        </w:rPr>
        <w:br w:type="textWrapping"/>
      </w:r>
      <w:r>
        <w:rPr>
          <w:rStyle w:val="7"/>
          <w:rFonts w:hint="default" w:ascii="Arial" w:hAnsi="Arial" w:cs="Arial"/>
          <w:sz w:val="24"/>
          <w:szCs w:val="24"/>
        </w:rPr>
        <w:t>4.</w:t>
      </w:r>
      <w:r>
        <w:rPr>
          <w:rFonts w:hint="default" w:ascii="Arial" w:hAnsi="Arial" w:cs="Arial"/>
          <w:sz w:val="24"/>
          <w:szCs w:val="24"/>
        </w:rPr>
        <w:t xml:space="preserve"> I felt I was experiencing the exhibition rather than simply viewing the exhibits.</w:t>
      </w:r>
      <w:r>
        <w:rPr>
          <w:rFonts w:hint="default" w:ascii="Arial" w:hAnsi="Arial" w:cs="Arial"/>
          <w:sz w:val="24"/>
          <w:szCs w:val="24"/>
        </w:rPr>
        <w:br w:type="textWrapping"/>
      </w:r>
      <w:r>
        <w:rPr>
          <w:rStyle w:val="7"/>
          <w:rFonts w:hint="default" w:ascii="Arial" w:hAnsi="Arial" w:cs="Arial"/>
          <w:sz w:val="24"/>
          <w:szCs w:val="24"/>
        </w:rPr>
        <w:t>5.</w:t>
      </w:r>
      <w:r>
        <w:rPr>
          <w:rFonts w:hint="default" w:ascii="Arial" w:hAnsi="Arial" w:cs="Arial"/>
          <w:sz w:val="24"/>
          <w:szCs w:val="24"/>
        </w:rPr>
        <w:t xml:space="preserve"> This guide mode made my visit to the exhibition inspiring.</w:t>
      </w:r>
    </w:p>
    <w:p w14:paraId="7E07839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Knowledge/Learning</w:t>
      </w:r>
    </w:p>
    <w:p w14:paraId="283CD1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6.</w:t>
      </w:r>
      <w:r>
        <w:rPr>
          <w:rFonts w:hint="default" w:ascii="Arial" w:hAnsi="Arial" w:cs="Arial"/>
          <w:sz w:val="24"/>
          <w:szCs w:val="24"/>
        </w:rPr>
        <w:t xml:space="preserve"> The interpretation content was clear and easy to understand.</w:t>
      </w:r>
      <w:r>
        <w:rPr>
          <w:rFonts w:hint="default" w:ascii="Arial" w:hAnsi="Arial" w:cs="Arial"/>
          <w:sz w:val="24"/>
          <w:szCs w:val="24"/>
        </w:rPr>
        <w:br w:type="textWrapping"/>
      </w:r>
      <w:r>
        <w:rPr>
          <w:rStyle w:val="7"/>
          <w:rFonts w:hint="default" w:ascii="Arial" w:hAnsi="Arial" w:cs="Arial"/>
          <w:sz w:val="24"/>
          <w:szCs w:val="24"/>
        </w:rPr>
        <w:t>7.</w:t>
      </w:r>
      <w:r>
        <w:rPr>
          <w:rFonts w:hint="default" w:ascii="Arial" w:hAnsi="Arial" w:cs="Arial"/>
          <w:sz w:val="24"/>
          <w:szCs w:val="24"/>
        </w:rPr>
        <w:t xml:space="preserve"> I could make sense of most of the things I saw and experienced in the exhibition.</w:t>
      </w:r>
      <w:r>
        <w:rPr>
          <w:rFonts w:hint="default" w:ascii="Arial" w:hAnsi="Arial" w:cs="Arial"/>
          <w:sz w:val="24"/>
          <w:szCs w:val="24"/>
        </w:rPr>
        <w:br w:type="textWrapping"/>
      </w:r>
      <w:r>
        <w:rPr>
          <w:rStyle w:val="7"/>
          <w:rFonts w:hint="default" w:ascii="Arial" w:hAnsi="Arial" w:cs="Arial"/>
          <w:sz w:val="24"/>
          <w:szCs w:val="24"/>
        </w:rPr>
        <w:t>8.</w:t>
      </w:r>
      <w:r>
        <w:rPr>
          <w:rFonts w:hint="default" w:ascii="Arial" w:hAnsi="Arial" w:cs="Arial"/>
          <w:sz w:val="24"/>
          <w:szCs w:val="24"/>
        </w:rPr>
        <w:t xml:space="preserve"> I liked the graphics/images used in the interpretation.</w:t>
      </w:r>
      <w:r>
        <w:rPr>
          <w:rFonts w:hint="default" w:ascii="Arial" w:hAnsi="Arial" w:cs="Arial"/>
          <w:sz w:val="24"/>
          <w:szCs w:val="24"/>
        </w:rPr>
        <w:br w:type="textWrapping"/>
      </w:r>
      <w:r>
        <w:rPr>
          <w:rStyle w:val="7"/>
          <w:rFonts w:hint="default" w:ascii="Arial" w:hAnsi="Arial" w:cs="Arial"/>
          <w:sz w:val="24"/>
          <w:szCs w:val="24"/>
        </w:rPr>
        <w:t>9.</w:t>
      </w:r>
      <w:r>
        <w:rPr>
          <w:rFonts w:hint="default" w:ascii="Arial" w:hAnsi="Arial" w:cs="Arial"/>
          <w:sz w:val="24"/>
          <w:szCs w:val="24"/>
        </w:rPr>
        <w:t xml:space="preserve"> This guide mode enriched my knowledge and understanding of the exhibits.</w:t>
      </w:r>
      <w:r>
        <w:rPr>
          <w:rFonts w:hint="default" w:ascii="Arial" w:hAnsi="Arial" w:cs="Arial"/>
          <w:sz w:val="24"/>
          <w:szCs w:val="24"/>
        </w:rPr>
        <w:br w:type="textWrapping"/>
      </w:r>
      <w:r>
        <w:rPr>
          <w:rStyle w:val="7"/>
          <w:rFonts w:hint="default" w:ascii="Arial" w:hAnsi="Arial" w:cs="Arial"/>
          <w:sz w:val="24"/>
          <w:szCs w:val="24"/>
        </w:rPr>
        <w:t>10.</w:t>
      </w:r>
      <w:r>
        <w:rPr>
          <w:rFonts w:hint="default" w:ascii="Arial" w:hAnsi="Arial" w:cs="Arial"/>
          <w:sz w:val="24"/>
          <w:szCs w:val="24"/>
        </w:rPr>
        <w:t xml:space="preserve"> Through this guide mode, I discovered new information about the exhibition.</w:t>
      </w:r>
    </w:p>
    <w:p w14:paraId="341C5B1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Meaningful Experience</w:t>
      </w:r>
    </w:p>
    <w:p w14:paraId="20AE18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11.</w:t>
      </w:r>
      <w:r>
        <w:rPr>
          <w:rFonts w:hint="default" w:ascii="Arial" w:hAnsi="Arial" w:cs="Arial"/>
          <w:sz w:val="24"/>
          <w:szCs w:val="24"/>
        </w:rPr>
        <w:t xml:space="preserve"> During my visit, I was able to reflect on the significance and meaning of the exhibits.</w:t>
      </w:r>
      <w:r>
        <w:rPr>
          <w:rFonts w:hint="default" w:ascii="Arial" w:hAnsi="Arial" w:cs="Arial"/>
          <w:sz w:val="24"/>
          <w:szCs w:val="24"/>
        </w:rPr>
        <w:br w:type="textWrapping"/>
      </w:r>
      <w:r>
        <w:rPr>
          <w:rStyle w:val="7"/>
          <w:rFonts w:hint="default" w:ascii="Arial" w:hAnsi="Arial" w:cs="Arial"/>
          <w:sz w:val="24"/>
          <w:szCs w:val="24"/>
        </w:rPr>
        <w:t>12.</w:t>
      </w:r>
      <w:r>
        <w:rPr>
          <w:rFonts w:hint="default" w:ascii="Arial" w:hAnsi="Arial" w:cs="Arial"/>
          <w:sz w:val="24"/>
          <w:szCs w:val="24"/>
        </w:rPr>
        <w:t xml:space="preserve"> During my visit, I put a lot of effort into thinking about the exhibition.</w:t>
      </w:r>
      <w:r>
        <w:rPr>
          <w:rFonts w:hint="default" w:ascii="Arial" w:hAnsi="Arial" w:cs="Arial"/>
          <w:sz w:val="24"/>
          <w:szCs w:val="24"/>
        </w:rPr>
        <w:br w:type="textWrapping"/>
      </w:r>
      <w:r>
        <w:rPr>
          <w:rStyle w:val="7"/>
          <w:rFonts w:hint="default" w:ascii="Arial" w:hAnsi="Arial" w:cs="Arial"/>
          <w:sz w:val="24"/>
          <w:szCs w:val="24"/>
        </w:rPr>
        <w:t>13.</w:t>
      </w:r>
      <w:r>
        <w:rPr>
          <w:rFonts w:hint="default" w:ascii="Arial" w:hAnsi="Arial" w:cs="Arial"/>
          <w:sz w:val="24"/>
          <w:szCs w:val="24"/>
        </w:rPr>
        <w:t xml:space="preserve"> This guide mode gave me a sense of wonder about the exhibition.</w:t>
      </w:r>
      <w:r>
        <w:rPr>
          <w:rFonts w:hint="default" w:ascii="Arial" w:hAnsi="Arial" w:cs="Arial"/>
          <w:sz w:val="24"/>
          <w:szCs w:val="24"/>
        </w:rPr>
        <w:br w:type="textWrapping"/>
      </w:r>
      <w:r>
        <w:rPr>
          <w:rStyle w:val="7"/>
          <w:rFonts w:hint="default" w:ascii="Arial" w:hAnsi="Arial" w:cs="Arial"/>
          <w:sz w:val="24"/>
          <w:szCs w:val="24"/>
        </w:rPr>
        <w:t>14.</w:t>
      </w:r>
      <w:r>
        <w:rPr>
          <w:rFonts w:hint="default" w:ascii="Arial" w:hAnsi="Arial" w:cs="Arial"/>
          <w:sz w:val="24"/>
          <w:szCs w:val="24"/>
        </w:rPr>
        <w:t xml:space="preserve"> After visiting the exhibition, I was still interested in learning more about the topic of the exhibition.</w:t>
      </w:r>
      <w:r>
        <w:rPr>
          <w:rFonts w:hint="default" w:ascii="Arial" w:hAnsi="Arial" w:cs="Arial"/>
          <w:sz w:val="24"/>
          <w:szCs w:val="24"/>
        </w:rPr>
        <w:br w:type="textWrapping"/>
      </w:r>
      <w:r>
        <w:rPr>
          <w:rStyle w:val="7"/>
          <w:rFonts w:hint="default" w:ascii="Arial" w:hAnsi="Arial" w:cs="Arial"/>
          <w:sz w:val="24"/>
          <w:szCs w:val="24"/>
        </w:rPr>
        <w:t>15.</w:t>
      </w:r>
      <w:r>
        <w:rPr>
          <w:rFonts w:hint="default" w:ascii="Arial" w:hAnsi="Arial" w:cs="Arial"/>
          <w:sz w:val="24"/>
          <w:szCs w:val="24"/>
        </w:rPr>
        <w:t xml:space="preserve"> I understood the importance of the exhibits.</w:t>
      </w:r>
    </w:p>
    <w:p w14:paraId="1105F8F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Emotional Connection</w:t>
      </w:r>
    </w:p>
    <w:p w14:paraId="0C803EA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16.</w:t>
      </w:r>
      <w:r>
        <w:rPr>
          <w:rFonts w:hint="default" w:ascii="Arial" w:hAnsi="Arial" w:cs="Arial"/>
          <w:sz w:val="24"/>
          <w:szCs w:val="24"/>
        </w:rPr>
        <w:t xml:space="preserve"> The exhibition enabled me to reminisce about my past experiences.</w:t>
      </w:r>
      <w:r>
        <w:rPr>
          <w:rFonts w:hint="default" w:ascii="Arial" w:hAnsi="Arial" w:cs="Arial"/>
          <w:sz w:val="24"/>
          <w:szCs w:val="24"/>
        </w:rPr>
        <w:br w:type="textWrapping"/>
      </w:r>
      <w:r>
        <w:rPr>
          <w:rStyle w:val="7"/>
          <w:rFonts w:hint="default" w:ascii="Arial" w:hAnsi="Arial" w:cs="Arial"/>
          <w:sz w:val="24"/>
          <w:szCs w:val="24"/>
        </w:rPr>
        <w:t>17.</w:t>
      </w:r>
      <w:r>
        <w:rPr>
          <w:rFonts w:hint="default" w:ascii="Arial" w:hAnsi="Arial" w:cs="Arial"/>
          <w:sz w:val="24"/>
          <w:szCs w:val="24"/>
        </w:rPr>
        <w:t xml:space="preserve"> I felt deeply immersed in the exhibition environment.</w:t>
      </w:r>
      <w:r>
        <w:rPr>
          <w:rFonts w:hint="default" w:ascii="Arial" w:hAnsi="Arial" w:cs="Arial"/>
          <w:sz w:val="24"/>
          <w:szCs w:val="24"/>
        </w:rPr>
        <w:br w:type="textWrapping"/>
      </w:r>
      <w:r>
        <w:rPr>
          <w:rStyle w:val="7"/>
          <w:rFonts w:hint="default" w:ascii="Arial" w:hAnsi="Arial" w:cs="Arial"/>
          <w:sz w:val="24"/>
          <w:szCs w:val="24"/>
        </w:rPr>
        <w:t>18.</w:t>
      </w:r>
      <w:r>
        <w:rPr>
          <w:rFonts w:hint="default" w:ascii="Arial" w:hAnsi="Arial" w:cs="Arial"/>
          <w:sz w:val="24"/>
          <w:szCs w:val="24"/>
        </w:rPr>
        <w:t xml:space="preserve"> I was overwhelmed by the artistic/aesthetic qualities of the exhibits.</w:t>
      </w:r>
      <w:r>
        <w:rPr>
          <w:rFonts w:hint="default" w:ascii="Arial" w:hAnsi="Arial" w:cs="Arial"/>
          <w:sz w:val="24"/>
          <w:szCs w:val="24"/>
        </w:rPr>
        <w:br w:type="textWrapping"/>
      </w:r>
      <w:r>
        <w:rPr>
          <w:rStyle w:val="7"/>
          <w:rFonts w:hint="default" w:ascii="Arial" w:hAnsi="Arial" w:cs="Arial"/>
          <w:sz w:val="24"/>
          <w:szCs w:val="24"/>
        </w:rPr>
        <w:t>19.</w:t>
      </w:r>
      <w:r>
        <w:rPr>
          <w:rFonts w:hint="default" w:ascii="Arial" w:hAnsi="Arial" w:cs="Arial"/>
          <w:sz w:val="24"/>
          <w:szCs w:val="24"/>
        </w:rPr>
        <w:t xml:space="preserve"> I wished I could own souvenirs related to the exhibits.</w:t>
      </w:r>
      <w:r>
        <w:rPr>
          <w:rFonts w:hint="default" w:ascii="Arial" w:hAnsi="Arial" w:cs="Arial"/>
          <w:sz w:val="24"/>
          <w:szCs w:val="24"/>
        </w:rPr>
        <w:br w:type="textWrapping"/>
      </w:r>
      <w:r>
        <w:rPr>
          <w:rStyle w:val="7"/>
          <w:rFonts w:hint="default" w:ascii="Arial" w:hAnsi="Arial" w:cs="Arial"/>
          <w:sz w:val="24"/>
          <w:szCs w:val="24"/>
        </w:rPr>
        <w:t>20.</w:t>
      </w:r>
      <w:r>
        <w:rPr>
          <w:rFonts w:hint="default" w:ascii="Arial" w:hAnsi="Arial" w:cs="Arial"/>
          <w:sz w:val="24"/>
          <w:szCs w:val="24"/>
        </w:rPr>
        <w:t xml:space="preserve"> I felt emotionally connected with the exhibits.</w:t>
      </w:r>
    </w:p>
    <w:p w14:paraId="6D367C7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Fonts w:hint="default" w:ascii="Arial" w:hAnsi="Arial" w:cs="Arial"/>
          <w:sz w:val="24"/>
          <w:szCs w:val="24"/>
        </w:rPr>
        <w:t>Behavioral Intentions</w:t>
      </w:r>
    </w:p>
    <w:p w14:paraId="7D7A9B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Arial" w:hAnsi="Arial" w:cs="Arial"/>
          <w:sz w:val="24"/>
          <w:szCs w:val="24"/>
        </w:rPr>
      </w:pPr>
      <w:r>
        <w:rPr>
          <w:rStyle w:val="7"/>
          <w:rFonts w:hint="default" w:ascii="Arial" w:hAnsi="Arial" w:cs="Arial"/>
          <w:sz w:val="24"/>
          <w:szCs w:val="24"/>
        </w:rPr>
        <w:t>21.</w:t>
      </w:r>
      <w:r>
        <w:rPr>
          <w:rFonts w:hint="default" w:ascii="Arial" w:hAnsi="Arial" w:cs="Arial"/>
          <w:sz w:val="24"/>
          <w:szCs w:val="24"/>
        </w:rPr>
        <w:t xml:space="preserve"> I would recommend this guide mode to my friends when visiting an exhibition.</w:t>
      </w:r>
      <w:r>
        <w:rPr>
          <w:rFonts w:hint="default" w:ascii="Arial" w:hAnsi="Arial" w:cs="Arial"/>
          <w:sz w:val="24"/>
          <w:szCs w:val="24"/>
        </w:rPr>
        <w:br w:type="textWrapping"/>
      </w:r>
      <w:r>
        <w:rPr>
          <w:rStyle w:val="7"/>
          <w:rFonts w:hint="default" w:ascii="Arial" w:hAnsi="Arial" w:cs="Arial"/>
          <w:sz w:val="24"/>
          <w:szCs w:val="24"/>
        </w:rPr>
        <w:t>22.</w:t>
      </w:r>
      <w:r>
        <w:rPr>
          <w:rFonts w:hint="default" w:ascii="Arial" w:hAnsi="Arial" w:cs="Arial"/>
          <w:sz w:val="24"/>
          <w:szCs w:val="24"/>
        </w:rPr>
        <w:t xml:space="preserve"> I would use this guide mode again when visiting other exhibitions.</w:t>
      </w:r>
    </w:p>
    <w:p w14:paraId="44EDB8C2">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Arial" w:hAnsi="Arial" w:cs="Arial"/>
          <w:b/>
          <w:bCs/>
          <w:sz w:val="24"/>
          <w:szCs w:val="24"/>
        </w:rPr>
      </w:pPr>
    </w:p>
    <w:p w14:paraId="247D1B58">
      <w:pPr>
        <w:pStyle w:val="4"/>
        <w:keepNext w:val="0"/>
        <w:keepLines w:val="0"/>
        <w:widowControl/>
        <w:suppressLineNumbers w:val="0"/>
      </w:pPr>
      <w:r>
        <w:rPr>
          <w:rStyle w:val="7"/>
        </w:rPr>
        <w:t>Source of the Scale</w:t>
      </w:r>
      <w:r>
        <w:br w:type="textWrapping"/>
      </w:r>
      <w:r>
        <w:t>Items 1–20 were adapted from the Museum Experience Scale (MES) developed by Othman, Petrie, and Power (2011). Some items were contextually modified to refer to</w:t>
      </w:r>
      <w:bookmarkStart w:id="0" w:name="_GoBack"/>
      <w:bookmarkEnd w:id="0"/>
      <w:r>
        <w:t xml:space="preserve"> the museum guide modes evaluated in this study. </w:t>
      </w:r>
    </w:p>
    <w:p w14:paraId="30258357">
      <w:pPr>
        <w:pStyle w:val="4"/>
        <w:keepNext w:val="0"/>
        <w:keepLines w:val="0"/>
        <w:widowControl/>
        <w:suppressLineNumbers w:val="0"/>
      </w:pPr>
      <w:r>
        <w:t xml:space="preserve">Othman, M. K., Petrie, H., &amp; Power, C. (2011). Engaging Visitors in Museums with Technology: Scales for the Measurement of Visitor and Multimedia Guide Experience. In </w:t>
      </w:r>
      <w:r>
        <w:rPr>
          <w:rStyle w:val="8"/>
        </w:rPr>
        <w:t>Human-Computer Interaction – INTERACT 2011</w:t>
      </w:r>
      <w:r>
        <w:t>, LNCS 6949, pp. 92–99. Springer.</w:t>
      </w:r>
    </w:p>
    <w:p w14:paraId="1431A0E5">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ascii="Arial" w:hAnsi="Arial" w:cs="Arial"/>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279FB"/>
    <w:rsid w:val="25F81110"/>
    <w:rsid w:val="49433FBF"/>
    <w:rsid w:val="7F527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2026-08-22T07:05:00Z</dcterms:created>
  <dc:creator>18724606327</dc:creator>
  <cp:lastModifiedBy>18724606327</cp:lastModifiedBy>
  <dcterms:modified xsi:type="dcterms:W3CDTF">2026-08-22T07:47:24Z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729E3D934EA7427E98363EB9CC7D46DA_11</vt:lpwstr>
  </property>
  <property fmtid="{D5CDD505-2E9C-101B-9397-08002B2CF9AE}" pid="4" name="KSOTemplateDocerSaveRecord">
    <vt:lpwstr>eyJoZGlkIjoiOGQ5MjU0MjAwZWFkZmZhNDU3MGE4N2YxMDVhY2Y0YzAiLCJ1c2VySWQiOiIxNjI5NDcxMDUyIn0=</vt:lpwstr>
  </property>
</Properties>
</file>