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276BB" w14:textId="540B5C51" w:rsidR="00D02A6B" w:rsidRDefault="000673BF" w:rsidP="003052EC">
      <w:pPr>
        <w:pStyle w:val="NormalWeb"/>
        <w:spacing w:line="276" w:lineRule="auto"/>
        <w:jc w:val="center"/>
        <w:rPr>
          <w:b/>
          <w:bCs/>
          <w:color w:val="000000" w:themeColor="text1"/>
          <w:u w:val="single"/>
        </w:rPr>
      </w:pPr>
      <w:r w:rsidRPr="008541F9">
        <w:rPr>
          <w:b/>
          <w:bCs/>
          <w:color w:val="000000" w:themeColor="text1"/>
          <w:u w:val="single"/>
        </w:rPr>
        <w:t xml:space="preserve">Supplementary </w:t>
      </w:r>
      <w:r w:rsidR="00D02A6B" w:rsidRPr="008541F9">
        <w:rPr>
          <w:b/>
          <w:bCs/>
          <w:color w:val="000000" w:themeColor="text1"/>
          <w:u w:val="single"/>
        </w:rPr>
        <w:t>Methods</w:t>
      </w:r>
    </w:p>
    <w:p w14:paraId="2EFDB73D" w14:textId="77777777" w:rsidR="000E2983" w:rsidRPr="008B4182" w:rsidRDefault="000E2983" w:rsidP="000E2983">
      <w:pPr>
        <w:pStyle w:val="NormalWeb"/>
        <w:spacing w:line="276" w:lineRule="auto"/>
        <w:jc w:val="both"/>
        <w:rPr>
          <w:b/>
          <w:bCs/>
          <w:color w:val="000000" w:themeColor="text1"/>
          <w:lang w:val="en-GB"/>
        </w:rPr>
      </w:pPr>
      <w:r w:rsidRPr="008B4182">
        <w:rPr>
          <w:b/>
          <w:bCs/>
          <w:color w:val="000000" w:themeColor="text1"/>
          <w:lang w:val="en-GB"/>
        </w:rPr>
        <w:t>Supplementary Methods: Computational Design, Molecular Simulations, Chemical Synthesis, and Biological Evaluation</w:t>
      </w:r>
      <w:r>
        <w:rPr>
          <w:b/>
          <w:bCs/>
          <w:color w:val="000000" w:themeColor="text1"/>
          <w:lang w:val="en-GB"/>
        </w:rPr>
        <w:t>.</w:t>
      </w:r>
    </w:p>
    <w:p w14:paraId="70D17837" w14:textId="1C42AD2D" w:rsidR="000E2983" w:rsidRPr="000E2983" w:rsidRDefault="000E2983" w:rsidP="000E2983">
      <w:pPr>
        <w:pStyle w:val="NormalWeb"/>
        <w:spacing w:line="360" w:lineRule="auto"/>
        <w:jc w:val="both"/>
        <w:rPr>
          <w:color w:val="000000" w:themeColor="text1"/>
          <w:lang w:val="en-GB"/>
        </w:rPr>
      </w:pPr>
      <w:r w:rsidRPr="005657A0">
        <w:rPr>
          <w:color w:val="000000" w:themeColor="text1"/>
          <w:lang w:val="en-GB"/>
        </w:rPr>
        <w:t>This Supplementary Methods section describes the integrated computational and experimental workflow used to discover and validate the EGFR-targeted inhibitor EGFPAN_EMBS. It includes protocols for protein and ligand preparation, molecular docking, candidate prioritization, conformer generation using conditional generative adversarial networks (CGANs), and molecular dynamics simulations. Subsequent sections detail the chemical synthesis, purification, and structural characterization of EGFPAN_EMBS. Biological evaluation procedures, including kinase inhibition assays, cell viability analysis, and migration studies, are also described to validate its anticancer activity and functional effects.</w:t>
      </w:r>
    </w:p>
    <w:p w14:paraId="1F6721CC" w14:textId="77777777" w:rsidR="003C2B54" w:rsidRPr="008541F9" w:rsidRDefault="003C2B54" w:rsidP="003C2B54">
      <w:pPr>
        <w:pStyle w:val="ListParagraph"/>
        <w:numPr>
          <w:ilvl w:val="0"/>
          <w:numId w:val="4"/>
        </w:numPr>
        <w:spacing w:line="360" w:lineRule="auto"/>
        <w:jc w:val="both"/>
        <w:rPr>
          <w:rFonts w:ascii="Times New Roman" w:hAnsi="Times New Roman" w:cs="Times New Roman"/>
          <w:color w:val="000000" w:themeColor="text1"/>
          <w:sz w:val="24"/>
          <w:szCs w:val="24"/>
        </w:rPr>
      </w:pPr>
      <w:r w:rsidRPr="008541F9">
        <w:rPr>
          <w:rFonts w:ascii="Times New Roman" w:hAnsi="Times New Roman" w:cs="Times New Roman"/>
          <w:b/>
          <w:bCs/>
          <w:color w:val="000000" w:themeColor="text1"/>
          <w:sz w:val="24"/>
          <w:szCs w:val="24"/>
        </w:rPr>
        <w:t xml:space="preserve">Protein and Ligand Preparation. </w:t>
      </w:r>
    </w:p>
    <w:p w14:paraId="7B116264" w14:textId="03F8A078" w:rsidR="00702435" w:rsidRPr="008541F9" w:rsidRDefault="00702435" w:rsidP="00702435">
      <w:pPr>
        <w:pStyle w:val="NormalWeb"/>
        <w:spacing w:line="360" w:lineRule="auto"/>
        <w:jc w:val="both"/>
        <w:rPr>
          <w:color w:val="000000" w:themeColor="text1"/>
          <w:lang w:val="en-US"/>
        </w:rPr>
      </w:pPr>
      <w:r w:rsidRPr="008541F9">
        <w:rPr>
          <w:color w:val="000000" w:themeColor="text1"/>
          <w:lang w:val="en-US"/>
        </w:rPr>
        <w:t xml:space="preserve">A comprehensive literature survey was conducted to identify epidermal growth factor receptor (EGFR) inhibitors with reported relevance to pancreatic cancer </w:t>
      </w:r>
      <w:r w:rsidRPr="000E2983">
        <w:rPr>
          <w:b/>
          <w:bCs/>
          <w:color w:val="000000" w:themeColor="text1"/>
          <w:lang w:val="en-US"/>
        </w:rPr>
        <w:t xml:space="preserve">(Tables </w:t>
      </w:r>
      <w:r w:rsidR="000E2983">
        <w:rPr>
          <w:b/>
          <w:bCs/>
          <w:color w:val="000000" w:themeColor="text1"/>
          <w:lang w:val="en-US"/>
        </w:rPr>
        <w:t>SM</w:t>
      </w:r>
      <w:r w:rsidRPr="000E2983">
        <w:rPr>
          <w:b/>
          <w:bCs/>
          <w:color w:val="000000" w:themeColor="text1"/>
          <w:lang w:val="en-US"/>
        </w:rPr>
        <w:t>1 &amp; 2).</w:t>
      </w:r>
      <w:r w:rsidRPr="008541F9">
        <w:rPr>
          <w:color w:val="000000" w:themeColor="text1"/>
          <w:lang w:val="en-US"/>
        </w:rPr>
        <w:t xml:space="preserve"> For each inhibitor, </w:t>
      </w:r>
      <w:r w:rsidRPr="00B76ADB">
        <w:rPr>
          <w:color w:val="000000" w:themeColor="text1"/>
          <w:lang w:val="en-US"/>
        </w:rPr>
        <w:t xml:space="preserve">physicochemical parameters and molecular descriptors were collected </w:t>
      </w:r>
      <w:r w:rsidR="00DE712C" w:rsidRPr="00B76ADB">
        <w:t>[18,51,62]</w:t>
      </w:r>
      <w:r w:rsidR="000E2983" w:rsidRPr="00B76ADB">
        <w:t>.</w:t>
      </w:r>
      <w:r w:rsidRPr="00B76ADB">
        <w:rPr>
          <w:color w:val="000000" w:themeColor="text1"/>
          <w:lang w:val="en-US"/>
        </w:rPr>
        <w:t xml:space="preserve"> The crystal structure of EGFR (PDB ID: </w:t>
      </w:r>
      <w:r w:rsidR="00800146" w:rsidRPr="00B76ADB">
        <w:rPr>
          <w:color w:val="000000" w:themeColor="text1"/>
          <w:lang w:val="en-US"/>
        </w:rPr>
        <w:t>5XWD</w:t>
      </w:r>
      <w:r w:rsidRPr="00B76ADB">
        <w:rPr>
          <w:color w:val="000000" w:themeColor="text1"/>
          <w:lang w:val="en-US"/>
        </w:rPr>
        <w:t>) was retrieved from the Protein Data Bank, selected due to its well-characterized ATP-binding site in complex with the clinically relevant inhibitor erlotinib, enabling accurate modeling of ATP-competitive</w:t>
      </w:r>
      <w:r w:rsidRPr="008541F9">
        <w:rPr>
          <w:color w:val="000000" w:themeColor="text1"/>
          <w:lang w:val="en-US"/>
        </w:rPr>
        <w:t xml:space="preserve"> inhibition. Structural preprocessing was performed using PyMOL (v2.5; </w:t>
      </w:r>
      <w:hyperlink r:id="rId8" w:history="1">
        <w:r w:rsidR="000E2983" w:rsidRPr="00810595">
          <w:rPr>
            <w:rStyle w:val="Hyperlink"/>
            <w:lang w:val="en-US"/>
          </w:rPr>
          <w:t>https://pymol.org/</w:t>
        </w:r>
      </w:hyperlink>
      <w:r w:rsidRPr="008541F9">
        <w:rPr>
          <w:color w:val="000000" w:themeColor="text1"/>
          <w:lang w:val="en-US"/>
        </w:rPr>
        <w:t>),</w:t>
      </w:r>
      <w:r w:rsidR="000E2983">
        <w:rPr>
          <w:color w:val="000000" w:themeColor="text1"/>
          <w:lang w:val="en-US"/>
        </w:rPr>
        <w:t xml:space="preserve"> </w:t>
      </w:r>
      <w:r w:rsidRPr="008541F9">
        <w:rPr>
          <w:color w:val="000000" w:themeColor="text1"/>
          <w:lang w:val="en-US"/>
        </w:rPr>
        <w:t xml:space="preserve">during which crystallographic water molecules and co-crystallized ligands were removed. Missing residues and loop regions were subsequently modeled using MODELLER (v10.4; </w:t>
      </w:r>
      <w:hyperlink r:id="rId9" w:history="1">
        <w:r w:rsidR="000E2983" w:rsidRPr="00810595">
          <w:rPr>
            <w:rStyle w:val="Hyperlink"/>
            <w:lang w:val="en-US"/>
          </w:rPr>
          <w:t>https://salilab.org/modeller/</w:t>
        </w:r>
      </w:hyperlink>
      <w:r w:rsidRPr="008541F9">
        <w:rPr>
          <w:color w:val="000000" w:themeColor="text1"/>
          <w:lang w:val="en-US"/>
        </w:rPr>
        <w:t>)</w:t>
      </w:r>
      <w:r w:rsidR="000E2983">
        <w:rPr>
          <w:color w:val="000000" w:themeColor="text1"/>
          <w:lang w:val="en-US"/>
        </w:rPr>
        <w:t xml:space="preserve"> </w:t>
      </w:r>
      <w:r w:rsidRPr="008541F9">
        <w:rPr>
          <w:color w:val="000000" w:themeColor="text1"/>
          <w:lang w:val="en-US"/>
        </w:rPr>
        <w:t>to obtain a complete protein structure suitable for downstream analysis. The prepared protein structure was further validated and converted into the required format for docking studies. Ligand structures were obtained from the PubChem database and prepared using the Open Babel package. Geometry optimization was performed using the MMFF94 force field, and all structures were saved in .sdf format for subsequent molecular docking.</w:t>
      </w:r>
    </w:p>
    <w:p w14:paraId="78A4D781" w14:textId="47E61263" w:rsidR="00D02A6B" w:rsidRPr="008541F9" w:rsidRDefault="00D02A6B" w:rsidP="00FD40A6">
      <w:pPr>
        <w:pStyle w:val="NormalWeb"/>
        <w:spacing w:line="360" w:lineRule="auto"/>
        <w:jc w:val="both"/>
        <w:rPr>
          <w:b/>
          <w:color w:val="000000" w:themeColor="text1"/>
        </w:rPr>
      </w:pPr>
      <w:r w:rsidRPr="008541F9">
        <w:rPr>
          <w:b/>
          <w:color w:val="000000" w:themeColor="text1"/>
        </w:rPr>
        <w:t xml:space="preserve">Table </w:t>
      </w:r>
      <w:r w:rsidR="000E2983">
        <w:rPr>
          <w:b/>
          <w:color w:val="000000" w:themeColor="text1"/>
        </w:rPr>
        <w:t>SM</w:t>
      </w:r>
      <w:r w:rsidR="000E2983">
        <w:rPr>
          <w:b/>
          <w:iCs/>
          <w:color w:val="000000" w:themeColor="text1"/>
        </w:rPr>
        <w:t>1: List of Synthe</w:t>
      </w:r>
      <w:r w:rsidR="000E2983" w:rsidRPr="00766298">
        <w:rPr>
          <w:b/>
          <w:color w:val="000000" w:themeColor="text1"/>
          <w:lang w:val="en-GB"/>
        </w:rPr>
        <w:t>tic EGFR inhibitors used for docking-based comparative analysis</w:t>
      </w:r>
    </w:p>
    <w:tbl>
      <w:tblPr>
        <w:tblpPr w:leftFromText="180" w:rightFromText="180" w:vertAnchor="text" w:tblpXSpec="center" w:tblpY="2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2360"/>
        <w:gridCol w:w="1109"/>
        <w:gridCol w:w="1283"/>
        <w:gridCol w:w="650"/>
        <w:gridCol w:w="650"/>
        <w:gridCol w:w="874"/>
        <w:gridCol w:w="1418"/>
      </w:tblGrid>
      <w:tr w:rsidR="008541F9" w:rsidRPr="00AA5727" w14:paraId="01AA4E89" w14:textId="77777777" w:rsidTr="00AA5727">
        <w:trPr>
          <w:trHeight w:val="540"/>
        </w:trPr>
        <w:tc>
          <w:tcPr>
            <w:tcW w:w="389" w:type="pct"/>
            <w:vAlign w:val="center"/>
            <w:hideMark/>
          </w:tcPr>
          <w:p w14:paraId="66EC6F8A" w14:textId="1DF245F8"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lastRenderedPageBreak/>
              <w:t>S.No.</w:t>
            </w:r>
          </w:p>
        </w:tc>
        <w:tc>
          <w:tcPr>
            <w:tcW w:w="1202" w:type="pct"/>
            <w:vAlign w:val="center"/>
            <w:hideMark/>
          </w:tcPr>
          <w:p w14:paraId="177FEEC1"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Inhibitors</w:t>
            </w:r>
          </w:p>
        </w:tc>
        <w:tc>
          <w:tcPr>
            <w:tcW w:w="615" w:type="pct"/>
            <w:vAlign w:val="center"/>
            <w:hideMark/>
          </w:tcPr>
          <w:p w14:paraId="21F731FD"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PubChem ID</w:t>
            </w:r>
          </w:p>
        </w:tc>
        <w:tc>
          <w:tcPr>
            <w:tcW w:w="712" w:type="pct"/>
            <w:vAlign w:val="center"/>
            <w:hideMark/>
          </w:tcPr>
          <w:p w14:paraId="23458284"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MW (g/mol)</w:t>
            </w:r>
          </w:p>
        </w:tc>
        <w:tc>
          <w:tcPr>
            <w:tcW w:w="381" w:type="pct"/>
            <w:vAlign w:val="center"/>
            <w:hideMark/>
          </w:tcPr>
          <w:p w14:paraId="3CACBFFF"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HBD</w:t>
            </w:r>
          </w:p>
        </w:tc>
        <w:tc>
          <w:tcPr>
            <w:tcW w:w="393" w:type="pct"/>
            <w:vAlign w:val="center"/>
            <w:hideMark/>
          </w:tcPr>
          <w:p w14:paraId="4A4E5C66"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HBA</w:t>
            </w:r>
          </w:p>
        </w:tc>
        <w:tc>
          <w:tcPr>
            <w:tcW w:w="504" w:type="pct"/>
            <w:vAlign w:val="center"/>
            <w:hideMark/>
          </w:tcPr>
          <w:p w14:paraId="3B3B88D3"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LogP</w:t>
            </w:r>
          </w:p>
        </w:tc>
        <w:tc>
          <w:tcPr>
            <w:tcW w:w="804" w:type="pct"/>
            <w:vAlign w:val="center"/>
          </w:tcPr>
          <w:p w14:paraId="75FCE356" w14:textId="1E52E313"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Ref</w:t>
            </w:r>
            <w:r w:rsidR="000E2983" w:rsidRPr="00AA5727">
              <w:rPr>
                <w:rFonts w:ascii="Times New Roman" w:eastAsia="Times New Roman" w:hAnsi="Times New Roman" w:cs="Times New Roman"/>
                <w:b/>
                <w:bCs/>
                <w:color w:val="000000" w:themeColor="text1"/>
                <w:sz w:val="20"/>
                <w:szCs w:val="20"/>
                <w:lang w:eastAsia="en-IN" w:bidi="te-IN"/>
              </w:rPr>
              <w:t>erence</w:t>
            </w:r>
          </w:p>
        </w:tc>
      </w:tr>
      <w:tr w:rsidR="008541F9" w:rsidRPr="00AA5727" w14:paraId="035DC68A" w14:textId="77777777" w:rsidTr="00AA5727">
        <w:trPr>
          <w:trHeight w:val="300"/>
        </w:trPr>
        <w:tc>
          <w:tcPr>
            <w:tcW w:w="389" w:type="pct"/>
            <w:vAlign w:val="center"/>
          </w:tcPr>
          <w:p w14:paraId="7D938DA5" w14:textId="77777777" w:rsidR="00D02A6B" w:rsidRPr="00AA5727" w:rsidRDefault="00D02A6B"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bookmarkStart w:id="0" w:name="_Hlk203736031"/>
          </w:p>
        </w:tc>
        <w:tc>
          <w:tcPr>
            <w:tcW w:w="1202" w:type="pct"/>
            <w:vAlign w:val="center"/>
          </w:tcPr>
          <w:p w14:paraId="20ADF5C5"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Erlotinib</w:t>
            </w:r>
          </w:p>
        </w:tc>
        <w:tc>
          <w:tcPr>
            <w:tcW w:w="615" w:type="pct"/>
            <w:vAlign w:val="center"/>
          </w:tcPr>
          <w:p w14:paraId="4CBA4B20"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176870</w:t>
            </w:r>
          </w:p>
        </w:tc>
        <w:tc>
          <w:tcPr>
            <w:tcW w:w="712" w:type="pct"/>
            <w:vAlign w:val="center"/>
          </w:tcPr>
          <w:p w14:paraId="21E0EC2F"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393.4</w:t>
            </w:r>
          </w:p>
        </w:tc>
        <w:tc>
          <w:tcPr>
            <w:tcW w:w="381" w:type="pct"/>
            <w:vAlign w:val="center"/>
          </w:tcPr>
          <w:p w14:paraId="4CD18D95"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w:t>
            </w:r>
          </w:p>
        </w:tc>
        <w:tc>
          <w:tcPr>
            <w:tcW w:w="393" w:type="pct"/>
            <w:vAlign w:val="center"/>
          </w:tcPr>
          <w:p w14:paraId="1E31640C"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7</w:t>
            </w:r>
          </w:p>
        </w:tc>
        <w:tc>
          <w:tcPr>
            <w:tcW w:w="504" w:type="pct"/>
            <w:vAlign w:val="center"/>
          </w:tcPr>
          <w:p w14:paraId="67D7EECF"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3.3</w:t>
            </w:r>
          </w:p>
        </w:tc>
        <w:tc>
          <w:tcPr>
            <w:tcW w:w="804" w:type="pct"/>
            <w:vAlign w:val="center"/>
          </w:tcPr>
          <w:p w14:paraId="61F15BDB" w14:textId="51DB87C6" w:rsidR="00D02A6B"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[63]</w:t>
            </w:r>
          </w:p>
        </w:tc>
      </w:tr>
      <w:tr w:rsidR="008541F9" w:rsidRPr="00AA5727" w14:paraId="2F884D80" w14:textId="77777777" w:rsidTr="00AA5727">
        <w:trPr>
          <w:trHeight w:val="290"/>
        </w:trPr>
        <w:tc>
          <w:tcPr>
            <w:tcW w:w="389" w:type="pct"/>
            <w:vAlign w:val="center"/>
          </w:tcPr>
          <w:p w14:paraId="3F9657C7" w14:textId="77777777" w:rsidR="00D02A6B" w:rsidRPr="00AA5727" w:rsidRDefault="00D02A6B"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05B23740"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Gefitinib</w:t>
            </w:r>
          </w:p>
        </w:tc>
        <w:tc>
          <w:tcPr>
            <w:tcW w:w="615" w:type="pct"/>
            <w:vAlign w:val="center"/>
          </w:tcPr>
          <w:p w14:paraId="20FE5071"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123631</w:t>
            </w:r>
          </w:p>
        </w:tc>
        <w:tc>
          <w:tcPr>
            <w:tcW w:w="712" w:type="pct"/>
            <w:vAlign w:val="center"/>
          </w:tcPr>
          <w:p w14:paraId="5760CFBF"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446.9</w:t>
            </w:r>
          </w:p>
        </w:tc>
        <w:tc>
          <w:tcPr>
            <w:tcW w:w="381" w:type="pct"/>
            <w:vAlign w:val="center"/>
          </w:tcPr>
          <w:p w14:paraId="380EC447"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w:t>
            </w:r>
          </w:p>
        </w:tc>
        <w:tc>
          <w:tcPr>
            <w:tcW w:w="393" w:type="pct"/>
            <w:vAlign w:val="center"/>
          </w:tcPr>
          <w:p w14:paraId="298CB53B"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8</w:t>
            </w:r>
          </w:p>
        </w:tc>
        <w:tc>
          <w:tcPr>
            <w:tcW w:w="504" w:type="pct"/>
            <w:vAlign w:val="center"/>
          </w:tcPr>
          <w:p w14:paraId="16115F52" w14:textId="04A6C1AB" w:rsidR="00D02A6B" w:rsidRPr="00AA5727" w:rsidRDefault="00BD63A9"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4.1</w:t>
            </w:r>
          </w:p>
        </w:tc>
        <w:tc>
          <w:tcPr>
            <w:tcW w:w="804" w:type="pct"/>
            <w:vAlign w:val="center"/>
          </w:tcPr>
          <w:p w14:paraId="338279D2" w14:textId="1A43F86F" w:rsidR="00D02A6B"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[64]</w:t>
            </w:r>
          </w:p>
        </w:tc>
      </w:tr>
      <w:tr w:rsidR="008541F9" w:rsidRPr="00AA5727" w14:paraId="347B88A2" w14:textId="77777777" w:rsidTr="00AA5727">
        <w:trPr>
          <w:trHeight w:val="290"/>
        </w:trPr>
        <w:tc>
          <w:tcPr>
            <w:tcW w:w="389" w:type="pct"/>
            <w:vAlign w:val="center"/>
          </w:tcPr>
          <w:p w14:paraId="1B11E3AC" w14:textId="77777777" w:rsidR="00D02A6B" w:rsidRPr="00AA5727" w:rsidRDefault="00D02A6B"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1857EB7E"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Osimertinib</w:t>
            </w:r>
          </w:p>
        </w:tc>
        <w:tc>
          <w:tcPr>
            <w:tcW w:w="615" w:type="pct"/>
            <w:vAlign w:val="center"/>
          </w:tcPr>
          <w:p w14:paraId="7FF2087A"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71496458</w:t>
            </w:r>
          </w:p>
        </w:tc>
        <w:tc>
          <w:tcPr>
            <w:tcW w:w="712" w:type="pct"/>
            <w:vAlign w:val="center"/>
          </w:tcPr>
          <w:p w14:paraId="033C2A02"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499.6</w:t>
            </w:r>
          </w:p>
        </w:tc>
        <w:tc>
          <w:tcPr>
            <w:tcW w:w="381" w:type="pct"/>
            <w:vAlign w:val="center"/>
          </w:tcPr>
          <w:p w14:paraId="3624419B"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2</w:t>
            </w:r>
          </w:p>
        </w:tc>
        <w:tc>
          <w:tcPr>
            <w:tcW w:w="393" w:type="pct"/>
            <w:vAlign w:val="center"/>
          </w:tcPr>
          <w:p w14:paraId="27F5979A"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7</w:t>
            </w:r>
          </w:p>
        </w:tc>
        <w:tc>
          <w:tcPr>
            <w:tcW w:w="504" w:type="pct"/>
            <w:vAlign w:val="center"/>
          </w:tcPr>
          <w:p w14:paraId="13C5B395"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3.7</w:t>
            </w:r>
          </w:p>
        </w:tc>
        <w:tc>
          <w:tcPr>
            <w:tcW w:w="804" w:type="pct"/>
            <w:vAlign w:val="center"/>
          </w:tcPr>
          <w:p w14:paraId="22871D4B" w14:textId="5F5D502D" w:rsidR="00D02A6B"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[65]</w:t>
            </w:r>
          </w:p>
        </w:tc>
      </w:tr>
      <w:tr w:rsidR="008541F9" w:rsidRPr="00AA5727" w14:paraId="07DFCAE5" w14:textId="77777777" w:rsidTr="00AA5727">
        <w:trPr>
          <w:trHeight w:val="290"/>
        </w:trPr>
        <w:tc>
          <w:tcPr>
            <w:tcW w:w="389" w:type="pct"/>
            <w:vAlign w:val="center"/>
          </w:tcPr>
          <w:p w14:paraId="02358626" w14:textId="77777777" w:rsidR="00D02A6B" w:rsidRPr="00AA5727" w:rsidRDefault="00D02A6B"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5A68045E"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Afatinib</w:t>
            </w:r>
          </w:p>
        </w:tc>
        <w:tc>
          <w:tcPr>
            <w:tcW w:w="615" w:type="pct"/>
            <w:vAlign w:val="center"/>
          </w:tcPr>
          <w:p w14:paraId="637C7C90"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10184653</w:t>
            </w:r>
          </w:p>
        </w:tc>
        <w:tc>
          <w:tcPr>
            <w:tcW w:w="712" w:type="pct"/>
            <w:vAlign w:val="center"/>
          </w:tcPr>
          <w:p w14:paraId="39C39F2B"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485.9</w:t>
            </w:r>
          </w:p>
        </w:tc>
        <w:tc>
          <w:tcPr>
            <w:tcW w:w="381" w:type="pct"/>
            <w:vAlign w:val="center"/>
          </w:tcPr>
          <w:p w14:paraId="20BDFBF4"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2</w:t>
            </w:r>
          </w:p>
        </w:tc>
        <w:tc>
          <w:tcPr>
            <w:tcW w:w="393" w:type="pct"/>
            <w:vAlign w:val="center"/>
          </w:tcPr>
          <w:p w14:paraId="3377967C"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8</w:t>
            </w:r>
          </w:p>
        </w:tc>
        <w:tc>
          <w:tcPr>
            <w:tcW w:w="504" w:type="pct"/>
            <w:vAlign w:val="center"/>
          </w:tcPr>
          <w:p w14:paraId="0DD4DA88"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3.6</w:t>
            </w:r>
          </w:p>
        </w:tc>
        <w:tc>
          <w:tcPr>
            <w:tcW w:w="804" w:type="pct"/>
            <w:vAlign w:val="center"/>
          </w:tcPr>
          <w:p w14:paraId="39D051D2" w14:textId="482665B8" w:rsidR="00D02A6B" w:rsidRPr="00AA5727" w:rsidRDefault="0072565E" w:rsidP="00AA5727">
            <w:pPr>
              <w:spacing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[66]</w:t>
            </w:r>
          </w:p>
        </w:tc>
      </w:tr>
      <w:tr w:rsidR="008541F9" w:rsidRPr="00AA5727" w14:paraId="45D1A66E" w14:textId="77777777" w:rsidTr="00AA5727">
        <w:trPr>
          <w:trHeight w:val="262"/>
        </w:trPr>
        <w:tc>
          <w:tcPr>
            <w:tcW w:w="389" w:type="pct"/>
            <w:vAlign w:val="center"/>
          </w:tcPr>
          <w:p w14:paraId="2F77725B" w14:textId="77777777" w:rsidR="00D02A6B" w:rsidRPr="00AA5727" w:rsidRDefault="00D02A6B"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146AEB9F"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Icotinib</w:t>
            </w:r>
          </w:p>
        </w:tc>
        <w:tc>
          <w:tcPr>
            <w:tcW w:w="615" w:type="pct"/>
            <w:vAlign w:val="center"/>
          </w:tcPr>
          <w:p w14:paraId="64DDEF14"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22024915</w:t>
            </w:r>
          </w:p>
        </w:tc>
        <w:tc>
          <w:tcPr>
            <w:tcW w:w="712" w:type="pct"/>
            <w:vAlign w:val="center"/>
          </w:tcPr>
          <w:p w14:paraId="3129B493"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391.4</w:t>
            </w:r>
          </w:p>
        </w:tc>
        <w:tc>
          <w:tcPr>
            <w:tcW w:w="381" w:type="pct"/>
            <w:vAlign w:val="center"/>
          </w:tcPr>
          <w:p w14:paraId="28012ADE"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w:t>
            </w:r>
          </w:p>
        </w:tc>
        <w:tc>
          <w:tcPr>
            <w:tcW w:w="393" w:type="pct"/>
            <w:vAlign w:val="center"/>
          </w:tcPr>
          <w:p w14:paraId="4FD65AB8"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7</w:t>
            </w:r>
          </w:p>
        </w:tc>
        <w:tc>
          <w:tcPr>
            <w:tcW w:w="504" w:type="pct"/>
            <w:vAlign w:val="center"/>
          </w:tcPr>
          <w:p w14:paraId="6D63170A"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3.1</w:t>
            </w:r>
          </w:p>
        </w:tc>
        <w:tc>
          <w:tcPr>
            <w:tcW w:w="804" w:type="pct"/>
            <w:vAlign w:val="center"/>
          </w:tcPr>
          <w:p w14:paraId="0D77BE71" w14:textId="6494AE17" w:rsidR="00D02A6B" w:rsidRPr="00AA5727" w:rsidRDefault="0072565E" w:rsidP="00AA5727">
            <w:pPr>
              <w:spacing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[15]</w:t>
            </w:r>
          </w:p>
        </w:tc>
      </w:tr>
      <w:tr w:rsidR="008541F9" w:rsidRPr="00AA5727" w14:paraId="0790804A" w14:textId="77777777" w:rsidTr="00AA5727">
        <w:trPr>
          <w:trHeight w:val="290"/>
        </w:trPr>
        <w:tc>
          <w:tcPr>
            <w:tcW w:w="389" w:type="pct"/>
            <w:vAlign w:val="center"/>
          </w:tcPr>
          <w:p w14:paraId="16EA9857" w14:textId="77777777" w:rsidR="00D02A6B" w:rsidRPr="00AA5727" w:rsidRDefault="00D02A6B"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40E2F4EE"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Lapatinib</w:t>
            </w:r>
          </w:p>
        </w:tc>
        <w:tc>
          <w:tcPr>
            <w:tcW w:w="615" w:type="pct"/>
            <w:vAlign w:val="center"/>
          </w:tcPr>
          <w:p w14:paraId="5DDB388F"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208908</w:t>
            </w:r>
          </w:p>
        </w:tc>
        <w:tc>
          <w:tcPr>
            <w:tcW w:w="712" w:type="pct"/>
            <w:vAlign w:val="center"/>
          </w:tcPr>
          <w:p w14:paraId="3E15A795"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581.1</w:t>
            </w:r>
          </w:p>
        </w:tc>
        <w:tc>
          <w:tcPr>
            <w:tcW w:w="381" w:type="pct"/>
            <w:vAlign w:val="center"/>
          </w:tcPr>
          <w:p w14:paraId="5FCACC9A"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2</w:t>
            </w:r>
          </w:p>
        </w:tc>
        <w:tc>
          <w:tcPr>
            <w:tcW w:w="393" w:type="pct"/>
            <w:vAlign w:val="center"/>
          </w:tcPr>
          <w:p w14:paraId="0218291C"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9</w:t>
            </w:r>
          </w:p>
        </w:tc>
        <w:tc>
          <w:tcPr>
            <w:tcW w:w="504" w:type="pct"/>
            <w:vAlign w:val="center"/>
          </w:tcPr>
          <w:p w14:paraId="73EDBFA1"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5.1</w:t>
            </w:r>
          </w:p>
        </w:tc>
        <w:tc>
          <w:tcPr>
            <w:tcW w:w="804" w:type="pct"/>
            <w:vAlign w:val="center"/>
          </w:tcPr>
          <w:p w14:paraId="02DD86FE" w14:textId="4ECF468E" w:rsidR="00D02A6B"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[67]</w:t>
            </w:r>
          </w:p>
        </w:tc>
      </w:tr>
      <w:tr w:rsidR="008541F9" w:rsidRPr="00AA5727" w14:paraId="5F437560" w14:textId="77777777" w:rsidTr="00AA5727">
        <w:trPr>
          <w:trHeight w:val="290"/>
        </w:trPr>
        <w:tc>
          <w:tcPr>
            <w:tcW w:w="389" w:type="pct"/>
            <w:vAlign w:val="center"/>
          </w:tcPr>
          <w:p w14:paraId="4D964B56" w14:textId="77777777" w:rsidR="00D02A6B" w:rsidRPr="00AA5727" w:rsidRDefault="00D02A6B"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19D4F269"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Vandetanib</w:t>
            </w:r>
          </w:p>
        </w:tc>
        <w:tc>
          <w:tcPr>
            <w:tcW w:w="615" w:type="pct"/>
            <w:vAlign w:val="center"/>
          </w:tcPr>
          <w:p w14:paraId="196457F9"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3081361</w:t>
            </w:r>
          </w:p>
        </w:tc>
        <w:tc>
          <w:tcPr>
            <w:tcW w:w="712" w:type="pct"/>
            <w:vAlign w:val="center"/>
          </w:tcPr>
          <w:p w14:paraId="398FBD48"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475.4</w:t>
            </w:r>
          </w:p>
        </w:tc>
        <w:tc>
          <w:tcPr>
            <w:tcW w:w="381" w:type="pct"/>
            <w:vAlign w:val="center"/>
          </w:tcPr>
          <w:p w14:paraId="5A5D341E"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w:t>
            </w:r>
          </w:p>
        </w:tc>
        <w:tc>
          <w:tcPr>
            <w:tcW w:w="393" w:type="pct"/>
            <w:vAlign w:val="center"/>
          </w:tcPr>
          <w:p w14:paraId="44A54F3F"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7</w:t>
            </w:r>
          </w:p>
        </w:tc>
        <w:tc>
          <w:tcPr>
            <w:tcW w:w="504" w:type="pct"/>
            <w:vAlign w:val="center"/>
          </w:tcPr>
          <w:p w14:paraId="14DDF064"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4.9</w:t>
            </w:r>
          </w:p>
        </w:tc>
        <w:tc>
          <w:tcPr>
            <w:tcW w:w="804" w:type="pct"/>
            <w:vAlign w:val="center"/>
          </w:tcPr>
          <w:p w14:paraId="215BF144" w14:textId="0A63D65E" w:rsidR="00D02A6B"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[68]</w:t>
            </w:r>
          </w:p>
        </w:tc>
      </w:tr>
      <w:tr w:rsidR="008541F9" w:rsidRPr="00AA5727" w14:paraId="12CEA2C3" w14:textId="77777777" w:rsidTr="00AA5727">
        <w:trPr>
          <w:trHeight w:val="290"/>
        </w:trPr>
        <w:tc>
          <w:tcPr>
            <w:tcW w:w="389" w:type="pct"/>
            <w:vAlign w:val="center"/>
          </w:tcPr>
          <w:p w14:paraId="39FABC24" w14:textId="77777777" w:rsidR="00D02A6B" w:rsidRPr="00AA5727" w:rsidRDefault="00D02A6B"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631089DE"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Cannabigerol</w:t>
            </w:r>
          </w:p>
        </w:tc>
        <w:tc>
          <w:tcPr>
            <w:tcW w:w="615" w:type="pct"/>
            <w:vAlign w:val="center"/>
          </w:tcPr>
          <w:p w14:paraId="0C85ECDB"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5315659</w:t>
            </w:r>
          </w:p>
        </w:tc>
        <w:tc>
          <w:tcPr>
            <w:tcW w:w="712" w:type="pct"/>
            <w:vAlign w:val="center"/>
          </w:tcPr>
          <w:p w14:paraId="08DC53EC"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316.5</w:t>
            </w:r>
          </w:p>
        </w:tc>
        <w:tc>
          <w:tcPr>
            <w:tcW w:w="381" w:type="pct"/>
            <w:vAlign w:val="center"/>
          </w:tcPr>
          <w:p w14:paraId="078C275B"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2</w:t>
            </w:r>
          </w:p>
        </w:tc>
        <w:tc>
          <w:tcPr>
            <w:tcW w:w="393" w:type="pct"/>
            <w:vAlign w:val="center"/>
          </w:tcPr>
          <w:p w14:paraId="26CE7E64"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2</w:t>
            </w:r>
          </w:p>
        </w:tc>
        <w:tc>
          <w:tcPr>
            <w:tcW w:w="504" w:type="pct"/>
            <w:vAlign w:val="center"/>
          </w:tcPr>
          <w:p w14:paraId="5AD37BDF"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7.4</w:t>
            </w:r>
          </w:p>
        </w:tc>
        <w:tc>
          <w:tcPr>
            <w:tcW w:w="804" w:type="pct"/>
            <w:vAlign w:val="center"/>
          </w:tcPr>
          <w:p w14:paraId="7E440707" w14:textId="5C86AAB3" w:rsidR="00D02A6B"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sz w:val="20"/>
                <w:szCs w:val="20"/>
              </w:rPr>
              <w:t>[69]</w:t>
            </w:r>
          </w:p>
        </w:tc>
      </w:tr>
      <w:tr w:rsidR="008541F9" w:rsidRPr="00AA5727" w14:paraId="2A7D0A6C" w14:textId="77777777" w:rsidTr="00AA5727">
        <w:trPr>
          <w:trHeight w:val="290"/>
        </w:trPr>
        <w:tc>
          <w:tcPr>
            <w:tcW w:w="389" w:type="pct"/>
            <w:vAlign w:val="center"/>
          </w:tcPr>
          <w:p w14:paraId="1C46D933" w14:textId="77777777" w:rsidR="00D02A6B" w:rsidRPr="00AA5727" w:rsidRDefault="00D02A6B"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65074281"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Monensin</w:t>
            </w:r>
          </w:p>
        </w:tc>
        <w:tc>
          <w:tcPr>
            <w:tcW w:w="615" w:type="pct"/>
            <w:vAlign w:val="center"/>
          </w:tcPr>
          <w:p w14:paraId="628F4BEB"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441145</w:t>
            </w:r>
          </w:p>
        </w:tc>
        <w:tc>
          <w:tcPr>
            <w:tcW w:w="712" w:type="pct"/>
            <w:vAlign w:val="center"/>
          </w:tcPr>
          <w:p w14:paraId="2E605648"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670.9</w:t>
            </w:r>
          </w:p>
        </w:tc>
        <w:tc>
          <w:tcPr>
            <w:tcW w:w="381" w:type="pct"/>
            <w:vAlign w:val="center"/>
          </w:tcPr>
          <w:p w14:paraId="40DACED0"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4</w:t>
            </w:r>
          </w:p>
        </w:tc>
        <w:tc>
          <w:tcPr>
            <w:tcW w:w="393" w:type="pct"/>
            <w:vAlign w:val="center"/>
          </w:tcPr>
          <w:p w14:paraId="253CE66B"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11</w:t>
            </w:r>
          </w:p>
        </w:tc>
        <w:tc>
          <w:tcPr>
            <w:tcW w:w="504" w:type="pct"/>
            <w:vAlign w:val="center"/>
          </w:tcPr>
          <w:p w14:paraId="2C605D15"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4.2</w:t>
            </w:r>
          </w:p>
        </w:tc>
        <w:tc>
          <w:tcPr>
            <w:tcW w:w="804" w:type="pct"/>
            <w:vAlign w:val="center"/>
          </w:tcPr>
          <w:p w14:paraId="07DFA9AD" w14:textId="71A0E350" w:rsidR="00D02A6B"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[70]</w:t>
            </w:r>
          </w:p>
        </w:tc>
      </w:tr>
      <w:tr w:rsidR="008541F9" w:rsidRPr="00AA5727" w14:paraId="2EC8C497" w14:textId="77777777" w:rsidTr="00AA5727">
        <w:trPr>
          <w:trHeight w:val="290"/>
        </w:trPr>
        <w:tc>
          <w:tcPr>
            <w:tcW w:w="389" w:type="pct"/>
            <w:vAlign w:val="center"/>
          </w:tcPr>
          <w:p w14:paraId="0023E907" w14:textId="77777777" w:rsidR="00987F98" w:rsidRPr="00AA5727" w:rsidRDefault="00987F98"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7CAF5DBF" w14:textId="4B69CD86" w:rsidR="00987F98" w:rsidRPr="00AA5727" w:rsidRDefault="00987F98"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Dacomitinib</w:t>
            </w:r>
          </w:p>
        </w:tc>
        <w:tc>
          <w:tcPr>
            <w:tcW w:w="615" w:type="pct"/>
            <w:vAlign w:val="center"/>
          </w:tcPr>
          <w:p w14:paraId="6EAC6F08" w14:textId="34FE75E8"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11511120</w:t>
            </w:r>
          </w:p>
        </w:tc>
        <w:tc>
          <w:tcPr>
            <w:tcW w:w="712" w:type="pct"/>
            <w:vAlign w:val="center"/>
          </w:tcPr>
          <w:p w14:paraId="682C7DDD" w14:textId="20FE1229"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469.9</w:t>
            </w:r>
          </w:p>
        </w:tc>
        <w:tc>
          <w:tcPr>
            <w:tcW w:w="381" w:type="pct"/>
            <w:vAlign w:val="center"/>
          </w:tcPr>
          <w:p w14:paraId="0DE58026" w14:textId="4E0B704E" w:rsidR="00987F98" w:rsidRPr="00AA5727" w:rsidRDefault="00987F98"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2</w:t>
            </w:r>
          </w:p>
        </w:tc>
        <w:tc>
          <w:tcPr>
            <w:tcW w:w="393" w:type="pct"/>
            <w:vAlign w:val="center"/>
          </w:tcPr>
          <w:p w14:paraId="3871E4C2" w14:textId="27E05021" w:rsidR="00987F98" w:rsidRPr="00AA5727" w:rsidRDefault="00987F98"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7</w:t>
            </w:r>
          </w:p>
        </w:tc>
        <w:tc>
          <w:tcPr>
            <w:tcW w:w="504" w:type="pct"/>
            <w:vAlign w:val="center"/>
          </w:tcPr>
          <w:p w14:paraId="0461ADBD" w14:textId="636EDC20" w:rsidR="00987F98" w:rsidRPr="00AA5727" w:rsidRDefault="00987F98" w:rsidP="00AA5727">
            <w:pPr>
              <w:spacing w:after="0" w:line="276" w:lineRule="auto"/>
              <w:jc w:val="center"/>
              <w:rPr>
                <w:rFonts w:ascii="Times New Roman" w:hAnsi="Times New Roman" w:cs="Times New Roman"/>
                <w:noProof/>
                <w:color w:val="000000" w:themeColor="text1"/>
                <w:sz w:val="20"/>
                <w:szCs w:val="20"/>
              </w:rPr>
            </w:pPr>
            <w:r w:rsidRPr="00AA5727">
              <w:rPr>
                <w:rFonts w:ascii="Times New Roman" w:hAnsi="Times New Roman" w:cs="Times New Roman"/>
                <w:noProof/>
                <w:color w:val="000000" w:themeColor="text1"/>
                <w:sz w:val="20"/>
                <w:szCs w:val="20"/>
              </w:rPr>
              <w:t>4.4</w:t>
            </w:r>
          </w:p>
        </w:tc>
        <w:tc>
          <w:tcPr>
            <w:tcW w:w="804" w:type="pct"/>
            <w:vAlign w:val="center"/>
          </w:tcPr>
          <w:p w14:paraId="3252D52C" w14:textId="0EACAC38" w:rsidR="00987F98" w:rsidRPr="00AA5727" w:rsidRDefault="0072565E"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[71]</w:t>
            </w:r>
          </w:p>
        </w:tc>
      </w:tr>
      <w:tr w:rsidR="008541F9" w:rsidRPr="00AA5727" w14:paraId="4D311945" w14:textId="77777777" w:rsidTr="00AA5727">
        <w:trPr>
          <w:trHeight w:val="290"/>
        </w:trPr>
        <w:tc>
          <w:tcPr>
            <w:tcW w:w="389" w:type="pct"/>
            <w:vAlign w:val="center"/>
          </w:tcPr>
          <w:p w14:paraId="14EA2BD3" w14:textId="77777777" w:rsidR="00987F98" w:rsidRPr="00AA5727" w:rsidRDefault="00987F98"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769FF745" w14:textId="4EF6C9EA" w:rsidR="00987F98" w:rsidRPr="00AA5727" w:rsidRDefault="00987F98"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Furmonertinib</w:t>
            </w:r>
          </w:p>
        </w:tc>
        <w:tc>
          <w:tcPr>
            <w:tcW w:w="615" w:type="pct"/>
            <w:vAlign w:val="center"/>
          </w:tcPr>
          <w:p w14:paraId="71DE060D" w14:textId="6CACE38E"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118861389</w:t>
            </w:r>
          </w:p>
        </w:tc>
        <w:tc>
          <w:tcPr>
            <w:tcW w:w="712" w:type="pct"/>
            <w:vAlign w:val="center"/>
          </w:tcPr>
          <w:p w14:paraId="6D9B27D1" w14:textId="3FA2BEB7"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568.6</w:t>
            </w:r>
          </w:p>
        </w:tc>
        <w:tc>
          <w:tcPr>
            <w:tcW w:w="381" w:type="pct"/>
            <w:vAlign w:val="center"/>
          </w:tcPr>
          <w:p w14:paraId="745369F2" w14:textId="617B3D55" w:rsidR="00987F98" w:rsidRPr="00AA5727" w:rsidRDefault="00987F98"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2</w:t>
            </w:r>
          </w:p>
        </w:tc>
        <w:tc>
          <w:tcPr>
            <w:tcW w:w="393" w:type="pct"/>
            <w:vAlign w:val="center"/>
          </w:tcPr>
          <w:p w14:paraId="3F144DD8" w14:textId="4FECD153" w:rsidR="00987F98" w:rsidRPr="00AA5727" w:rsidRDefault="00987F98"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11</w:t>
            </w:r>
          </w:p>
        </w:tc>
        <w:tc>
          <w:tcPr>
            <w:tcW w:w="504" w:type="pct"/>
            <w:vAlign w:val="center"/>
          </w:tcPr>
          <w:p w14:paraId="08FB24B9" w14:textId="4B274920" w:rsidR="00987F98" w:rsidRPr="00AA5727" w:rsidRDefault="00987F98" w:rsidP="00AA5727">
            <w:pPr>
              <w:spacing w:after="0" w:line="276" w:lineRule="auto"/>
              <w:jc w:val="center"/>
              <w:rPr>
                <w:rFonts w:ascii="Times New Roman" w:hAnsi="Times New Roman" w:cs="Times New Roman"/>
                <w:noProof/>
                <w:color w:val="000000" w:themeColor="text1"/>
                <w:sz w:val="20"/>
                <w:szCs w:val="20"/>
              </w:rPr>
            </w:pPr>
            <w:r w:rsidRPr="00AA5727">
              <w:rPr>
                <w:rFonts w:ascii="Times New Roman" w:hAnsi="Times New Roman" w:cs="Times New Roman"/>
                <w:noProof/>
                <w:color w:val="000000" w:themeColor="text1"/>
                <w:sz w:val="20"/>
                <w:szCs w:val="20"/>
              </w:rPr>
              <w:t>4.4</w:t>
            </w:r>
          </w:p>
        </w:tc>
        <w:tc>
          <w:tcPr>
            <w:tcW w:w="804" w:type="pct"/>
            <w:vAlign w:val="center"/>
          </w:tcPr>
          <w:p w14:paraId="25BC8B1A" w14:textId="541D9B0C" w:rsidR="00987F98" w:rsidRPr="00AA5727" w:rsidRDefault="0072565E"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w:t>
            </w:r>
            <w:r w:rsidR="00274134" w:rsidRPr="00AA5727">
              <w:rPr>
                <w:rFonts w:ascii="Times New Roman" w:hAnsi="Times New Roman" w:cs="Times New Roman"/>
                <w:color w:val="000000" w:themeColor="text1"/>
                <w:sz w:val="20"/>
                <w:szCs w:val="20"/>
              </w:rPr>
              <w:t>8</w:t>
            </w:r>
            <w:r w:rsidRPr="00AA5727">
              <w:rPr>
                <w:rFonts w:ascii="Times New Roman" w:hAnsi="Times New Roman" w:cs="Times New Roman"/>
                <w:color w:val="000000" w:themeColor="text1"/>
                <w:sz w:val="20"/>
                <w:szCs w:val="20"/>
              </w:rPr>
              <w:t>]</w:t>
            </w:r>
          </w:p>
        </w:tc>
      </w:tr>
      <w:tr w:rsidR="008541F9" w:rsidRPr="00AA5727" w14:paraId="5ABA25C7" w14:textId="77777777" w:rsidTr="00AA5727">
        <w:trPr>
          <w:trHeight w:val="290"/>
        </w:trPr>
        <w:tc>
          <w:tcPr>
            <w:tcW w:w="389" w:type="pct"/>
            <w:vAlign w:val="center"/>
          </w:tcPr>
          <w:p w14:paraId="1A058A08" w14:textId="77777777" w:rsidR="00987F98" w:rsidRPr="00AA5727" w:rsidRDefault="00987F98"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618D229B"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YM155</w:t>
            </w:r>
          </w:p>
        </w:tc>
        <w:tc>
          <w:tcPr>
            <w:tcW w:w="615" w:type="pct"/>
            <w:vAlign w:val="center"/>
          </w:tcPr>
          <w:p w14:paraId="7E757C02"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11178236</w:t>
            </w:r>
          </w:p>
        </w:tc>
        <w:tc>
          <w:tcPr>
            <w:tcW w:w="712" w:type="pct"/>
            <w:vAlign w:val="center"/>
          </w:tcPr>
          <w:p w14:paraId="7C23418C"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443.3</w:t>
            </w:r>
          </w:p>
        </w:tc>
        <w:tc>
          <w:tcPr>
            <w:tcW w:w="381" w:type="pct"/>
            <w:vAlign w:val="center"/>
          </w:tcPr>
          <w:p w14:paraId="6F969C8E"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0</w:t>
            </w:r>
          </w:p>
        </w:tc>
        <w:tc>
          <w:tcPr>
            <w:tcW w:w="393" w:type="pct"/>
            <w:vAlign w:val="center"/>
          </w:tcPr>
          <w:p w14:paraId="0000E7CE"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6</w:t>
            </w:r>
          </w:p>
        </w:tc>
        <w:tc>
          <w:tcPr>
            <w:tcW w:w="504" w:type="pct"/>
            <w:vAlign w:val="center"/>
          </w:tcPr>
          <w:p w14:paraId="3DC972D2"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w:t>
            </w:r>
          </w:p>
        </w:tc>
        <w:tc>
          <w:tcPr>
            <w:tcW w:w="804" w:type="pct"/>
            <w:vAlign w:val="center"/>
          </w:tcPr>
          <w:p w14:paraId="7446C9D7" w14:textId="277EF9CA" w:rsidR="00987F98"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[7</w:t>
            </w:r>
            <w:r w:rsidR="00274134" w:rsidRPr="00AA5727">
              <w:rPr>
                <w:rFonts w:ascii="Times New Roman" w:eastAsia="Times New Roman" w:hAnsi="Times New Roman" w:cs="Times New Roman"/>
                <w:color w:val="000000" w:themeColor="text1"/>
                <w:sz w:val="20"/>
                <w:szCs w:val="20"/>
                <w:lang w:eastAsia="en-IN" w:bidi="te-IN"/>
              </w:rPr>
              <w:t>2</w:t>
            </w:r>
            <w:r w:rsidRPr="00AA5727">
              <w:rPr>
                <w:rFonts w:ascii="Times New Roman" w:eastAsia="Times New Roman" w:hAnsi="Times New Roman" w:cs="Times New Roman"/>
                <w:color w:val="000000" w:themeColor="text1"/>
                <w:sz w:val="20"/>
                <w:szCs w:val="20"/>
                <w:lang w:eastAsia="en-IN" w:bidi="te-IN"/>
              </w:rPr>
              <w:t>]</w:t>
            </w:r>
          </w:p>
        </w:tc>
      </w:tr>
      <w:tr w:rsidR="008541F9" w:rsidRPr="00AA5727" w14:paraId="78747145" w14:textId="77777777" w:rsidTr="00AA5727">
        <w:trPr>
          <w:trHeight w:val="290"/>
        </w:trPr>
        <w:tc>
          <w:tcPr>
            <w:tcW w:w="389" w:type="pct"/>
            <w:vAlign w:val="center"/>
          </w:tcPr>
          <w:p w14:paraId="384A579F" w14:textId="77777777" w:rsidR="00987F98" w:rsidRPr="00AA5727" w:rsidRDefault="00987F98"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1710521F"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PKI166</w:t>
            </w:r>
          </w:p>
        </w:tc>
        <w:tc>
          <w:tcPr>
            <w:tcW w:w="615" w:type="pct"/>
            <w:vAlign w:val="center"/>
          </w:tcPr>
          <w:p w14:paraId="682B1D31"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6918403</w:t>
            </w:r>
          </w:p>
        </w:tc>
        <w:tc>
          <w:tcPr>
            <w:tcW w:w="712" w:type="pct"/>
            <w:vAlign w:val="center"/>
          </w:tcPr>
          <w:p w14:paraId="590BC7E7"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330.4</w:t>
            </w:r>
          </w:p>
        </w:tc>
        <w:tc>
          <w:tcPr>
            <w:tcW w:w="381" w:type="pct"/>
            <w:vAlign w:val="center"/>
          </w:tcPr>
          <w:p w14:paraId="3400C05C"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3</w:t>
            </w:r>
          </w:p>
        </w:tc>
        <w:tc>
          <w:tcPr>
            <w:tcW w:w="393" w:type="pct"/>
            <w:vAlign w:val="center"/>
          </w:tcPr>
          <w:p w14:paraId="1BE0624A"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4</w:t>
            </w:r>
          </w:p>
        </w:tc>
        <w:tc>
          <w:tcPr>
            <w:tcW w:w="504" w:type="pct"/>
            <w:vAlign w:val="center"/>
          </w:tcPr>
          <w:p w14:paraId="0A2774B2"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4.2</w:t>
            </w:r>
          </w:p>
        </w:tc>
        <w:tc>
          <w:tcPr>
            <w:tcW w:w="804" w:type="pct"/>
            <w:vAlign w:val="center"/>
          </w:tcPr>
          <w:p w14:paraId="26B492E7" w14:textId="62E9998A" w:rsidR="00987F98"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sz w:val="20"/>
                <w:szCs w:val="20"/>
              </w:rPr>
              <w:t>[7</w:t>
            </w:r>
            <w:r w:rsidR="00274134" w:rsidRPr="00AA5727">
              <w:rPr>
                <w:rFonts w:ascii="Times New Roman" w:hAnsi="Times New Roman" w:cs="Times New Roman"/>
                <w:sz w:val="20"/>
                <w:szCs w:val="20"/>
              </w:rPr>
              <w:t>3</w:t>
            </w:r>
            <w:r w:rsidRPr="00AA5727">
              <w:rPr>
                <w:rFonts w:ascii="Times New Roman" w:hAnsi="Times New Roman" w:cs="Times New Roman"/>
                <w:sz w:val="20"/>
                <w:szCs w:val="20"/>
              </w:rPr>
              <w:t>]</w:t>
            </w:r>
          </w:p>
        </w:tc>
      </w:tr>
      <w:tr w:rsidR="008541F9" w:rsidRPr="00AA5727" w14:paraId="0EBF5908" w14:textId="77777777" w:rsidTr="00AA5727">
        <w:trPr>
          <w:trHeight w:val="290"/>
        </w:trPr>
        <w:tc>
          <w:tcPr>
            <w:tcW w:w="389" w:type="pct"/>
            <w:vAlign w:val="center"/>
          </w:tcPr>
          <w:p w14:paraId="262A5D9A" w14:textId="77777777" w:rsidR="00987F98" w:rsidRPr="00AA5727" w:rsidRDefault="00987F98"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4255A866"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AEE788</w:t>
            </w:r>
          </w:p>
        </w:tc>
        <w:tc>
          <w:tcPr>
            <w:tcW w:w="615" w:type="pct"/>
            <w:vAlign w:val="center"/>
          </w:tcPr>
          <w:p w14:paraId="6B2A2785"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10297043</w:t>
            </w:r>
          </w:p>
        </w:tc>
        <w:tc>
          <w:tcPr>
            <w:tcW w:w="712" w:type="pct"/>
            <w:vAlign w:val="center"/>
          </w:tcPr>
          <w:p w14:paraId="4B3B0AAF"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440.6</w:t>
            </w:r>
          </w:p>
        </w:tc>
        <w:tc>
          <w:tcPr>
            <w:tcW w:w="381" w:type="pct"/>
            <w:vAlign w:val="center"/>
          </w:tcPr>
          <w:p w14:paraId="3315AEAC"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2</w:t>
            </w:r>
          </w:p>
        </w:tc>
        <w:tc>
          <w:tcPr>
            <w:tcW w:w="393" w:type="pct"/>
            <w:vAlign w:val="center"/>
          </w:tcPr>
          <w:p w14:paraId="61DAC0D1"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5</w:t>
            </w:r>
          </w:p>
        </w:tc>
        <w:tc>
          <w:tcPr>
            <w:tcW w:w="504" w:type="pct"/>
            <w:vAlign w:val="center"/>
          </w:tcPr>
          <w:p w14:paraId="202404F1"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4.6</w:t>
            </w:r>
          </w:p>
        </w:tc>
        <w:tc>
          <w:tcPr>
            <w:tcW w:w="804" w:type="pct"/>
            <w:vAlign w:val="center"/>
          </w:tcPr>
          <w:p w14:paraId="20DE646C" w14:textId="397A2F17" w:rsidR="00987F98"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[7</w:t>
            </w:r>
            <w:r w:rsidR="00274134" w:rsidRPr="00AA5727">
              <w:rPr>
                <w:rFonts w:ascii="Times New Roman" w:eastAsia="Times New Roman" w:hAnsi="Times New Roman" w:cs="Times New Roman"/>
                <w:color w:val="000000" w:themeColor="text1"/>
                <w:sz w:val="20"/>
                <w:szCs w:val="20"/>
                <w:lang w:eastAsia="en-IN" w:bidi="te-IN"/>
              </w:rPr>
              <w:t>4</w:t>
            </w:r>
            <w:r w:rsidRPr="00AA5727">
              <w:rPr>
                <w:rFonts w:ascii="Times New Roman" w:eastAsia="Times New Roman" w:hAnsi="Times New Roman" w:cs="Times New Roman"/>
                <w:color w:val="000000" w:themeColor="text1"/>
                <w:sz w:val="20"/>
                <w:szCs w:val="20"/>
                <w:lang w:eastAsia="en-IN" w:bidi="te-IN"/>
              </w:rPr>
              <w:t>]</w:t>
            </w:r>
          </w:p>
        </w:tc>
      </w:tr>
      <w:tr w:rsidR="008541F9" w:rsidRPr="00AA5727" w14:paraId="3B270106" w14:textId="77777777" w:rsidTr="00AA5727">
        <w:trPr>
          <w:trHeight w:val="290"/>
        </w:trPr>
        <w:tc>
          <w:tcPr>
            <w:tcW w:w="389" w:type="pct"/>
            <w:vAlign w:val="center"/>
          </w:tcPr>
          <w:p w14:paraId="1A8A6366" w14:textId="77777777" w:rsidR="00890872" w:rsidRPr="00AA5727" w:rsidRDefault="00890872"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4A13EDB0" w14:textId="1C984C27" w:rsidR="00890872" w:rsidRPr="00AA5727" w:rsidRDefault="00890872"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Neratinib</w:t>
            </w:r>
          </w:p>
        </w:tc>
        <w:tc>
          <w:tcPr>
            <w:tcW w:w="615" w:type="pct"/>
            <w:vAlign w:val="center"/>
          </w:tcPr>
          <w:p w14:paraId="7992442A" w14:textId="19AE3150" w:rsidR="00890872" w:rsidRPr="00AA5727" w:rsidRDefault="00890872"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9915743</w:t>
            </w:r>
          </w:p>
        </w:tc>
        <w:tc>
          <w:tcPr>
            <w:tcW w:w="712" w:type="pct"/>
            <w:vAlign w:val="center"/>
          </w:tcPr>
          <w:p w14:paraId="7B4DE72E" w14:textId="4AA685EE" w:rsidR="00890872" w:rsidRPr="00AA5727" w:rsidRDefault="00890872"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557.0 g/mol</w:t>
            </w:r>
          </w:p>
        </w:tc>
        <w:tc>
          <w:tcPr>
            <w:tcW w:w="381" w:type="pct"/>
            <w:vAlign w:val="center"/>
          </w:tcPr>
          <w:p w14:paraId="76AACD83" w14:textId="732F73B4" w:rsidR="00890872" w:rsidRPr="00AA5727" w:rsidRDefault="00890872"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2</w:t>
            </w:r>
          </w:p>
        </w:tc>
        <w:tc>
          <w:tcPr>
            <w:tcW w:w="393" w:type="pct"/>
            <w:vAlign w:val="center"/>
          </w:tcPr>
          <w:p w14:paraId="119B19E5" w14:textId="780053FA" w:rsidR="00890872" w:rsidRPr="00AA5727" w:rsidRDefault="00890872"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8</w:t>
            </w:r>
          </w:p>
        </w:tc>
        <w:tc>
          <w:tcPr>
            <w:tcW w:w="504" w:type="pct"/>
            <w:vAlign w:val="center"/>
          </w:tcPr>
          <w:p w14:paraId="063D310C" w14:textId="3FA29615" w:rsidR="00890872" w:rsidRPr="00AA5727" w:rsidRDefault="00890872"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lang w:val="en-US"/>
              </w:rPr>
              <w:t>4.9</w:t>
            </w:r>
          </w:p>
        </w:tc>
        <w:tc>
          <w:tcPr>
            <w:tcW w:w="804" w:type="pct"/>
            <w:vAlign w:val="center"/>
          </w:tcPr>
          <w:p w14:paraId="748F5E71" w14:textId="117E5D13" w:rsidR="00890872"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sz w:val="20"/>
                <w:szCs w:val="20"/>
              </w:rPr>
              <w:t>[7</w:t>
            </w:r>
            <w:r w:rsidR="00274134" w:rsidRPr="00AA5727">
              <w:rPr>
                <w:rFonts w:ascii="Times New Roman" w:hAnsi="Times New Roman" w:cs="Times New Roman"/>
                <w:sz w:val="20"/>
                <w:szCs w:val="20"/>
              </w:rPr>
              <w:t>5</w:t>
            </w:r>
            <w:r w:rsidRPr="00AA5727">
              <w:rPr>
                <w:rFonts w:ascii="Times New Roman" w:hAnsi="Times New Roman" w:cs="Times New Roman"/>
                <w:sz w:val="20"/>
                <w:szCs w:val="20"/>
              </w:rPr>
              <w:t>]</w:t>
            </w:r>
          </w:p>
        </w:tc>
      </w:tr>
      <w:tr w:rsidR="008541F9" w:rsidRPr="00AA5727" w14:paraId="470FF687" w14:textId="77777777" w:rsidTr="00AA5727">
        <w:trPr>
          <w:trHeight w:val="290"/>
        </w:trPr>
        <w:tc>
          <w:tcPr>
            <w:tcW w:w="389" w:type="pct"/>
            <w:vAlign w:val="center"/>
          </w:tcPr>
          <w:p w14:paraId="15981786" w14:textId="77777777" w:rsidR="00890872" w:rsidRPr="00AA5727" w:rsidRDefault="00890872"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06CB1C91" w14:textId="3682150C" w:rsidR="00890872" w:rsidRPr="00AA5727" w:rsidRDefault="00890872"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Canertinib</w:t>
            </w:r>
          </w:p>
        </w:tc>
        <w:tc>
          <w:tcPr>
            <w:tcW w:w="615" w:type="pct"/>
            <w:vAlign w:val="center"/>
          </w:tcPr>
          <w:p w14:paraId="39139296" w14:textId="376E361E" w:rsidR="00890872" w:rsidRPr="00AA5727" w:rsidRDefault="00890872"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156414</w:t>
            </w:r>
          </w:p>
        </w:tc>
        <w:tc>
          <w:tcPr>
            <w:tcW w:w="712" w:type="pct"/>
            <w:vAlign w:val="center"/>
          </w:tcPr>
          <w:p w14:paraId="3EEB48E7" w14:textId="1A1EDEB0" w:rsidR="00890872" w:rsidRPr="00AA5727" w:rsidRDefault="00890872"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485.9 g/mol</w:t>
            </w:r>
          </w:p>
        </w:tc>
        <w:tc>
          <w:tcPr>
            <w:tcW w:w="381" w:type="pct"/>
            <w:vAlign w:val="center"/>
          </w:tcPr>
          <w:p w14:paraId="63589989" w14:textId="2D51CBD9" w:rsidR="00890872" w:rsidRPr="00AA5727" w:rsidRDefault="00890872"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2</w:t>
            </w:r>
          </w:p>
        </w:tc>
        <w:tc>
          <w:tcPr>
            <w:tcW w:w="393" w:type="pct"/>
            <w:vAlign w:val="center"/>
          </w:tcPr>
          <w:p w14:paraId="590711E2" w14:textId="3606095E" w:rsidR="00890872" w:rsidRPr="00AA5727" w:rsidRDefault="00890872"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8</w:t>
            </w:r>
          </w:p>
        </w:tc>
        <w:tc>
          <w:tcPr>
            <w:tcW w:w="504" w:type="pct"/>
            <w:vAlign w:val="center"/>
          </w:tcPr>
          <w:p w14:paraId="7F45E144" w14:textId="20A22435" w:rsidR="00890872" w:rsidRPr="00AA5727" w:rsidRDefault="00890872"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lang w:val="en-US"/>
              </w:rPr>
              <w:t>3.9</w:t>
            </w:r>
          </w:p>
        </w:tc>
        <w:tc>
          <w:tcPr>
            <w:tcW w:w="804" w:type="pct"/>
            <w:vAlign w:val="center"/>
          </w:tcPr>
          <w:p w14:paraId="36DFE98F" w14:textId="27DF421F" w:rsidR="00890872"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[7</w:t>
            </w:r>
            <w:r w:rsidR="00274134" w:rsidRPr="00AA5727">
              <w:rPr>
                <w:rFonts w:ascii="Times New Roman" w:eastAsia="Times New Roman" w:hAnsi="Times New Roman" w:cs="Times New Roman"/>
                <w:color w:val="000000" w:themeColor="text1"/>
                <w:sz w:val="20"/>
                <w:szCs w:val="20"/>
                <w:lang w:eastAsia="en-IN" w:bidi="te-IN"/>
              </w:rPr>
              <w:t>6</w:t>
            </w:r>
            <w:r w:rsidRPr="00AA5727">
              <w:rPr>
                <w:rFonts w:ascii="Times New Roman" w:eastAsia="Times New Roman" w:hAnsi="Times New Roman" w:cs="Times New Roman"/>
                <w:color w:val="000000" w:themeColor="text1"/>
                <w:sz w:val="20"/>
                <w:szCs w:val="20"/>
                <w:lang w:eastAsia="en-IN" w:bidi="te-IN"/>
              </w:rPr>
              <w:t>]</w:t>
            </w:r>
          </w:p>
        </w:tc>
      </w:tr>
      <w:tr w:rsidR="008541F9" w:rsidRPr="00AA5727" w14:paraId="6350BBD4" w14:textId="77777777" w:rsidTr="00AA5727">
        <w:trPr>
          <w:trHeight w:val="290"/>
        </w:trPr>
        <w:tc>
          <w:tcPr>
            <w:tcW w:w="389" w:type="pct"/>
            <w:vAlign w:val="center"/>
          </w:tcPr>
          <w:p w14:paraId="51637473"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6F773D0F" w14:textId="48EEC356"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CI-1033 (Canertinib dihydrochloride)</w:t>
            </w:r>
          </w:p>
        </w:tc>
        <w:tc>
          <w:tcPr>
            <w:tcW w:w="615" w:type="pct"/>
            <w:vAlign w:val="center"/>
          </w:tcPr>
          <w:p w14:paraId="4C6E6E1F" w14:textId="0AC88C71"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156413</w:t>
            </w:r>
          </w:p>
        </w:tc>
        <w:tc>
          <w:tcPr>
            <w:tcW w:w="712" w:type="pct"/>
            <w:vAlign w:val="center"/>
          </w:tcPr>
          <w:p w14:paraId="438376E6" w14:textId="4AC0887E"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558.9 g/mol</w:t>
            </w:r>
          </w:p>
        </w:tc>
        <w:tc>
          <w:tcPr>
            <w:tcW w:w="381" w:type="pct"/>
            <w:vAlign w:val="center"/>
          </w:tcPr>
          <w:p w14:paraId="25753504" w14:textId="57412183" w:rsidR="003052EC" w:rsidRPr="00AA5727" w:rsidRDefault="003052EC" w:rsidP="00AA5727">
            <w:pPr>
              <w:spacing w:after="0" w:line="276" w:lineRule="auto"/>
              <w:jc w:val="center"/>
              <w:rPr>
                <w:rFonts w:ascii="Times New Roman" w:hAnsi="Times New Roman" w:cs="Times New Roman"/>
                <w:color w:val="000000" w:themeColor="text1"/>
                <w:sz w:val="20"/>
                <w:szCs w:val="20"/>
                <w:lang w:val="en-US"/>
              </w:rPr>
            </w:pPr>
            <w:r w:rsidRPr="00AA5727">
              <w:rPr>
                <w:rFonts w:ascii="Times New Roman" w:hAnsi="Times New Roman" w:cs="Times New Roman"/>
                <w:color w:val="000000" w:themeColor="text1"/>
                <w:sz w:val="20"/>
                <w:szCs w:val="20"/>
              </w:rPr>
              <w:t>4</w:t>
            </w:r>
          </w:p>
        </w:tc>
        <w:tc>
          <w:tcPr>
            <w:tcW w:w="393" w:type="pct"/>
            <w:vAlign w:val="center"/>
          </w:tcPr>
          <w:p w14:paraId="1C7F9DAB" w14:textId="78AF9353" w:rsidR="003052EC" w:rsidRPr="00AA5727" w:rsidRDefault="003052EC" w:rsidP="00AA5727">
            <w:pPr>
              <w:spacing w:after="0" w:line="276" w:lineRule="auto"/>
              <w:jc w:val="center"/>
              <w:rPr>
                <w:rFonts w:ascii="Times New Roman" w:hAnsi="Times New Roman" w:cs="Times New Roman"/>
                <w:color w:val="000000" w:themeColor="text1"/>
                <w:sz w:val="20"/>
                <w:szCs w:val="20"/>
                <w:lang w:val="en-US"/>
              </w:rPr>
            </w:pPr>
            <w:r w:rsidRPr="00AA5727">
              <w:rPr>
                <w:rFonts w:ascii="Times New Roman" w:hAnsi="Times New Roman" w:cs="Times New Roman"/>
                <w:color w:val="000000" w:themeColor="text1"/>
                <w:sz w:val="20"/>
                <w:szCs w:val="20"/>
              </w:rPr>
              <w:t>8</w:t>
            </w:r>
          </w:p>
        </w:tc>
        <w:tc>
          <w:tcPr>
            <w:tcW w:w="504" w:type="pct"/>
            <w:vAlign w:val="center"/>
          </w:tcPr>
          <w:p w14:paraId="66D059F9" w14:textId="02B3D735" w:rsidR="003052EC" w:rsidRPr="00AA5727" w:rsidRDefault="003052EC" w:rsidP="00AA5727">
            <w:pPr>
              <w:spacing w:after="0" w:line="276" w:lineRule="auto"/>
              <w:jc w:val="center"/>
              <w:rPr>
                <w:rFonts w:ascii="Times New Roman" w:hAnsi="Times New Roman" w:cs="Times New Roman"/>
                <w:color w:val="000000" w:themeColor="text1"/>
                <w:sz w:val="20"/>
                <w:szCs w:val="20"/>
                <w:lang w:val="en-US"/>
              </w:rPr>
            </w:pPr>
            <w:r w:rsidRPr="00AA5727">
              <w:rPr>
                <w:rFonts w:ascii="Times New Roman" w:hAnsi="Times New Roman" w:cs="Times New Roman"/>
                <w:color w:val="000000" w:themeColor="text1"/>
                <w:sz w:val="20"/>
                <w:szCs w:val="20"/>
              </w:rPr>
              <w:t>NA</w:t>
            </w:r>
          </w:p>
        </w:tc>
        <w:tc>
          <w:tcPr>
            <w:tcW w:w="804" w:type="pct"/>
            <w:vAlign w:val="center"/>
          </w:tcPr>
          <w:p w14:paraId="62188FC7" w14:textId="57C75DE0" w:rsidR="003052EC"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[7</w:t>
            </w:r>
            <w:r w:rsidR="00274134" w:rsidRPr="00AA5727">
              <w:rPr>
                <w:rFonts w:ascii="Times New Roman" w:eastAsia="Times New Roman" w:hAnsi="Times New Roman" w:cs="Times New Roman"/>
                <w:color w:val="000000" w:themeColor="text1"/>
                <w:sz w:val="20"/>
                <w:szCs w:val="20"/>
                <w:lang w:eastAsia="en-IN" w:bidi="te-IN"/>
              </w:rPr>
              <w:t>7</w:t>
            </w:r>
            <w:r w:rsidRPr="00AA5727">
              <w:rPr>
                <w:rFonts w:ascii="Times New Roman" w:eastAsia="Times New Roman" w:hAnsi="Times New Roman" w:cs="Times New Roman"/>
                <w:color w:val="000000" w:themeColor="text1"/>
                <w:sz w:val="20"/>
                <w:szCs w:val="20"/>
                <w:lang w:eastAsia="en-IN" w:bidi="te-IN"/>
              </w:rPr>
              <w:t>,7</w:t>
            </w:r>
            <w:r w:rsidR="00274134" w:rsidRPr="00AA5727">
              <w:rPr>
                <w:rFonts w:ascii="Times New Roman" w:eastAsia="Times New Roman" w:hAnsi="Times New Roman" w:cs="Times New Roman"/>
                <w:color w:val="000000" w:themeColor="text1"/>
                <w:sz w:val="20"/>
                <w:szCs w:val="20"/>
                <w:lang w:eastAsia="en-IN" w:bidi="te-IN"/>
              </w:rPr>
              <w:t>8</w:t>
            </w:r>
            <w:r w:rsidRPr="00AA5727">
              <w:rPr>
                <w:rFonts w:ascii="Times New Roman" w:eastAsia="Times New Roman" w:hAnsi="Times New Roman" w:cs="Times New Roman"/>
                <w:color w:val="000000" w:themeColor="text1"/>
                <w:sz w:val="20"/>
                <w:szCs w:val="20"/>
                <w:lang w:eastAsia="en-IN" w:bidi="te-IN"/>
              </w:rPr>
              <w:t>]</w:t>
            </w:r>
          </w:p>
        </w:tc>
      </w:tr>
      <w:tr w:rsidR="008541F9" w:rsidRPr="00AA5727" w14:paraId="14B9682F" w14:textId="77777777" w:rsidTr="00AA5727">
        <w:trPr>
          <w:trHeight w:val="290"/>
        </w:trPr>
        <w:tc>
          <w:tcPr>
            <w:tcW w:w="389" w:type="pct"/>
            <w:vAlign w:val="center"/>
          </w:tcPr>
          <w:p w14:paraId="63E0B6C8"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3ED0F8AA" w14:textId="037B2A7E"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Sapinitib (AZD-8931)</w:t>
            </w:r>
          </w:p>
        </w:tc>
        <w:tc>
          <w:tcPr>
            <w:tcW w:w="615" w:type="pct"/>
            <w:vAlign w:val="center"/>
          </w:tcPr>
          <w:p w14:paraId="71E05BB6" w14:textId="2719D23B"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11488320</w:t>
            </w:r>
          </w:p>
        </w:tc>
        <w:tc>
          <w:tcPr>
            <w:tcW w:w="712" w:type="pct"/>
            <w:vAlign w:val="center"/>
          </w:tcPr>
          <w:p w14:paraId="472B39AC" w14:textId="24A2EC9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473.9 g/mol</w:t>
            </w:r>
          </w:p>
        </w:tc>
        <w:tc>
          <w:tcPr>
            <w:tcW w:w="381" w:type="pct"/>
            <w:vAlign w:val="center"/>
          </w:tcPr>
          <w:p w14:paraId="60504C55" w14:textId="195B1774" w:rsidR="003052EC" w:rsidRPr="00AA5727" w:rsidRDefault="003052EC" w:rsidP="00AA5727">
            <w:pPr>
              <w:spacing w:after="0" w:line="276" w:lineRule="auto"/>
              <w:jc w:val="center"/>
              <w:rPr>
                <w:rFonts w:ascii="Times New Roman" w:hAnsi="Times New Roman" w:cs="Times New Roman"/>
                <w:color w:val="000000" w:themeColor="text1"/>
                <w:sz w:val="20"/>
                <w:szCs w:val="20"/>
                <w:lang w:val="en-US"/>
              </w:rPr>
            </w:pPr>
            <w:r w:rsidRPr="00AA5727">
              <w:rPr>
                <w:rFonts w:ascii="Times New Roman" w:hAnsi="Times New Roman" w:cs="Times New Roman"/>
                <w:color w:val="000000" w:themeColor="text1"/>
                <w:sz w:val="20"/>
                <w:szCs w:val="20"/>
                <w:lang w:val="en-US"/>
              </w:rPr>
              <w:t>2</w:t>
            </w:r>
          </w:p>
        </w:tc>
        <w:tc>
          <w:tcPr>
            <w:tcW w:w="393" w:type="pct"/>
            <w:vAlign w:val="center"/>
          </w:tcPr>
          <w:p w14:paraId="038D3259" w14:textId="569F7244" w:rsidR="003052EC" w:rsidRPr="00AA5727" w:rsidRDefault="003052EC" w:rsidP="00AA5727">
            <w:pPr>
              <w:spacing w:after="0" w:line="276" w:lineRule="auto"/>
              <w:jc w:val="center"/>
              <w:rPr>
                <w:rFonts w:ascii="Times New Roman" w:hAnsi="Times New Roman" w:cs="Times New Roman"/>
                <w:color w:val="000000" w:themeColor="text1"/>
                <w:sz w:val="20"/>
                <w:szCs w:val="20"/>
                <w:lang w:val="en-US"/>
              </w:rPr>
            </w:pPr>
            <w:r w:rsidRPr="00AA5727">
              <w:rPr>
                <w:rFonts w:ascii="Times New Roman" w:hAnsi="Times New Roman" w:cs="Times New Roman"/>
                <w:color w:val="000000" w:themeColor="text1"/>
                <w:sz w:val="20"/>
                <w:szCs w:val="20"/>
                <w:lang w:val="en-US"/>
              </w:rPr>
              <w:t>8</w:t>
            </w:r>
          </w:p>
        </w:tc>
        <w:tc>
          <w:tcPr>
            <w:tcW w:w="504" w:type="pct"/>
            <w:vAlign w:val="center"/>
          </w:tcPr>
          <w:p w14:paraId="5AD12F29" w14:textId="3DEF6C3A" w:rsidR="003052EC" w:rsidRPr="00AA5727" w:rsidRDefault="003052EC" w:rsidP="00AA5727">
            <w:pPr>
              <w:spacing w:after="0" w:line="276" w:lineRule="auto"/>
              <w:jc w:val="center"/>
              <w:rPr>
                <w:rFonts w:ascii="Times New Roman" w:hAnsi="Times New Roman" w:cs="Times New Roman"/>
                <w:color w:val="000000" w:themeColor="text1"/>
                <w:sz w:val="20"/>
                <w:szCs w:val="20"/>
                <w:lang w:val="en-US"/>
              </w:rPr>
            </w:pPr>
            <w:r w:rsidRPr="00AA5727">
              <w:rPr>
                <w:rFonts w:ascii="Times New Roman" w:hAnsi="Times New Roman" w:cs="Times New Roman"/>
                <w:color w:val="000000" w:themeColor="text1"/>
                <w:sz w:val="20"/>
                <w:szCs w:val="20"/>
                <w:lang w:val="en-US"/>
              </w:rPr>
              <w:t>4</w:t>
            </w:r>
          </w:p>
        </w:tc>
        <w:tc>
          <w:tcPr>
            <w:tcW w:w="804" w:type="pct"/>
            <w:vAlign w:val="center"/>
          </w:tcPr>
          <w:p w14:paraId="260B25E4" w14:textId="7D19CE97" w:rsidR="003052EC"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w:t>
            </w:r>
            <w:r w:rsidR="00274134" w:rsidRPr="00AA5727">
              <w:rPr>
                <w:rFonts w:ascii="Times New Roman" w:eastAsia="Times New Roman" w:hAnsi="Times New Roman" w:cs="Times New Roman"/>
                <w:color w:val="000000" w:themeColor="text1"/>
                <w:sz w:val="20"/>
                <w:szCs w:val="20"/>
                <w:lang w:eastAsia="en-IN" w:bidi="te-IN"/>
              </w:rPr>
              <w:t>79</w:t>
            </w:r>
            <w:r w:rsidRPr="00AA5727">
              <w:rPr>
                <w:rFonts w:ascii="Times New Roman" w:eastAsia="Times New Roman" w:hAnsi="Times New Roman" w:cs="Times New Roman"/>
                <w:color w:val="000000" w:themeColor="text1"/>
                <w:sz w:val="20"/>
                <w:szCs w:val="20"/>
                <w:lang w:eastAsia="en-IN" w:bidi="te-IN"/>
              </w:rPr>
              <w:t>]</w:t>
            </w:r>
          </w:p>
        </w:tc>
      </w:tr>
      <w:tr w:rsidR="008541F9" w:rsidRPr="00AA5727" w14:paraId="1F93F49D" w14:textId="77777777" w:rsidTr="00AA5727">
        <w:trPr>
          <w:trHeight w:val="290"/>
        </w:trPr>
        <w:tc>
          <w:tcPr>
            <w:tcW w:w="389" w:type="pct"/>
            <w:vAlign w:val="center"/>
          </w:tcPr>
          <w:p w14:paraId="6BB49DEB"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0B1B2813" w14:textId="29D4DC24" w:rsidR="003052EC" w:rsidRPr="00AA5727" w:rsidRDefault="003052EC" w:rsidP="00AA5727">
            <w:pPr>
              <w:spacing w:after="0" w:line="276" w:lineRule="auto"/>
              <w:jc w:val="center"/>
              <w:rPr>
                <w:rFonts w:ascii="Times New Roman" w:hAnsi="Times New Roman" w:cs="Times New Roman"/>
                <w:color w:val="000000" w:themeColor="text1"/>
                <w:sz w:val="20"/>
                <w:szCs w:val="20"/>
                <w:lang w:val="en-US"/>
              </w:rPr>
            </w:pPr>
            <w:r w:rsidRPr="00AA5727">
              <w:rPr>
                <w:rFonts w:ascii="Times New Roman" w:hAnsi="Times New Roman" w:cs="Times New Roman"/>
                <w:color w:val="000000" w:themeColor="text1"/>
                <w:sz w:val="20"/>
                <w:szCs w:val="20"/>
              </w:rPr>
              <w:t>Pelitinib</w:t>
            </w:r>
          </w:p>
        </w:tc>
        <w:tc>
          <w:tcPr>
            <w:tcW w:w="615" w:type="pct"/>
            <w:vAlign w:val="center"/>
          </w:tcPr>
          <w:p w14:paraId="2BDD235E" w14:textId="660E1E54"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6445562</w:t>
            </w:r>
          </w:p>
        </w:tc>
        <w:tc>
          <w:tcPr>
            <w:tcW w:w="712" w:type="pct"/>
            <w:vAlign w:val="center"/>
          </w:tcPr>
          <w:p w14:paraId="5DA2850B" w14:textId="46AE60C5"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467.9 g/mol</w:t>
            </w:r>
          </w:p>
        </w:tc>
        <w:tc>
          <w:tcPr>
            <w:tcW w:w="381" w:type="pct"/>
            <w:vAlign w:val="center"/>
          </w:tcPr>
          <w:p w14:paraId="3ED6E42B" w14:textId="2AC340C1" w:rsidR="003052EC" w:rsidRPr="00AA5727" w:rsidRDefault="003052EC" w:rsidP="00AA5727">
            <w:pPr>
              <w:spacing w:after="0" w:line="276" w:lineRule="auto"/>
              <w:jc w:val="center"/>
              <w:rPr>
                <w:rFonts w:ascii="Times New Roman" w:hAnsi="Times New Roman" w:cs="Times New Roman"/>
                <w:color w:val="000000" w:themeColor="text1"/>
                <w:sz w:val="20"/>
                <w:szCs w:val="20"/>
                <w:lang w:val="en-US"/>
              </w:rPr>
            </w:pPr>
            <w:r w:rsidRPr="00AA5727">
              <w:rPr>
                <w:rFonts w:ascii="Times New Roman" w:hAnsi="Times New Roman" w:cs="Times New Roman"/>
                <w:color w:val="000000" w:themeColor="text1"/>
                <w:sz w:val="20"/>
                <w:szCs w:val="20"/>
              </w:rPr>
              <w:t>2</w:t>
            </w:r>
          </w:p>
        </w:tc>
        <w:tc>
          <w:tcPr>
            <w:tcW w:w="393" w:type="pct"/>
            <w:vAlign w:val="center"/>
          </w:tcPr>
          <w:p w14:paraId="54FC120C" w14:textId="1F980821" w:rsidR="003052EC" w:rsidRPr="00AA5727" w:rsidRDefault="003052EC" w:rsidP="00AA5727">
            <w:pPr>
              <w:spacing w:after="0" w:line="276" w:lineRule="auto"/>
              <w:jc w:val="center"/>
              <w:rPr>
                <w:rFonts w:ascii="Times New Roman" w:hAnsi="Times New Roman" w:cs="Times New Roman"/>
                <w:color w:val="000000" w:themeColor="text1"/>
                <w:sz w:val="20"/>
                <w:szCs w:val="20"/>
                <w:lang w:val="en-US"/>
              </w:rPr>
            </w:pPr>
            <w:r w:rsidRPr="00AA5727">
              <w:rPr>
                <w:rFonts w:ascii="Times New Roman" w:hAnsi="Times New Roman" w:cs="Times New Roman"/>
                <w:color w:val="000000" w:themeColor="text1"/>
                <w:sz w:val="20"/>
                <w:szCs w:val="20"/>
              </w:rPr>
              <w:t>7</w:t>
            </w:r>
          </w:p>
        </w:tc>
        <w:tc>
          <w:tcPr>
            <w:tcW w:w="504" w:type="pct"/>
            <w:vAlign w:val="center"/>
          </w:tcPr>
          <w:p w14:paraId="654D3AB0" w14:textId="267C8F90" w:rsidR="003052EC" w:rsidRPr="00AA5727" w:rsidRDefault="003052EC" w:rsidP="00AA5727">
            <w:pPr>
              <w:spacing w:after="0" w:line="276" w:lineRule="auto"/>
              <w:jc w:val="center"/>
              <w:rPr>
                <w:rFonts w:ascii="Times New Roman" w:hAnsi="Times New Roman" w:cs="Times New Roman"/>
                <w:color w:val="000000" w:themeColor="text1"/>
                <w:sz w:val="20"/>
                <w:szCs w:val="20"/>
                <w:lang w:val="en-US"/>
              </w:rPr>
            </w:pPr>
            <w:r w:rsidRPr="00AA5727">
              <w:rPr>
                <w:rFonts w:ascii="Times New Roman" w:hAnsi="Times New Roman" w:cs="Times New Roman"/>
                <w:color w:val="000000" w:themeColor="text1"/>
                <w:sz w:val="20"/>
                <w:szCs w:val="20"/>
              </w:rPr>
              <w:t>4.5</w:t>
            </w:r>
          </w:p>
        </w:tc>
        <w:tc>
          <w:tcPr>
            <w:tcW w:w="804" w:type="pct"/>
            <w:vAlign w:val="center"/>
          </w:tcPr>
          <w:p w14:paraId="5ED15418" w14:textId="362E8F94" w:rsidR="003052EC"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sz w:val="20"/>
                <w:szCs w:val="20"/>
              </w:rPr>
              <w:t>[8</w:t>
            </w:r>
            <w:r w:rsidR="00274134" w:rsidRPr="00AA5727">
              <w:rPr>
                <w:rFonts w:ascii="Times New Roman" w:hAnsi="Times New Roman" w:cs="Times New Roman"/>
                <w:sz w:val="20"/>
                <w:szCs w:val="20"/>
              </w:rPr>
              <w:t>0</w:t>
            </w:r>
            <w:r w:rsidRPr="00AA5727">
              <w:rPr>
                <w:rFonts w:ascii="Times New Roman" w:hAnsi="Times New Roman" w:cs="Times New Roman"/>
                <w:sz w:val="20"/>
                <w:szCs w:val="20"/>
              </w:rPr>
              <w:t>]</w:t>
            </w:r>
          </w:p>
        </w:tc>
      </w:tr>
      <w:tr w:rsidR="008541F9" w:rsidRPr="00AA5727" w14:paraId="5B2002A8" w14:textId="77777777" w:rsidTr="00AA5727">
        <w:trPr>
          <w:trHeight w:val="290"/>
        </w:trPr>
        <w:tc>
          <w:tcPr>
            <w:tcW w:w="389" w:type="pct"/>
            <w:vAlign w:val="center"/>
          </w:tcPr>
          <w:p w14:paraId="3D4119FA"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058E73E6" w14:textId="5FCFC2D8"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Pyrotinib</w:t>
            </w:r>
          </w:p>
        </w:tc>
        <w:tc>
          <w:tcPr>
            <w:tcW w:w="615" w:type="pct"/>
            <w:vAlign w:val="center"/>
          </w:tcPr>
          <w:p w14:paraId="4500FD7F" w14:textId="4072BC6C"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51039030</w:t>
            </w:r>
          </w:p>
        </w:tc>
        <w:tc>
          <w:tcPr>
            <w:tcW w:w="712" w:type="pct"/>
            <w:vAlign w:val="center"/>
          </w:tcPr>
          <w:p w14:paraId="5209BACA" w14:textId="0CB360EA"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583.1 g/mol</w:t>
            </w:r>
          </w:p>
        </w:tc>
        <w:tc>
          <w:tcPr>
            <w:tcW w:w="381" w:type="pct"/>
            <w:vAlign w:val="center"/>
          </w:tcPr>
          <w:p w14:paraId="5A4FC66D" w14:textId="5899B724"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2</w:t>
            </w:r>
          </w:p>
        </w:tc>
        <w:tc>
          <w:tcPr>
            <w:tcW w:w="393" w:type="pct"/>
            <w:vAlign w:val="center"/>
          </w:tcPr>
          <w:p w14:paraId="417C24C8" w14:textId="1C13BA85"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8</w:t>
            </w:r>
          </w:p>
        </w:tc>
        <w:tc>
          <w:tcPr>
            <w:tcW w:w="504" w:type="pct"/>
            <w:vAlign w:val="center"/>
          </w:tcPr>
          <w:p w14:paraId="529BD6AF" w14:textId="3BE73D02"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5.4</w:t>
            </w:r>
          </w:p>
        </w:tc>
        <w:tc>
          <w:tcPr>
            <w:tcW w:w="804" w:type="pct"/>
            <w:vAlign w:val="center"/>
          </w:tcPr>
          <w:p w14:paraId="3F87E319" w14:textId="432E9352" w:rsidR="003052EC" w:rsidRPr="00AA5727" w:rsidRDefault="0072565E"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[8</w:t>
            </w:r>
            <w:r w:rsidR="00274134" w:rsidRPr="00AA5727">
              <w:rPr>
                <w:rFonts w:ascii="Times New Roman" w:hAnsi="Times New Roman" w:cs="Times New Roman"/>
                <w:color w:val="000000" w:themeColor="text1"/>
                <w:sz w:val="20"/>
                <w:szCs w:val="20"/>
              </w:rPr>
              <w:t>1</w:t>
            </w:r>
            <w:r w:rsidRPr="00AA5727">
              <w:rPr>
                <w:rFonts w:ascii="Times New Roman" w:hAnsi="Times New Roman" w:cs="Times New Roman"/>
                <w:color w:val="000000" w:themeColor="text1"/>
                <w:sz w:val="20"/>
                <w:szCs w:val="20"/>
              </w:rPr>
              <w:t>]</w:t>
            </w:r>
          </w:p>
        </w:tc>
      </w:tr>
      <w:tr w:rsidR="008541F9" w:rsidRPr="00AA5727" w14:paraId="1765DAC4" w14:textId="77777777" w:rsidTr="00AA5727">
        <w:trPr>
          <w:trHeight w:val="290"/>
        </w:trPr>
        <w:tc>
          <w:tcPr>
            <w:tcW w:w="389" w:type="pct"/>
            <w:vAlign w:val="center"/>
          </w:tcPr>
          <w:p w14:paraId="7612D94B"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4C271286" w14:textId="26E2F6D0"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Varlitinib</w:t>
            </w:r>
          </w:p>
        </w:tc>
        <w:tc>
          <w:tcPr>
            <w:tcW w:w="615" w:type="pct"/>
            <w:vAlign w:val="center"/>
          </w:tcPr>
          <w:p w14:paraId="11FE7753" w14:textId="6C235F81"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42642648</w:t>
            </w:r>
          </w:p>
        </w:tc>
        <w:tc>
          <w:tcPr>
            <w:tcW w:w="712" w:type="pct"/>
            <w:vAlign w:val="center"/>
          </w:tcPr>
          <w:p w14:paraId="6A345A0E" w14:textId="2413BED1"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466.9 g/mol</w:t>
            </w:r>
          </w:p>
        </w:tc>
        <w:tc>
          <w:tcPr>
            <w:tcW w:w="381" w:type="pct"/>
            <w:vAlign w:val="center"/>
          </w:tcPr>
          <w:p w14:paraId="756FC00C" w14:textId="248C2195"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2</w:t>
            </w:r>
          </w:p>
        </w:tc>
        <w:tc>
          <w:tcPr>
            <w:tcW w:w="393" w:type="pct"/>
            <w:vAlign w:val="center"/>
          </w:tcPr>
          <w:p w14:paraId="5B277AF4" w14:textId="2EF119D0"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8</w:t>
            </w:r>
          </w:p>
        </w:tc>
        <w:tc>
          <w:tcPr>
            <w:tcW w:w="504" w:type="pct"/>
            <w:vAlign w:val="center"/>
          </w:tcPr>
          <w:p w14:paraId="14A4C061" w14:textId="7277FB61"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4.2</w:t>
            </w:r>
          </w:p>
        </w:tc>
        <w:tc>
          <w:tcPr>
            <w:tcW w:w="804" w:type="pct"/>
            <w:vAlign w:val="center"/>
          </w:tcPr>
          <w:p w14:paraId="0F7505A2" w14:textId="7BEA872B" w:rsidR="003052EC" w:rsidRPr="00AA5727" w:rsidRDefault="0072565E"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[8</w:t>
            </w:r>
            <w:r w:rsidR="00274134" w:rsidRPr="00AA5727">
              <w:rPr>
                <w:rFonts w:ascii="Times New Roman" w:hAnsi="Times New Roman" w:cs="Times New Roman"/>
                <w:color w:val="000000" w:themeColor="text1"/>
                <w:sz w:val="20"/>
                <w:szCs w:val="20"/>
              </w:rPr>
              <w:t>2</w:t>
            </w:r>
            <w:r w:rsidRPr="00AA5727">
              <w:rPr>
                <w:rFonts w:ascii="Times New Roman" w:hAnsi="Times New Roman" w:cs="Times New Roman"/>
                <w:color w:val="000000" w:themeColor="text1"/>
                <w:sz w:val="20"/>
                <w:szCs w:val="20"/>
              </w:rPr>
              <w:t>]</w:t>
            </w:r>
          </w:p>
        </w:tc>
      </w:tr>
      <w:tr w:rsidR="008541F9" w:rsidRPr="00AA5727" w14:paraId="70C0B402" w14:textId="77777777" w:rsidTr="00AA5727">
        <w:trPr>
          <w:trHeight w:val="290"/>
        </w:trPr>
        <w:tc>
          <w:tcPr>
            <w:tcW w:w="389" w:type="pct"/>
            <w:vAlign w:val="center"/>
          </w:tcPr>
          <w:p w14:paraId="39864C8C"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70336B4D" w14:textId="41991403"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GW2974</w:t>
            </w:r>
          </w:p>
        </w:tc>
        <w:tc>
          <w:tcPr>
            <w:tcW w:w="615" w:type="pct"/>
            <w:vAlign w:val="center"/>
          </w:tcPr>
          <w:p w14:paraId="7FA85E02" w14:textId="28A183BE"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6603857</w:t>
            </w:r>
          </w:p>
        </w:tc>
        <w:tc>
          <w:tcPr>
            <w:tcW w:w="712" w:type="pct"/>
            <w:vAlign w:val="center"/>
          </w:tcPr>
          <w:p w14:paraId="792B6870" w14:textId="5747E2E5"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395.5 g/mol</w:t>
            </w:r>
          </w:p>
        </w:tc>
        <w:tc>
          <w:tcPr>
            <w:tcW w:w="381" w:type="pct"/>
            <w:vAlign w:val="center"/>
          </w:tcPr>
          <w:p w14:paraId="11527851" w14:textId="7BD840FB"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1</w:t>
            </w:r>
          </w:p>
        </w:tc>
        <w:tc>
          <w:tcPr>
            <w:tcW w:w="393" w:type="pct"/>
            <w:vAlign w:val="center"/>
          </w:tcPr>
          <w:p w14:paraId="23DE76FF" w14:textId="3241DC90"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6</w:t>
            </w:r>
          </w:p>
        </w:tc>
        <w:tc>
          <w:tcPr>
            <w:tcW w:w="504" w:type="pct"/>
            <w:vAlign w:val="center"/>
          </w:tcPr>
          <w:p w14:paraId="2887D7A0" w14:textId="7E76AB29"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w:t>
            </w:r>
          </w:p>
        </w:tc>
        <w:tc>
          <w:tcPr>
            <w:tcW w:w="804" w:type="pct"/>
            <w:vAlign w:val="center"/>
          </w:tcPr>
          <w:p w14:paraId="7E67D76F" w14:textId="7C8F8AE1" w:rsidR="003052EC" w:rsidRPr="00AA5727" w:rsidRDefault="0072565E"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[8</w:t>
            </w:r>
            <w:r w:rsidR="00274134" w:rsidRPr="00AA5727">
              <w:rPr>
                <w:rFonts w:ascii="Times New Roman" w:hAnsi="Times New Roman" w:cs="Times New Roman"/>
                <w:color w:val="000000" w:themeColor="text1"/>
                <w:sz w:val="20"/>
                <w:szCs w:val="20"/>
              </w:rPr>
              <w:t>3</w:t>
            </w:r>
            <w:r w:rsidRPr="00AA5727">
              <w:rPr>
                <w:rFonts w:ascii="Times New Roman" w:hAnsi="Times New Roman" w:cs="Times New Roman"/>
                <w:color w:val="000000" w:themeColor="text1"/>
                <w:sz w:val="20"/>
                <w:szCs w:val="20"/>
              </w:rPr>
              <w:t>]</w:t>
            </w:r>
          </w:p>
        </w:tc>
      </w:tr>
      <w:tr w:rsidR="008541F9" w:rsidRPr="00AA5727" w14:paraId="0C80D441" w14:textId="77777777" w:rsidTr="00AA5727">
        <w:trPr>
          <w:trHeight w:val="290"/>
        </w:trPr>
        <w:tc>
          <w:tcPr>
            <w:tcW w:w="389" w:type="pct"/>
            <w:vAlign w:val="center"/>
          </w:tcPr>
          <w:p w14:paraId="2BC6A624"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7EE07ED4" w14:textId="7196C66F"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Allitinib</w:t>
            </w:r>
          </w:p>
        </w:tc>
        <w:tc>
          <w:tcPr>
            <w:tcW w:w="615" w:type="pct"/>
            <w:vAlign w:val="center"/>
          </w:tcPr>
          <w:p w14:paraId="056E7D5C" w14:textId="40477C25"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24739943</w:t>
            </w:r>
          </w:p>
        </w:tc>
        <w:tc>
          <w:tcPr>
            <w:tcW w:w="712" w:type="pct"/>
            <w:vAlign w:val="center"/>
          </w:tcPr>
          <w:p w14:paraId="7ACBED16" w14:textId="11727FF8"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448.9 g/mol</w:t>
            </w:r>
          </w:p>
        </w:tc>
        <w:tc>
          <w:tcPr>
            <w:tcW w:w="381" w:type="pct"/>
            <w:vAlign w:val="center"/>
          </w:tcPr>
          <w:p w14:paraId="7C536DCF" w14:textId="70A40F7A"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2</w:t>
            </w:r>
          </w:p>
        </w:tc>
        <w:tc>
          <w:tcPr>
            <w:tcW w:w="393" w:type="pct"/>
            <w:vAlign w:val="center"/>
          </w:tcPr>
          <w:p w14:paraId="27A8921D" w14:textId="60F2B8F9"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6</w:t>
            </w:r>
          </w:p>
        </w:tc>
        <w:tc>
          <w:tcPr>
            <w:tcW w:w="504" w:type="pct"/>
            <w:vAlign w:val="center"/>
          </w:tcPr>
          <w:p w14:paraId="08FA3C61" w14:textId="5AAF19D2"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5.4</w:t>
            </w:r>
          </w:p>
        </w:tc>
        <w:tc>
          <w:tcPr>
            <w:tcW w:w="804" w:type="pct"/>
            <w:vAlign w:val="center"/>
          </w:tcPr>
          <w:p w14:paraId="02EB008D" w14:textId="2713B6D9" w:rsidR="003052EC" w:rsidRPr="00AA5727" w:rsidRDefault="0072565E"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sz w:val="20"/>
                <w:szCs w:val="20"/>
              </w:rPr>
              <w:t>[8</w:t>
            </w:r>
            <w:r w:rsidR="00274134" w:rsidRPr="00AA5727">
              <w:rPr>
                <w:rFonts w:ascii="Times New Roman" w:hAnsi="Times New Roman" w:cs="Times New Roman"/>
                <w:sz w:val="20"/>
                <w:szCs w:val="20"/>
              </w:rPr>
              <w:t>4</w:t>
            </w:r>
            <w:r w:rsidRPr="00AA5727">
              <w:rPr>
                <w:rFonts w:ascii="Times New Roman" w:hAnsi="Times New Roman" w:cs="Times New Roman"/>
                <w:sz w:val="20"/>
                <w:szCs w:val="20"/>
              </w:rPr>
              <w:t>]</w:t>
            </w:r>
          </w:p>
        </w:tc>
      </w:tr>
      <w:tr w:rsidR="008541F9" w:rsidRPr="00AA5727" w14:paraId="2F959802" w14:textId="77777777" w:rsidTr="00AA5727">
        <w:trPr>
          <w:trHeight w:val="290"/>
        </w:trPr>
        <w:tc>
          <w:tcPr>
            <w:tcW w:w="389" w:type="pct"/>
            <w:vAlign w:val="center"/>
          </w:tcPr>
          <w:p w14:paraId="01C36CF5"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4137B0F8" w14:textId="32754903"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WZ 3146</w:t>
            </w:r>
          </w:p>
        </w:tc>
        <w:tc>
          <w:tcPr>
            <w:tcW w:w="615" w:type="pct"/>
            <w:vAlign w:val="center"/>
          </w:tcPr>
          <w:p w14:paraId="108CFC41" w14:textId="587EBF1F"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44607360</w:t>
            </w:r>
          </w:p>
        </w:tc>
        <w:tc>
          <w:tcPr>
            <w:tcW w:w="712" w:type="pct"/>
            <w:vAlign w:val="center"/>
          </w:tcPr>
          <w:p w14:paraId="0BB61226" w14:textId="1176E999"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464.9 g/mol</w:t>
            </w:r>
          </w:p>
        </w:tc>
        <w:tc>
          <w:tcPr>
            <w:tcW w:w="381" w:type="pct"/>
            <w:vAlign w:val="center"/>
          </w:tcPr>
          <w:p w14:paraId="62E2E8AF" w14:textId="19EC4430"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2</w:t>
            </w:r>
          </w:p>
        </w:tc>
        <w:tc>
          <w:tcPr>
            <w:tcW w:w="393" w:type="pct"/>
            <w:vAlign w:val="center"/>
          </w:tcPr>
          <w:p w14:paraId="36057A36" w14:textId="1800A25B"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7</w:t>
            </w:r>
          </w:p>
        </w:tc>
        <w:tc>
          <w:tcPr>
            <w:tcW w:w="504" w:type="pct"/>
            <w:vAlign w:val="center"/>
          </w:tcPr>
          <w:p w14:paraId="0B2E2E08" w14:textId="6B614A62"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lang w:val="en-US"/>
              </w:rPr>
              <w:t>4.3</w:t>
            </w:r>
          </w:p>
        </w:tc>
        <w:tc>
          <w:tcPr>
            <w:tcW w:w="804" w:type="pct"/>
            <w:vAlign w:val="center"/>
          </w:tcPr>
          <w:p w14:paraId="05A8962B" w14:textId="3C6AC449" w:rsidR="003052EC"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[8</w:t>
            </w:r>
            <w:r w:rsidR="00274134" w:rsidRPr="00AA5727">
              <w:rPr>
                <w:rFonts w:ascii="Times New Roman" w:eastAsia="Times New Roman" w:hAnsi="Times New Roman" w:cs="Times New Roman"/>
                <w:color w:val="000000" w:themeColor="text1"/>
                <w:sz w:val="20"/>
                <w:szCs w:val="20"/>
                <w:lang w:eastAsia="en-IN" w:bidi="te-IN"/>
              </w:rPr>
              <w:t>5</w:t>
            </w:r>
            <w:r w:rsidRPr="00AA5727">
              <w:rPr>
                <w:rFonts w:ascii="Times New Roman" w:eastAsia="Times New Roman" w:hAnsi="Times New Roman" w:cs="Times New Roman"/>
                <w:color w:val="000000" w:themeColor="text1"/>
                <w:sz w:val="20"/>
                <w:szCs w:val="20"/>
                <w:lang w:eastAsia="en-IN" w:bidi="te-IN"/>
              </w:rPr>
              <w:t>]</w:t>
            </w:r>
          </w:p>
        </w:tc>
      </w:tr>
      <w:tr w:rsidR="008541F9" w:rsidRPr="00AA5727" w14:paraId="7B9B5822" w14:textId="77777777" w:rsidTr="00AA5727">
        <w:trPr>
          <w:trHeight w:val="290"/>
        </w:trPr>
        <w:tc>
          <w:tcPr>
            <w:tcW w:w="389" w:type="pct"/>
            <w:vAlign w:val="center"/>
          </w:tcPr>
          <w:p w14:paraId="76FC762E"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4E4EAE15" w14:textId="3D8F603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PD153035</w:t>
            </w:r>
          </w:p>
        </w:tc>
        <w:tc>
          <w:tcPr>
            <w:tcW w:w="615" w:type="pct"/>
            <w:vAlign w:val="center"/>
          </w:tcPr>
          <w:p w14:paraId="3B7940B5" w14:textId="406B041C"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4705</w:t>
            </w:r>
          </w:p>
        </w:tc>
        <w:tc>
          <w:tcPr>
            <w:tcW w:w="712" w:type="pct"/>
            <w:vAlign w:val="center"/>
          </w:tcPr>
          <w:p w14:paraId="35B43ADE" w14:textId="64896FC0"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360.20 g/mol</w:t>
            </w:r>
          </w:p>
        </w:tc>
        <w:tc>
          <w:tcPr>
            <w:tcW w:w="381" w:type="pct"/>
            <w:vAlign w:val="center"/>
          </w:tcPr>
          <w:p w14:paraId="5E432BB1" w14:textId="079100D4"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1</w:t>
            </w:r>
          </w:p>
        </w:tc>
        <w:tc>
          <w:tcPr>
            <w:tcW w:w="393" w:type="pct"/>
            <w:vAlign w:val="center"/>
          </w:tcPr>
          <w:p w14:paraId="51F0055C" w14:textId="60D983F4"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5</w:t>
            </w:r>
          </w:p>
        </w:tc>
        <w:tc>
          <w:tcPr>
            <w:tcW w:w="504" w:type="pct"/>
            <w:vAlign w:val="center"/>
          </w:tcPr>
          <w:p w14:paraId="000A6F05" w14:textId="13A817A9"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lang w:val="en-US"/>
              </w:rPr>
              <w:t>4</w:t>
            </w:r>
          </w:p>
        </w:tc>
        <w:tc>
          <w:tcPr>
            <w:tcW w:w="804" w:type="pct"/>
            <w:vAlign w:val="center"/>
          </w:tcPr>
          <w:p w14:paraId="2B51C911" w14:textId="79CFBAC1" w:rsidR="003052EC"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[8</w:t>
            </w:r>
            <w:r w:rsidR="00274134" w:rsidRPr="00AA5727">
              <w:rPr>
                <w:rFonts w:ascii="Times New Roman" w:eastAsia="Times New Roman" w:hAnsi="Times New Roman" w:cs="Times New Roman"/>
                <w:color w:val="000000" w:themeColor="text1"/>
                <w:sz w:val="20"/>
                <w:szCs w:val="20"/>
                <w:lang w:eastAsia="en-IN" w:bidi="te-IN"/>
              </w:rPr>
              <w:t>6</w:t>
            </w:r>
            <w:r w:rsidRPr="00AA5727">
              <w:rPr>
                <w:rFonts w:ascii="Times New Roman" w:eastAsia="Times New Roman" w:hAnsi="Times New Roman" w:cs="Times New Roman"/>
                <w:color w:val="000000" w:themeColor="text1"/>
                <w:sz w:val="20"/>
                <w:szCs w:val="20"/>
                <w:lang w:eastAsia="en-IN" w:bidi="te-IN"/>
              </w:rPr>
              <w:t>]</w:t>
            </w:r>
          </w:p>
        </w:tc>
      </w:tr>
      <w:tr w:rsidR="008541F9" w:rsidRPr="00AA5727" w14:paraId="0C86C47D" w14:textId="77777777" w:rsidTr="00AA5727">
        <w:trPr>
          <w:trHeight w:val="290"/>
        </w:trPr>
        <w:tc>
          <w:tcPr>
            <w:tcW w:w="389" w:type="pct"/>
            <w:vAlign w:val="center"/>
          </w:tcPr>
          <w:p w14:paraId="1190F85B"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01947309" w14:textId="29913DF4"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MP-412</w:t>
            </w:r>
          </w:p>
        </w:tc>
        <w:tc>
          <w:tcPr>
            <w:tcW w:w="615" w:type="pct"/>
            <w:vAlign w:val="center"/>
          </w:tcPr>
          <w:p w14:paraId="370DC7AF" w14:textId="463B1705"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11700696</w:t>
            </w:r>
          </w:p>
        </w:tc>
        <w:tc>
          <w:tcPr>
            <w:tcW w:w="712" w:type="pct"/>
            <w:vAlign w:val="center"/>
          </w:tcPr>
          <w:p w14:paraId="26B24CE2" w14:textId="63EF0656"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851.4 g/mol</w:t>
            </w:r>
          </w:p>
        </w:tc>
        <w:tc>
          <w:tcPr>
            <w:tcW w:w="381" w:type="pct"/>
            <w:vAlign w:val="center"/>
          </w:tcPr>
          <w:p w14:paraId="213C43E8" w14:textId="63D3042E"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4</w:t>
            </w:r>
          </w:p>
        </w:tc>
        <w:tc>
          <w:tcPr>
            <w:tcW w:w="393" w:type="pct"/>
            <w:vAlign w:val="center"/>
          </w:tcPr>
          <w:p w14:paraId="2005F1E7" w14:textId="31544AFA"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13</w:t>
            </w:r>
          </w:p>
        </w:tc>
        <w:tc>
          <w:tcPr>
            <w:tcW w:w="504" w:type="pct"/>
            <w:vAlign w:val="center"/>
          </w:tcPr>
          <w:p w14:paraId="1F1DDD7F" w14:textId="09CD32BD"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lang w:val="en-US"/>
              </w:rPr>
              <w:t>NA</w:t>
            </w:r>
          </w:p>
        </w:tc>
        <w:tc>
          <w:tcPr>
            <w:tcW w:w="804" w:type="pct"/>
            <w:vAlign w:val="center"/>
          </w:tcPr>
          <w:p w14:paraId="57C71BEA" w14:textId="77316D7B" w:rsidR="003052EC"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[8</w:t>
            </w:r>
            <w:r w:rsidR="00274134" w:rsidRPr="00AA5727">
              <w:rPr>
                <w:rFonts w:ascii="Times New Roman" w:eastAsia="Times New Roman" w:hAnsi="Times New Roman" w:cs="Times New Roman"/>
                <w:color w:val="000000" w:themeColor="text1"/>
                <w:sz w:val="20"/>
                <w:szCs w:val="20"/>
                <w:lang w:eastAsia="en-IN" w:bidi="te-IN"/>
              </w:rPr>
              <w:t>7</w:t>
            </w:r>
            <w:r w:rsidRPr="00AA5727">
              <w:rPr>
                <w:rFonts w:ascii="Times New Roman" w:eastAsia="Times New Roman" w:hAnsi="Times New Roman" w:cs="Times New Roman"/>
                <w:color w:val="000000" w:themeColor="text1"/>
                <w:sz w:val="20"/>
                <w:szCs w:val="20"/>
                <w:lang w:eastAsia="en-IN" w:bidi="te-IN"/>
              </w:rPr>
              <w:t>]</w:t>
            </w:r>
          </w:p>
        </w:tc>
      </w:tr>
      <w:tr w:rsidR="008541F9" w:rsidRPr="00AA5727" w14:paraId="4C84C108" w14:textId="77777777" w:rsidTr="00AA5727">
        <w:trPr>
          <w:trHeight w:val="290"/>
        </w:trPr>
        <w:tc>
          <w:tcPr>
            <w:tcW w:w="389" w:type="pct"/>
            <w:vAlign w:val="center"/>
          </w:tcPr>
          <w:p w14:paraId="292CB924"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33C769BA" w14:textId="0DB58276"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WZ4002</w:t>
            </w:r>
          </w:p>
        </w:tc>
        <w:tc>
          <w:tcPr>
            <w:tcW w:w="615" w:type="pct"/>
            <w:vAlign w:val="center"/>
          </w:tcPr>
          <w:p w14:paraId="042FE1A3" w14:textId="075A911C"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44607530</w:t>
            </w:r>
          </w:p>
        </w:tc>
        <w:tc>
          <w:tcPr>
            <w:tcW w:w="712" w:type="pct"/>
            <w:vAlign w:val="center"/>
          </w:tcPr>
          <w:p w14:paraId="3BEFCE42" w14:textId="387D810A"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495.0 g/mol</w:t>
            </w:r>
          </w:p>
        </w:tc>
        <w:tc>
          <w:tcPr>
            <w:tcW w:w="381" w:type="pct"/>
            <w:vAlign w:val="center"/>
          </w:tcPr>
          <w:p w14:paraId="79C87B9C" w14:textId="41CC3A5E"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2</w:t>
            </w:r>
          </w:p>
        </w:tc>
        <w:tc>
          <w:tcPr>
            <w:tcW w:w="393" w:type="pct"/>
            <w:vAlign w:val="center"/>
          </w:tcPr>
          <w:p w14:paraId="1B3B145F" w14:textId="52E80AE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lang w:val="en-US"/>
              </w:rPr>
              <w:t>8</w:t>
            </w:r>
          </w:p>
        </w:tc>
        <w:tc>
          <w:tcPr>
            <w:tcW w:w="504" w:type="pct"/>
            <w:vAlign w:val="center"/>
          </w:tcPr>
          <w:p w14:paraId="44894E5D" w14:textId="2AF72932"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lang w:val="en-US"/>
              </w:rPr>
              <w:t>4.2</w:t>
            </w:r>
          </w:p>
        </w:tc>
        <w:tc>
          <w:tcPr>
            <w:tcW w:w="804" w:type="pct"/>
            <w:vAlign w:val="center"/>
          </w:tcPr>
          <w:p w14:paraId="6290150F" w14:textId="09DD3E9F" w:rsidR="003052EC" w:rsidRPr="00AA5727" w:rsidRDefault="0072565E"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sz w:val="20"/>
                <w:szCs w:val="20"/>
              </w:rPr>
              <w:t>[1]</w:t>
            </w:r>
          </w:p>
        </w:tc>
      </w:tr>
      <w:tr w:rsidR="008541F9" w:rsidRPr="00AA5727" w14:paraId="02276F7F" w14:textId="77777777" w:rsidTr="00AA5727">
        <w:trPr>
          <w:trHeight w:val="290"/>
        </w:trPr>
        <w:tc>
          <w:tcPr>
            <w:tcW w:w="389" w:type="pct"/>
            <w:vAlign w:val="center"/>
          </w:tcPr>
          <w:p w14:paraId="586949E8"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5A45382D" w14:textId="7334853D"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AG1478 (N-(3-Chlorophenyl)-6,7-dimethoxy-4-quinazolinamine)</w:t>
            </w:r>
          </w:p>
        </w:tc>
        <w:tc>
          <w:tcPr>
            <w:tcW w:w="615" w:type="pct"/>
            <w:vAlign w:val="center"/>
          </w:tcPr>
          <w:p w14:paraId="2C88E998" w14:textId="40E876B6"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2051</w:t>
            </w:r>
          </w:p>
        </w:tc>
        <w:tc>
          <w:tcPr>
            <w:tcW w:w="712" w:type="pct"/>
            <w:vAlign w:val="center"/>
          </w:tcPr>
          <w:p w14:paraId="1B763E7E" w14:textId="311F0035"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315.75 g/mol</w:t>
            </w:r>
          </w:p>
        </w:tc>
        <w:tc>
          <w:tcPr>
            <w:tcW w:w="381" w:type="pct"/>
            <w:vAlign w:val="center"/>
          </w:tcPr>
          <w:p w14:paraId="22482C2F" w14:textId="0D57ADCD"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1</w:t>
            </w:r>
          </w:p>
        </w:tc>
        <w:tc>
          <w:tcPr>
            <w:tcW w:w="393" w:type="pct"/>
            <w:vAlign w:val="center"/>
          </w:tcPr>
          <w:p w14:paraId="45D3DAB2" w14:textId="77B33BF4"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5</w:t>
            </w:r>
          </w:p>
        </w:tc>
        <w:tc>
          <w:tcPr>
            <w:tcW w:w="504" w:type="pct"/>
            <w:vAlign w:val="center"/>
          </w:tcPr>
          <w:p w14:paraId="6B79AD69" w14:textId="320FFF78"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4</w:t>
            </w:r>
          </w:p>
        </w:tc>
        <w:tc>
          <w:tcPr>
            <w:tcW w:w="804" w:type="pct"/>
            <w:vAlign w:val="center"/>
          </w:tcPr>
          <w:p w14:paraId="35FE91AD" w14:textId="43C59F72" w:rsidR="003052EC" w:rsidRPr="00AA5727" w:rsidRDefault="00274134"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[88]</w:t>
            </w:r>
          </w:p>
        </w:tc>
      </w:tr>
      <w:tr w:rsidR="008541F9" w:rsidRPr="00AA5727" w14:paraId="7985ED47" w14:textId="77777777" w:rsidTr="00AA5727">
        <w:trPr>
          <w:trHeight w:val="290"/>
        </w:trPr>
        <w:tc>
          <w:tcPr>
            <w:tcW w:w="389" w:type="pct"/>
            <w:vAlign w:val="center"/>
          </w:tcPr>
          <w:p w14:paraId="5DC73A8E"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3F1E51B2"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eastAsia="Times New Roman" w:hAnsi="Times New Roman" w:cs="Times New Roman"/>
                <w:color w:val="000000" w:themeColor="text1"/>
                <w:kern w:val="36"/>
                <w:sz w:val="20"/>
                <w:szCs w:val="20"/>
                <w:lang w:eastAsia="en-IN"/>
              </w:rPr>
              <w:t>7-(4-(3-Ethynylphenylamino)-7-methoxyquinazolin-6-yloxy)-</w:t>
            </w:r>
            <w:r w:rsidRPr="00AA5727">
              <w:rPr>
                <w:rFonts w:ascii="Times New Roman" w:eastAsia="Times New Roman" w:hAnsi="Times New Roman" w:cs="Times New Roman"/>
                <w:i/>
                <w:iCs/>
                <w:color w:val="000000" w:themeColor="text1"/>
                <w:kern w:val="36"/>
                <w:sz w:val="20"/>
                <w:szCs w:val="20"/>
                <w:lang w:eastAsia="en-IN"/>
              </w:rPr>
              <w:t>N</w:t>
            </w:r>
            <w:r w:rsidRPr="00AA5727">
              <w:rPr>
                <w:rFonts w:ascii="Times New Roman" w:eastAsia="Times New Roman" w:hAnsi="Times New Roman" w:cs="Times New Roman"/>
                <w:color w:val="000000" w:themeColor="text1"/>
                <w:kern w:val="36"/>
                <w:sz w:val="20"/>
                <w:szCs w:val="20"/>
                <w:lang w:eastAsia="en-IN"/>
              </w:rPr>
              <w:t>-hydroxyheptanamide (CUDC-101)</w:t>
            </w:r>
          </w:p>
        </w:tc>
        <w:tc>
          <w:tcPr>
            <w:tcW w:w="615" w:type="pct"/>
            <w:vAlign w:val="center"/>
          </w:tcPr>
          <w:p w14:paraId="0930FA07" w14:textId="77777777" w:rsidR="003052EC" w:rsidRPr="00AA5727" w:rsidRDefault="003052EC"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24756910</w:t>
            </w:r>
          </w:p>
        </w:tc>
        <w:tc>
          <w:tcPr>
            <w:tcW w:w="712" w:type="pct"/>
            <w:vAlign w:val="center"/>
          </w:tcPr>
          <w:p w14:paraId="36F48249" w14:textId="77777777" w:rsidR="003052EC" w:rsidRPr="00AA5727" w:rsidRDefault="003052EC"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434.5</w:t>
            </w:r>
          </w:p>
        </w:tc>
        <w:tc>
          <w:tcPr>
            <w:tcW w:w="381" w:type="pct"/>
            <w:vAlign w:val="center"/>
          </w:tcPr>
          <w:p w14:paraId="5D36F6A5" w14:textId="77777777" w:rsidR="003052EC" w:rsidRPr="00AA5727" w:rsidRDefault="003052EC"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3</w:t>
            </w:r>
          </w:p>
        </w:tc>
        <w:tc>
          <w:tcPr>
            <w:tcW w:w="393" w:type="pct"/>
            <w:vAlign w:val="center"/>
          </w:tcPr>
          <w:p w14:paraId="20A106C3" w14:textId="77777777" w:rsidR="003052EC" w:rsidRPr="00AA5727" w:rsidRDefault="003052EC" w:rsidP="00AA5727">
            <w:pPr>
              <w:spacing w:after="0" w:line="276" w:lineRule="auto"/>
              <w:ind w:left="-251" w:firstLine="251"/>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7</w:t>
            </w:r>
          </w:p>
        </w:tc>
        <w:tc>
          <w:tcPr>
            <w:tcW w:w="504" w:type="pct"/>
            <w:vAlign w:val="center"/>
          </w:tcPr>
          <w:p w14:paraId="5C8D331E" w14:textId="77777777" w:rsidR="003052EC" w:rsidRPr="00AA5727" w:rsidRDefault="003052EC"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4</w:t>
            </w:r>
          </w:p>
        </w:tc>
        <w:tc>
          <w:tcPr>
            <w:tcW w:w="804" w:type="pct"/>
            <w:vAlign w:val="center"/>
          </w:tcPr>
          <w:p w14:paraId="2FEEDC4B" w14:textId="7AE75BBD" w:rsidR="003052EC" w:rsidRPr="00AA5727" w:rsidRDefault="00274134"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[89]</w:t>
            </w:r>
          </w:p>
        </w:tc>
      </w:tr>
      <w:tr w:rsidR="008541F9" w:rsidRPr="00AA5727" w14:paraId="7B1B7D56" w14:textId="77777777" w:rsidTr="00AA5727">
        <w:trPr>
          <w:trHeight w:val="290"/>
        </w:trPr>
        <w:tc>
          <w:tcPr>
            <w:tcW w:w="389" w:type="pct"/>
            <w:vAlign w:val="center"/>
          </w:tcPr>
          <w:p w14:paraId="019729E0"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1F2E24C2"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shd w:val="clear" w:color="auto" w:fill="FFFFFF"/>
              </w:rPr>
              <w:t>((Z)-(3-((E)-3-(4-Fluorophenyl) acryloyl)phenyl)diazenyl)-2-hydroxybenzoic acid</w:t>
            </w:r>
          </w:p>
        </w:tc>
        <w:tc>
          <w:tcPr>
            <w:tcW w:w="615" w:type="pct"/>
            <w:vAlign w:val="center"/>
          </w:tcPr>
          <w:p w14:paraId="4844EAAA"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w:t>
            </w:r>
          </w:p>
        </w:tc>
        <w:tc>
          <w:tcPr>
            <w:tcW w:w="712" w:type="pct"/>
            <w:vAlign w:val="center"/>
          </w:tcPr>
          <w:p w14:paraId="16EB45FA"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388.398</w:t>
            </w:r>
          </w:p>
        </w:tc>
        <w:tc>
          <w:tcPr>
            <w:tcW w:w="381" w:type="pct"/>
            <w:vAlign w:val="center"/>
          </w:tcPr>
          <w:p w14:paraId="5AE84B41"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1</w:t>
            </w:r>
          </w:p>
        </w:tc>
        <w:tc>
          <w:tcPr>
            <w:tcW w:w="393" w:type="pct"/>
            <w:vAlign w:val="center"/>
          </w:tcPr>
          <w:p w14:paraId="1C9BE8BD"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5</w:t>
            </w:r>
          </w:p>
        </w:tc>
        <w:tc>
          <w:tcPr>
            <w:tcW w:w="504" w:type="pct"/>
            <w:vAlign w:val="center"/>
          </w:tcPr>
          <w:p w14:paraId="243C5242" w14:textId="77777777" w:rsidR="003052EC" w:rsidRPr="00AA5727" w:rsidRDefault="003052EC" w:rsidP="00AA5727">
            <w:pPr>
              <w:spacing w:after="0" w:line="276" w:lineRule="auto"/>
              <w:jc w:val="center"/>
              <w:rPr>
                <w:rFonts w:ascii="Times New Roman" w:hAnsi="Times New Roman" w:cs="Times New Roman"/>
                <w:noProof/>
                <w:color w:val="000000" w:themeColor="text1"/>
                <w:sz w:val="20"/>
                <w:szCs w:val="20"/>
              </w:rPr>
            </w:pPr>
            <w:r w:rsidRPr="00AA5727">
              <w:rPr>
                <w:rFonts w:ascii="Times New Roman" w:hAnsi="Times New Roman" w:cs="Times New Roman"/>
                <w:color w:val="000000" w:themeColor="text1"/>
                <w:sz w:val="20"/>
                <w:szCs w:val="20"/>
              </w:rPr>
              <w:t>6.13</w:t>
            </w:r>
          </w:p>
        </w:tc>
        <w:tc>
          <w:tcPr>
            <w:tcW w:w="804" w:type="pct"/>
            <w:vAlign w:val="center"/>
          </w:tcPr>
          <w:p w14:paraId="392C7F46" w14:textId="2B17E082" w:rsidR="003052EC" w:rsidRPr="00AA5727" w:rsidRDefault="00274134"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[90]</w:t>
            </w:r>
          </w:p>
        </w:tc>
      </w:tr>
      <w:tr w:rsidR="008541F9" w:rsidRPr="00AA5727" w14:paraId="761C6CDB" w14:textId="77777777" w:rsidTr="00AA5727">
        <w:trPr>
          <w:trHeight w:val="290"/>
        </w:trPr>
        <w:tc>
          <w:tcPr>
            <w:tcW w:w="389" w:type="pct"/>
            <w:vAlign w:val="center"/>
          </w:tcPr>
          <w:p w14:paraId="68A4556F"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036E73A5"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shd w:val="clear" w:color="auto" w:fill="FFFFFF"/>
              </w:rPr>
              <w:t>(E)-3-(4-Fluorophenyl)-1-(4-((E)-(4-</w:t>
            </w:r>
            <w:r w:rsidRPr="00AA5727">
              <w:rPr>
                <w:rFonts w:ascii="Times New Roman" w:hAnsi="Times New Roman" w:cs="Times New Roman"/>
                <w:color w:val="000000" w:themeColor="text1"/>
                <w:sz w:val="20"/>
                <w:szCs w:val="20"/>
                <w:shd w:val="clear" w:color="auto" w:fill="FFFFFF"/>
              </w:rPr>
              <w:lastRenderedPageBreak/>
              <w:t>hydroxynaphthalen-1-yl)diazenyl)phenyl) prop-2-en-1-one</w:t>
            </w:r>
          </w:p>
        </w:tc>
        <w:tc>
          <w:tcPr>
            <w:tcW w:w="615" w:type="pct"/>
            <w:vAlign w:val="center"/>
          </w:tcPr>
          <w:p w14:paraId="3F573F22"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lastRenderedPageBreak/>
              <w:t>-</w:t>
            </w:r>
          </w:p>
        </w:tc>
        <w:tc>
          <w:tcPr>
            <w:tcW w:w="712" w:type="pct"/>
            <w:vAlign w:val="center"/>
          </w:tcPr>
          <w:p w14:paraId="111DCC0D"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396.421</w:t>
            </w:r>
          </w:p>
        </w:tc>
        <w:tc>
          <w:tcPr>
            <w:tcW w:w="381" w:type="pct"/>
            <w:vAlign w:val="center"/>
          </w:tcPr>
          <w:p w14:paraId="3F29DA40"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1</w:t>
            </w:r>
          </w:p>
        </w:tc>
        <w:tc>
          <w:tcPr>
            <w:tcW w:w="393" w:type="pct"/>
            <w:vAlign w:val="center"/>
          </w:tcPr>
          <w:p w14:paraId="43A6A6B0"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w:t>
            </w:r>
          </w:p>
        </w:tc>
        <w:tc>
          <w:tcPr>
            <w:tcW w:w="504" w:type="pct"/>
            <w:vAlign w:val="center"/>
          </w:tcPr>
          <w:p w14:paraId="6B5574D1" w14:textId="77777777" w:rsidR="003052EC" w:rsidRPr="00AA5727" w:rsidRDefault="003052EC" w:rsidP="00AA5727">
            <w:pPr>
              <w:spacing w:after="0" w:line="276" w:lineRule="auto"/>
              <w:jc w:val="center"/>
              <w:rPr>
                <w:rFonts w:ascii="Times New Roman" w:hAnsi="Times New Roman" w:cs="Times New Roman"/>
                <w:noProof/>
                <w:color w:val="000000" w:themeColor="text1"/>
                <w:sz w:val="20"/>
                <w:szCs w:val="20"/>
              </w:rPr>
            </w:pPr>
            <w:r w:rsidRPr="00AA5727">
              <w:rPr>
                <w:rFonts w:ascii="Times New Roman" w:hAnsi="Times New Roman" w:cs="Times New Roman"/>
                <w:color w:val="000000" w:themeColor="text1"/>
                <w:sz w:val="20"/>
                <w:szCs w:val="20"/>
              </w:rPr>
              <w:t>7.12</w:t>
            </w:r>
          </w:p>
        </w:tc>
        <w:tc>
          <w:tcPr>
            <w:tcW w:w="804" w:type="pct"/>
            <w:vAlign w:val="center"/>
          </w:tcPr>
          <w:p w14:paraId="486F6FAF" w14:textId="463058C0" w:rsidR="003052EC" w:rsidRPr="00AA5727" w:rsidRDefault="00274134"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sz w:val="20"/>
                <w:szCs w:val="20"/>
              </w:rPr>
              <w:t>[90]</w:t>
            </w:r>
          </w:p>
        </w:tc>
      </w:tr>
      <w:tr w:rsidR="008541F9" w:rsidRPr="00AA5727" w14:paraId="12AFF752" w14:textId="77777777" w:rsidTr="00AA5727">
        <w:trPr>
          <w:trHeight w:val="290"/>
        </w:trPr>
        <w:tc>
          <w:tcPr>
            <w:tcW w:w="389" w:type="pct"/>
            <w:vAlign w:val="center"/>
          </w:tcPr>
          <w:p w14:paraId="3B88F70F"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107ACAB3"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Crocetinic acid</w:t>
            </w:r>
          </w:p>
        </w:tc>
        <w:tc>
          <w:tcPr>
            <w:tcW w:w="615" w:type="pct"/>
            <w:vAlign w:val="center"/>
          </w:tcPr>
          <w:p w14:paraId="51BEFD1C"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w:t>
            </w:r>
          </w:p>
        </w:tc>
        <w:tc>
          <w:tcPr>
            <w:tcW w:w="712" w:type="pct"/>
            <w:vAlign w:val="center"/>
          </w:tcPr>
          <w:p w14:paraId="2700EAF9"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342.35</w:t>
            </w:r>
          </w:p>
        </w:tc>
        <w:tc>
          <w:tcPr>
            <w:tcW w:w="381" w:type="pct"/>
            <w:vAlign w:val="center"/>
          </w:tcPr>
          <w:p w14:paraId="69431717"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2</w:t>
            </w:r>
          </w:p>
        </w:tc>
        <w:tc>
          <w:tcPr>
            <w:tcW w:w="393" w:type="pct"/>
            <w:vAlign w:val="center"/>
          </w:tcPr>
          <w:p w14:paraId="4DD9B5E1"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w:t>
            </w:r>
          </w:p>
        </w:tc>
        <w:tc>
          <w:tcPr>
            <w:tcW w:w="504" w:type="pct"/>
            <w:vAlign w:val="center"/>
          </w:tcPr>
          <w:p w14:paraId="3423617D" w14:textId="77777777" w:rsidR="003052EC" w:rsidRPr="00AA5727" w:rsidRDefault="003052EC" w:rsidP="00AA5727">
            <w:pPr>
              <w:spacing w:after="0" w:line="276" w:lineRule="auto"/>
              <w:jc w:val="center"/>
              <w:rPr>
                <w:rFonts w:ascii="Times New Roman" w:hAnsi="Times New Roman" w:cs="Times New Roman"/>
                <w:noProof/>
                <w:color w:val="000000" w:themeColor="text1"/>
                <w:sz w:val="20"/>
                <w:szCs w:val="20"/>
              </w:rPr>
            </w:pPr>
            <w:r w:rsidRPr="00AA5727">
              <w:rPr>
                <w:rFonts w:ascii="Times New Roman" w:hAnsi="Times New Roman" w:cs="Times New Roman"/>
                <w:color w:val="000000" w:themeColor="text1"/>
                <w:sz w:val="20"/>
                <w:szCs w:val="20"/>
              </w:rPr>
              <w:t>4.64</w:t>
            </w:r>
          </w:p>
        </w:tc>
        <w:tc>
          <w:tcPr>
            <w:tcW w:w="804" w:type="pct"/>
            <w:vAlign w:val="center"/>
          </w:tcPr>
          <w:p w14:paraId="4C5FCFB4" w14:textId="4F6C3C77" w:rsidR="003052EC" w:rsidRPr="00AA5727" w:rsidRDefault="00274134"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[91]</w:t>
            </w:r>
          </w:p>
        </w:tc>
      </w:tr>
      <w:tr w:rsidR="008541F9" w:rsidRPr="00AA5727" w14:paraId="08FDC529" w14:textId="77777777" w:rsidTr="00AA5727">
        <w:trPr>
          <w:trHeight w:val="290"/>
        </w:trPr>
        <w:tc>
          <w:tcPr>
            <w:tcW w:w="389" w:type="pct"/>
            <w:vAlign w:val="center"/>
          </w:tcPr>
          <w:p w14:paraId="03AFD0D8"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0AEBAFF6"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Phosphoaspirin (MDC-22)</w:t>
            </w:r>
          </w:p>
        </w:tc>
        <w:tc>
          <w:tcPr>
            <w:tcW w:w="615" w:type="pct"/>
            <w:vAlign w:val="center"/>
          </w:tcPr>
          <w:p w14:paraId="0ECA1A68"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w:t>
            </w:r>
          </w:p>
        </w:tc>
        <w:tc>
          <w:tcPr>
            <w:tcW w:w="712" w:type="pct"/>
            <w:vAlign w:val="center"/>
          </w:tcPr>
          <w:p w14:paraId="7A63B76F"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526.412</w:t>
            </w:r>
          </w:p>
        </w:tc>
        <w:tc>
          <w:tcPr>
            <w:tcW w:w="381" w:type="pct"/>
            <w:vAlign w:val="center"/>
          </w:tcPr>
          <w:p w14:paraId="5E810B3E"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0</w:t>
            </w:r>
          </w:p>
        </w:tc>
        <w:tc>
          <w:tcPr>
            <w:tcW w:w="393" w:type="pct"/>
            <w:vAlign w:val="center"/>
          </w:tcPr>
          <w:p w14:paraId="17993559"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w:t>
            </w:r>
          </w:p>
        </w:tc>
        <w:tc>
          <w:tcPr>
            <w:tcW w:w="504" w:type="pct"/>
            <w:vAlign w:val="center"/>
          </w:tcPr>
          <w:p w14:paraId="6BA0596B" w14:textId="77777777" w:rsidR="003052EC" w:rsidRPr="00AA5727" w:rsidRDefault="003052EC" w:rsidP="00AA5727">
            <w:pPr>
              <w:spacing w:after="0" w:line="276" w:lineRule="auto"/>
              <w:jc w:val="center"/>
              <w:rPr>
                <w:rFonts w:ascii="Times New Roman" w:hAnsi="Times New Roman" w:cs="Times New Roman"/>
                <w:noProof/>
                <w:color w:val="000000" w:themeColor="text1"/>
                <w:sz w:val="20"/>
                <w:szCs w:val="20"/>
              </w:rPr>
            </w:pPr>
            <w:r w:rsidRPr="00AA5727">
              <w:rPr>
                <w:rFonts w:ascii="Times New Roman" w:hAnsi="Times New Roman" w:cs="Times New Roman"/>
                <w:color w:val="000000" w:themeColor="text1"/>
                <w:sz w:val="20"/>
                <w:szCs w:val="20"/>
              </w:rPr>
              <w:t>2.96</w:t>
            </w:r>
          </w:p>
        </w:tc>
        <w:tc>
          <w:tcPr>
            <w:tcW w:w="804" w:type="pct"/>
            <w:vAlign w:val="center"/>
          </w:tcPr>
          <w:p w14:paraId="01933FA8" w14:textId="5A764F0A" w:rsidR="003052EC" w:rsidRPr="00AA5727" w:rsidRDefault="00274134"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[92]</w:t>
            </w:r>
          </w:p>
        </w:tc>
      </w:tr>
      <w:tr w:rsidR="008541F9" w:rsidRPr="00AA5727" w14:paraId="1251E8BD" w14:textId="77777777" w:rsidTr="00AA5727">
        <w:trPr>
          <w:trHeight w:val="290"/>
        </w:trPr>
        <w:tc>
          <w:tcPr>
            <w:tcW w:w="389" w:type="pct"/>
            <w:vAlign w:val="center"/>
          </w:tcPr>
          <w:p w14:paraId="0A81610F"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20752D0B"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(E)-2-{3-(1H-Benzo[B]Oxazol-2-Yl)Phenyl)Diazenyl)-3,4,5-Trihydroxybenzoic acid</w:t>
            </w:r>
          </w:p>
        </w:tc>
        <w:tc>
          <w:tcPr>
            <w:tcW w:w="615" w:type="pct"/>
            <w:vAlign w:val="center"/>
          </w:tcPr>
          <w:p w14:paraId="4A4DBDC0"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w:t>
            </w:r>
          </w:p>
        </w:tc>
        <w:tc>
          <w:tcPr>
            <w:tcW w:w="712" w:type="pct"/>
            <w:vAlign w:val="center"/>
          </w:tcPr>
          <w:p w14:paraId="23753A2B"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391.339</w:t>
            </w:r>
          </w:p>
        </w:tc>
        <w:tc>
          <w:tcPr>
            <w:tcW w:w="381" w:type="pct"/>
            <w:vAlign w:val="center"/>
          </w:tcPr>
          <w:p w14:paraId="63454375"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w:t>
            </w:r>
          </w:p>
        </w:tc>
        <w:tc>
          <w:tcPr>
            <w:tcW w:w="393" w:type="pct"/>
            <w:vAlign w:val="center"/>
          </w:tcPr>
          <w:p w14:paraId="7339D66A"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8</w:t>
            </w:r>
          </w:p>
        </w:tc>
        <w:tc>
          <w:tcPr>
            <w:tcW w:w="504" w:type="pct"/>
            <w:vAlign w:val="center"/>
          </w:tcPr>
          <w:p w14:paraId="0CE38477" w14:textId="77777777" w:rsidR="003052EC" w:rsidRPr="00AA5727" w:rsidRDefault="003052EC" w:rsidP="00AA5727">
            <w:pPr>
              <w:spacing w:after="0" w:line="276" w:lineRule="auto"/>
              <w:jc w:val="center"/>
              <w:rPr>
                <w:rFonts w:ascii="Times New Roman" w:hAnsi="Times New Roman" w:cs="Times New Roman"/>
                <w:noProof/>
                <w:color w:val="000000" w:themeColor="text1"/>
                <w:sz w:val="20"/>
                <w:szCs w:val="20"/>
              </w:rPr>
            </w:pPr>
            <w:r w:rsidRPr="00AA5727">
              <w:rPr>
                <w:rFonts w:ascii="Times New Roman" w:hAnsi="Times New Roman" w:cs="Times New Roman"/>
                <w:color w:val="000000" w:themeColor="text1"/>
                <w:sz w:val="20"/>
                <w:szCs w:val="20"/>
              </w:rPr>
              <w:t>4.50</w:t>
            </w:r>
          </w:p>
        </w:tc>
        <w:tc>
          <w:tcPr>
            <w:tcW w:w="804" w:type="pct"/>
            <w:vAlign w:val="center"/>
          </w:tcPr>
          <w:p w14:paraId="0F5D88B3" w14:textId="572A1741" w:rsidR="003052EC" w:rsidRPr="00AA5727" w:rsidRDefault="00274134"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[93]</w:t>
            </w:r>
          </w:p>
        </w:tc>
      </w:tr>
      <w:tr w:rsidR="008541F9" w:rsidRPr="00AA5727" w14:paraId="4C0B9883" w14:textId="77777777" w:rsidTr="00AA5727">
        <w:trPr>
          <w:trHeight w:val="290"/>
        </w:trPr>
        <w:tc>
          <w:tcPr>
            <w:tcW w:w="389" w:type="pct"/>
            <w:vAlign w:val="center"/>
          </w:tcPr>
          <w:p w14:paraId="6B5A467E"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014F3395"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Phenylpentane derivative</w:t>
            </w:r>
          </w:p>
        </w:tc>
        <w:tc>
          <w:tcPr>
            <w:tcW w:w="615" w:type="pct"/>
            <w:vAlign w:val="center"/>
          </w:tcPr>
          <w:p w14:paraId="567A8C81"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w:t>
            </w:r>
          </w:p>
        </w:tc>
        <w:tc>
          <w:tcPr>
            <w:tcW w:w="712" w:type="pct"/>
            <w:vAlign w:val="center"/>
          </w:tcPr>
          <w:p w14:paraId="366D259B"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234.295</w:t>
            </w:r>
          </w:p>
        </w:tc>
        <w:tc>
          <w:tcPr>
            <w:tcW w:w="381" w:type="pct"/>
            <w:vAlign w:val="center"/>
          </w:tcPr>
          <w:p w14:paraId="14486A1A"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0</w:t>
            </w:r>
          </w:p>
        </w:tc>
        <w:tc>
          <w:tcPr>
            <w:tcW w:w="393" w:type="pct"/>
            <w:vAlign w:val="center"/>
          </w:tcPr>
          <w:p w14:paraId="391B232A" w14:textId="77777777"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2</w:t>
            </w:r>
          </w:p>
        </w:tc>
        <w:tc>
          <w:tcPr>
            <w:tcW w:w="504" w:type="pct"/>
            <w:vAlign w:val="center"/>
          </w:tcPr>
          <w:p w14:paraId="6120D32E" w14:textId="77777777" w:rsidR="003052EC" w:rsidRPr="00AA5727" w:rsidRDefault="003052EC" w:rsidP="00AA5727">
            <w:pPr>
              <w:spacing w:after="0" w:line="276" w:lineRule="auto"/>
              <w:jc w:val="center"/>
              <w:rPr>
                <w:rFonts w:ascii="Times New Roman" w:hAnsi="Times New Roman" w:cs="Times New Roman"/>
                <w:noProof/>
                <w:color w:val="000000" w:themeColor="text1"/>
                <w:sz w:val="20"/>
                <w:szCs w:val="20"/>
              </w:rPr>
            </w:pPr>
            <w:r w:rsidRPr="00AA5727">
              <w:rPr>
                <w:rFonts w:ascii="Times New Roman" w:hAnsi="Times New Roman" w:cs="Times New Roman"/>
                <w:color w:val="000000" w:themeColor="text1"/>
                <w:sz w:val="20"/>
                <w:szCs w:val="20"/>
              </w:rPr>
              <w:t>2.66</w:t>
            </w:r>
          </w:p>
        </w:tc>
        <w:tc>
          <w:tcPr>
            <w:tcW w:w="804" w:type="pct"/>
            <w:vAlign w:val="center"/>
          </w:tcPr>
          <w:p w14:paraId="43526C25" w14:textId="3D11E26D" w:rsidR="003052EC" w:rsidRPr="00AA5727" w:rsidRDefault="00274134"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[94]</w:t>
            </w:r>
          </w:p>
        </w:tc>
      </w:tr>
      <w:tr w:rsidR="008541F9" w:rsidRPr="00AA5727" w14:paraId="4996E8EB" w14:textId="77777777" w:rsidTr="00AA5727">
        <w:trPr>
          <w:trHeight w:val="290"/>
        </w:trPr>
        <w:tc>
          <w:tcPr>
            <w:tcW w:w="389" w:type="pct"/>
            <w:vAlign w:val="center"/>
          </w:tcPr>
          <w:p w14:paraId="2C24CECF" w14:textId="77777777" w:rsidR="003052EC" w:rsidRPr="00AA5727" w:rsidRDefault="003052EC" w:rsidP="00AA5727">
            <w:pPr>
              <w:pStyle w:val="ListParagraph"/>
              <w:numPr>
                <w:ilvl w:val="0"/>
                <w:numId w:val="1"/>
              </w:numPr>
              <w:spacing w:after="0" w:line="276" w:lineRule="auto"/>
              <w:jc w:val="center"/>
              <w:rPr>
                <w:rFonts w:ascii="Times New Roman" w:eastAsia="Times New Roman" w:hAnsi="Times New Roman" w:cs="Times New Roman"/>
                <w:color w:val="000000" w:themeColor="text1"/>
                <w:sz w:val="20"/>
                <w:szCs w:val="20"/>
                <w:lang w:eastAsia="en-IN" w:bidi="te-IN"/>
              </w:rPr>
            </w:pPr>
          </w:p>
        </w:tc>
        <w:tc>
          <w:tcPr>
            <w:tcW w:w="1202" w:type="pct"/>
            <w:vAlign w:val="center"/>
          </w:tcPr>
          <w:p w14:paraId="1B1EB078" w14:textId="064B954F"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SKLB261</w:t>
            </w:r>
          </w:p>
        </w:tc>
        <w:tc>
          <w:tcPr>
            <w:tcW w:w="615" w:type="pct"/>
            <w:vAlign w:val="center"/>
          </w:tcPr>
          <w:p w14:paraId="0364BA33" w14:textId="271C2BF9" w:rsidR="003052EC" w:rsidRPr="00AA5727" w:rsidRDefault="003052EC"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rPr>
              <w:t>-</w:t>
            </w:r>
          </w:p>
        </w:tc>
        <w:tc>
          <w:tcPr>
            <w:tcW w:w="712" w:type="pct"/>
            <w:vAlign w:val="center"/>
          </w:tcPr>
          <w:p w14:paraId="4A47D865" w14:textId="0295AF5E"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w:t>
            </w:r>
          </w:p>
        </w:tc>
        <w:tc>
          <w:tcPr>
            <w:tcW w:w="381" w:type="pct"/>
            <w:vAlign w:val="center"/>
          </w:tcPr>
          <w:p w14:paraId="4145786D" w14:textId="058F58E9"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w:t>
            </w:r>
          </w:p>
        </w:tc>
        <w:tc>
          <w:tcPr>
            <w:tcW w:w="393" w:type="pct"/>
            <w:vAlign w:val="center"/>
          </w:tcPr>
          <w:p w14:paraId="2129D05B" w14:textId="66D74F1D"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w:t>
            </w:r>
          </w:p>
        </w:tc>
        <w:tc>
          <w:tcPr>
            <w:tcW w:w="504" w:type="pct"/>
            <w:vAlign w:val="center"/>
          </w:tcPr>
          <w:p w14:paraId="5C2AF5F8" w14:textId="24097B55" w:rsidR="003052EC" w:rsidRPr="00AA5727" w:rsidRDefault="003052EC"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w:t>
            </w:r>
          </w:p>
        </w:tc>
        <w:tc>
          <w:tcPr>
            <w:tcW w:w="804" w:type="pct"/>
            <w:vAlign w:val="center"/>
          </w:tcPr>
          <w:p w14:paraId="772B0CCC" w14:textId="14AC5B89" w:rsidR="003052EC" w:rsidRPr="00AA5727" w:rsidRDefault="00274134"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w:t>
            </w:r>
          </w:p>
        </w:tc>
      </w:tr>
      <w:bookmarkEnd w:id="0"/>
    </w:tbl>
    <w:p w14:paraId="73E6C7F5" w14:textId="77777777" w:rsidR="00D02A6B" w:rsidRPr="008541F9" w:rsidRDefault="00D02A6B" w:rsidP="00FD40A6">
      <w:pPr>
        <w:pStyle w:val="NormalWeb"/>
        <w:spacing w:line="360" w:lineRule="auto"/>
        <w:jc w:val="both"/>
        <w:rPr>
          <w:color w:val="000000" w:themeColor="text1"/>
        </w:rPr>
      </w:pPr>
    </w:p>
    <w:p w14:paraId="7791F132" w14:textId="11E4AB0E" w:rsidR="00D02A6B" w:rsidRPr="008541F9" w:rsidRDefault="00D02A6B" w:rsidP="00FD40A6">
      <w:pPr>
        <w:pStyle w:val="NormalWeb"/>
        <w:spacing w:line="360" w:lineRule="auto"/>
        <w:jc w:val="both"/>
        <w:rPr>
          <w:b/>
          <w:color w:val="000000" w:themeColor="text1"/>
        </w:rPr>
      </w:pPr>
      <w:r w:rsidRPr="008541F9">
        <w:rPr>
          <w:b/>
          <w:color w:val="000000" w:themeColor="text1"/>
        </w:rPr>
        <w:t xml:space="preserve">Table </w:t>
      </w:r>
      <w:r w:rsidR="000E2983">
        <w:rPr>
          <w:b/>
          <w:color w:val="000000" w:themeColor="text1"/>
        </w:rPr>
        <w:t>SM</w:t>
      </w:r>
      <w:r w:rsidRPr="008541F9">
        <w:rPr>
          <w:b/>
          <w:color w:val="000000" w:themeColor="text1"/>
        </w:rPr>
        <w:t xml:space="preserve">2: </w:t>
      </w:r>
      <w:r w:rsidR="000E2983">
        <w:rPr>
          <w:b/>
          <w:color w:val="000000" w:themeColor="text1"/>
        </w:rPr>
        <w:t xml:space="preserve">List of </w:t>
      </w:r>
      <w:r w:rsidR="000E2983" w:rsidRPr="00766298">
        <w:rPr>
          <w:b/>
          <w:color w:val="000000" w:themeColor="text1"/>
          <w:lang w:val="en-GB"/>
        </w:rPr>
        <w:t>phytochemica</w:t>
      </w:r>
      <w:r w:rsidR="000E2983">
        <w:rPr>
          <w:b/>
          <w:color w:val="000000" w:themeColor="text1"/>
          <w:lang w:val="en-GB"/>
        </w:rPr>
        <w:t xml:space="preserve">ls as </w:t>
      </w:r>
      <w:r w:rsidR="000E2983" w:rsidRPr="00766298">
        <w:rPr>
          <w:b/>
          <w:color w:val="000000" w:themeColor="text1"/>
          <w:lang w:val="en-GB"/>
        </w:rPr>
        <w:t xml:space="preserve">EGFR inhibitors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2081"/>
        <w:gridCol w:w="1269"/>
        <w:gridCol w:w="930"/>
        <w:gridCol w:w="793"/>
        <w:gridCol w:w="793"/>
        <w:gridCol w:w="981"/>
        <w:gridCol w:w="1385"/>
      </w:tblGrid>
      <w:tr w:rsidR="008541F9" w:rsidRPr="00AA5727" w14:paraId="4DE93D8F" w14:textId="77777777" w:rsidTr="00AA5727">
        <w:trPr>
          <w:trHeight w:val="597"/>
          <w:jc w:val="center"/>
        </w:trPr>
        <w:tc>
          <w:tcPr>
            <w:tcW w:w="434" w:type="pct"/>
            <w:vAlign w:val="center"/>
          </w:tcPr>
          <w:p w14:paraId="34DEFA49" w14:textId="259AC44A"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S</w:t>
            </w:r>
            <w:r w:rsidR="00641A63" w:rsidRPr="00AA5727">
              <w:rPr>
                <w:rFonts w:ascii="Times New Roman" w:eastAsia="Times New Roman" w:hAnsi="Times New Roman" w:cs="Times New Roman"/>
                <w:b/>
                <w:bCs/>
                <w:color w:val="000000" w:themeColor="text1"/>
                <w:sz w:val="20"/>
                <w:szCs w:val="20"/>
                <w:lang w:eastAsia="en-IN" w:bidi="te-IN"/>
              </w:rPr>
              <w:t xml:space="preserve">. </w:t>
            </w:r>
            <w:r w:rsidRPr="00AA5727">
              <w:rPr>
                <w:rFonts w:ascii="Times New Roman" w:eastAsia="Times New Roman" w:hAnsi="Times New Roman" w:cs="Times New Roman"/>
                <w:b/>
                <w:bCs/>
                <w:color w:val="000000" w:themeColor="text1"/>
                <w:sz w:val="20"/>
                <w:szCs w:val="20"/>
                <w:lang w:eastAsia="en-IN" w:bidi="te-IN"/>
              </w:rPr>
              <w:t>No</w:t>
            </w:r>
          </w:p>
        </w:tc>
        <w:tc>
          <w:tcPr>
            <w:tcW w:w="1154" w:type="pct"/>
            <w:vAlign w:val="center"/>
          </w:tcPr>
          <w:p w14:paraId="69348461"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Inhibitors</w:t>
            </w:r>
          </w:p>
        </w:tc>
        <w:tc>
          <w:tcPr>
            <w:tcW w:w="704" w:type="pct"/>
            <w:vAlign w:val="center"/>
            <w:hideMark/>
          </w:tcPr>
          <w:p w14:paraId="1EC7707B"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PubChem ID</w:t>
            </w:r>
          </w:p>
        </w:tc>
        <w:tc>
          <w:tcPr>
            <w:tcW w:w="516" w:type="pct"/>
            <w:vAlign w:val="center"/>
            <w:hideMark/>
          </w:tcPr>
          <w:p w14:paraId="6432E018"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MW (g/mol)</w:t>
            </w:r>
          </w:p>
        </w:tc>
        <w:tc>
          <w:tcPr>
            <w:tcW w:w="440" w:type="pct"/>
            <w:vAlign w:val="center"/>
            <w:hideMark/>
          </w:tcPr>
          <w:p w14:paraId="0ECBE884"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HBD</w:t>
            </w:r>
          </w:p>
        </w:tc>
        <w:tc>
          <w:tcPr>
            <w:tcW w:w="440" w:type="pct"/>
            <w:vAlign w:val="center"/>
            <w:hideMark/>
          </w:tcPr>
          <w:p w14:paraId="3FA3C3BB"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HBA</w:t>
            </w:r>
          </w:p>
        </w:tc>
        <w:tc>
          <w:tcPr>
            <w:tcW w:w="544" w:type="pct"/>
            <w:vAlign w:val="center"/>
            <w:hideMark/>
          </w:tcPr>
          <w:p w14:paraId="0898A41F"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LogP</w:t>
            </w:r>
          </w:p>
        </w:tc>
        <w:tc>
          <w:tcPr>
            <w:tcW w:w="768" w:type="pct"/>
            <w:vAlign w:val="center"/>
          </w:tcPr>
          <w:p w14:paraId="62DCDBCD" w14:textId="77777777" w:rsidR="00D02A6B" w:rsidRPr="00AA5727" w:rsidRDefault="00D02A6B" w:rsidP="00AA5727">
            <w:pPr>
              <w:spacing w:after="0" w:line="276" w:lineRule="auto"/>
              <w:jc w:val="center"/>
              <w:rPr>
                <w:rFonts w:ascii="Times New Roman" w:eastAsia="Times New Roman" w:hAnsi="Times New Roman" w:cs="Times New Roman"/>
                <w:b/>
                <w:bCs/>
                <w:color w:val="000000" w:themeColor="text1"/>
                <w:sz w:val="20"/>
                <w:szCs w:val="20"/>
                <w:lang w:eastAsia="en-IN" w:bidi="te-IN"/>
              </w:rPr>
            </w:pPr>
            <w:r w:rsidRPr="00AA5727">
              <w:rPr>
                <w:rFonts w:ascii="Times New Roman" w:eastAsia="Times New Roman" w:hAnsi="Times New Roman" w:cs="Times New Roman"/>
                <w:b/>
                <w:bCs/>
                <w:color w:val="000000" w:themeColor="text1"/>
                <w:sz w:val="20"/>
                <w:szCs w:val="20"/>
                <w:lang w:eastAsia="en-IN" w:bidi="te-IN"/>
              </w:rPr>
              <w:t>Ref.</w:t>
            </w:r>
          </w:p>
        </w:tc>
      </w:tr>
      <w:tr w:rsidR="008541F9" w:rsidRPr="00AA5727" w14:paraId="76473A9D" w14:textId="77777777" w:rsidTr="00AA5727">
        <w:trPr>
          <w:trHeight w:val="332"/>
          <w:jc w:val="center"/>
        </w:trPr>
        <w:tc>
          <w:tcPr>
            <w:tcW w:w="434" w:type="pct"/>
            <w:vAlign w:val="center"/>
          </w:tcPr>
          <w:p w14:paraId="07EB7AFB" w14:textId="77777777" w:rsidR="00D02A6B" w:rsidRPr="00AA5727" w:rsidRDefault="00D02A6B" w:rsidP="00AA5727">
            <w:pPr>
              <w:pStyle w:val="ListParagraph"/>
              <w:numPr>
                <w:ilvl w:val="0"/>
                <w:numId w:val="2"/>
              </w:numPr>
              <w:spacing w:after="0" w:line="276" w:lineRule="auto"/>
              <w:jc w:val="center"/>
              <w:rPr>
                <w:rFonts w:ascii="Times New Roman" w:hAnsi="Times New Roman" w:cs="Times New Roman"/>
                <w:color w:val="000000" w:themeColor="text1"/>
                <w:sz w:val="20"/>
                <w:szCs w:val="20"/>
              </w:rPr>
            </w:pPr>
          </w:p>
        </w:tc>
        <w:tc>
          <w:tcPr>
            <w:tcW w:w="1154" w:type="pct"/>
            <w:vAlign w:val="center"/>
          </w:tcPr>
          <w:p w14:paraId="6FD9B577" w14:textId="77777777" w:rsidR="00D02A6B" w:rsidRPr="00AA5727" w:rsidRDefault="00D02A6B"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Plumbagin</w:t>
            </w:r>
          </w:p>
        </w:tc>
        <w:tc>
          <w:tcPr>
            <w:tcW w:w="704" w:type="pct"/>
            <w:vAlign w:val="center"/>
          </w:tcPr>
          <w:p w14:paraId="0E137E9C"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10205</w:t>
            </w:r>
          </w:p>
        </w:tc>
        <w:tc>
          <w:tcPr>
            <w:tcW w:w="516" w:type="pct"/>
            <w:vAlign w:val="center"/>
          </w:tcPr>
          <w:p w14:paraId="1CECDB33"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188.18</w:t>
            </w:r>
          </w:p>
        </w:tc>
        <w:tc>
          <w:tcPr>
            <w:tcW w:w="440" w:type="pct"/>
            <w:vAlign w:val="center"/>
          </w:tcPr>
          <w:p w14:paraId="45A1F3AA"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w:t>
            </w:r>
          </w:p>
        </w:tc>
        <w:tc>
          <w:tcPr>
            <w:tcW w:w="440" w:type="pct"/>
            <w:vAlign w:val="center"/>
          </w:tcPr>
          <w:p w14:paraId="710DAD2D"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3</w:t>
            </w:r>
          </w:p>
        </w:tc>
        <w:tc>
          <w:tcPr>
            <w:tcW w:w="544" w:type="pct"/>
            <w:vAlign w:val="center"/>
          </w:tcPr>
          <w:p w14:paraId="34B9912F"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2.3</w:t>
            </w:r>
          </w:p>
        </w:tc>
        <w:tc>
          <w:tcPr>
            <w:tcW w:w="768" w:type="pct"/>
            <w:vAlign w:val="center"/>
          </w:tcPr>
          <w:p w14:paraId="4E037909" w14:textId="33726FD6" w:rsidR="00D02A6B" w:rsidRPr="00AA5727" w:rsidRDefault="00274134"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[95]</w:t>
            </w:r>
          </w:p>
        </w:tc>
      </w:tr>
      <w:tr w:rsidR="008541F9" w:rsidRPr="00AA5727" w14:paraId="1D0380B3" w14:textId="77777777" w:rsidTr="00AA5727">
        <w:trPr>
          <w:trHeight w:val="321"/>
          <w:jc w:val="center"/>
        </w:trPr>
        <w:tc>
          <w:tcPr>
            <w:tcW w:w="434" w:type="pct"/>
            <w:vAlign w:val="center"/>
          </w:tcPr>
          <w:p w14:paraId="25A08BE7" w14:textId="77777777" w:rsidR="00D02A6B" w:rsidRPr="00AA5727" w:rsidRDefault="00D02A6B" w:rsidP="00AA5727">
            <w:pPr>
              <w:pStyle w:val="ListParagraph"/>
              <w:numPr>
                <w:ilvl w:val="0"/>
                <w:numId w:val="2"/>
              </w:numPr>
              <w:spacing w:after="0" w:line="276" w:lineRule="auto"/>
              <w:jc w:val="center"/>
              <w:rPr>
                <w:rFonts w:ascii="Times New Roman" w:hAnsi="Times New Roman" w:cs="Times New Roman"/>
                <w:color w:val="000000" w:themeColor="text1"/>
                <w:sz w:val="20"/>
                <w:szCs w:val="20"/>
                <w:shd w:val="clear" w:color="auto" w:fill="FFFFFF"/>
              </w:rPr>
            </w:pPr>
          </w:p>
        </w:tc>
        <w:tc>
          <w:tcPr>
            <w:tcW w:w="1154" w:type="pct"/>
            <w:vAlign w:val="center"/>
          </w:tcPr>
          <w:p w14:paraId="1B23E1EE" w14:textId="77777777" w:rsidR="00D02A6B" w:rsidRPr="00AA5727" w:rsidRDefault="00D02A6B"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Quercetin 3-O-glucoside</w:t>
            </w:r>
          </w:p>
        </w:tc>
        <w:tc>
          <w:tcPr>
            <w:tcW w:w="704" w:type="pct"/>
            <w:vAlign w:val="center"/>
          </w:tcPr>
          <w:p w14:paraId="4A9F261A"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5280804</w:t>
            </w:r>
          </w:p>
        </w:tc>
        <w:tc>
          <w:tcPr>
            <w:tcW w:w="516" w:type="pct"/>
            <w:vAlign w:val="center"/>
          </w:tcPr>
          <w:p w14:paraId="56858797"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464.4</w:t>
            </w:r>
          </w:p>
        </w:tc>
        <w:tc>
          <w:tcPr>
            <w:tcW w:w="440" w:type="pct"/>
            <w:vAlign w:val="center"/>
          </w:tcPr>
          <w:p w14:paraId="5BAF8505"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8</w:t>
            </w:r>
          </w:p>
        </w:tc>
        <w:tc>
          <w:tcPr>
            <w:tcW w:w="440" w:type="pct"/>
            <w:vAlign w:val="center"/>
          </w:tcPr>
          <w:p w14:paraId="778EF07F"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12</w:t>
            </w:r>
          </w:p>
        </w:tc>
        <w:tc>
          <w:tcPr>
            <w:tcW w:w="544" w:type="pct"/>
            <w:vAlign w:val="center"/>
          </w:tcPr>
          <w:p w14:paraId="41AD369E" w14:textId="77777777" w:rsidR="00D02A6B" w:rsidRPr="00AA5727" w:rsidRDefault="00D02A6B"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0.4</w:t>
            </w:r>
          </w:p>
        </w:tc>
        <w:tc>
          <w:tcPr>
            <w:tcW w:w="768" w:type="pct"/>
            <w:vAlign w:val="center"/>
          </w:tcPr>
          <w:p w14:paraId="2D151641" w14:textId="5A30AF6F" w:rsidR="00D02A6B" w:rsidRPr="00AA5727" w:rsidRDefault="00D02A6B" w:rsidP="00AA5727">
            <w:pPr>
              <w:spacing w:line="276" w:lineRule="auto"/>
              <w:jc w:val="center"/>
              <w:rPr>
                <w:rFonts w:ascii="Times New Roman" w:hAnsi="Times New Roman" w:cs="Times New Roman"/>
                <w:color w:val="000000" w:themeColor="text1"/>
                <w:sz w:val="20"/>
                <w:szCs w:val="20"/>
              </w:rPr>
            </w:pPr>
            <w:hyperlink r:id="rId10" w:tgtFrame="_blank" w:history="1"/>
            <w:r w:rsidR="00274134" w:rsidRPr="00AA5727">
              <w:rPr>
                <w:rFonts w:ascii="Times New Roman" w:hAnsi="Times New Roman" w:cs="Times New Roman"/>
                <w:sz w:val="20"/>
                <w:szCs w:val="20"/>
              </w:rPr>
              <w:t>[96]</w:t>
            </w:r>
          </w:p>
        </w:tc>
      </w:tr>
      <w:tr w:rsidR="008541F9" w:rsidRPr="00AA5727" w14:paraId="3A04BFA1" w14:textId="77777777" w:rsidTr="00AA5727">
        <w:trPr>
          <w:trHeight w:val="321"/>
          <w:jc w:val="center"/>
        </w:trPr>
        <w:tc>
          <w:tcPr>
            <w:tcW w:w="434" w:type="pct"/>
            <w:vAlign w:val="center"/>
          </w:tcPr>
          <w:p w14:paraId="15253976" w14:textId="77777777" w:rsidR="00987F98" w:rsidRPr="00AA5727" w:rsidRDefault="00987F98" w:rsidP="00AA5727">
            <w:pPr>
              <w:pStyle w:val="ListParagraph"/>
              <w:numPr>
                <w:ilvl w:val="0"/>
                <w:numId w:val="2"/>
              </w:numPr>
              <w:spacing w:after="0" w:line="276" w:lineRule="auto"/>
              <w:jc w:val="center"/>
              <w:rPr>
                <w:rFonts w:ascii="Times New Roman" w:hAnsi="Times New Roman" w:cs="Times New Roman"/>
                <w:color w:val="000000" w:themeColor="text1"/>
                <w:sz w:val="20"/>
                <w:szCs w:val="20"/>
                <w:shd w:val="clear" w:color="auto" w:fill="FFFFFF"/>
              </w:rPr>
            </w:pPr>
          </w:p>
        </w:tc>
        <w:tc>
          <w:tcPr>
            <w:tcW w:w="1154" w:type="pct"/>
            <w:vAlign w:val="center"/>
          </w:tcPr>
          <w:p w14:paraId="501A26ED" w14:textId="3FE09747"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Kaempferol</w:t>
            </w:r>
          </w:p>
        </w:tc>
        <w:tc>
          <w:tcPr>
            <w:tcW w:w="704" w:type="pct"/>
            <w:vAlign w:val="center"/>
          </w:tcPr>
          <w:p w14:paraId="165441BE" w14:textId="26185A48"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5280863</w:t>
            </w:r>
          </w:p>
        </w:tc>
        <w:tc>
          <w:tcPr>
            <w:tcW w:w="516" w:type="pct"/>
            <w:vAlign w:val="center"/>
          </w:tcPr>
          <w:p w14:paraId="396AE23A" w14:textId="0F4C4DAE"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286.24</w:t>
            </w:r>
          </w:p>
        </w:tc>
        <w:tc>
          <w:tcPr>
            <w:tcW w:w="440" w:type="pct"/>
            <w:vAlign w:val="center"/>
          </w:tcPr>
          <w:p w14:paraId="54759A7E" w14:textId="7D4CD7A9" w:rsidR="00987F98" w:rsidRPr="00AA5727" w:rsidRDefault="00987F98"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4</w:t>
            </w:r>
          </w:p>
        </w:tc>
        <w:tc>
          <w:tcPr>
            <w:tcW w:w="440" w:type="pct"/>
            <w:vAlign w:val="center"/>
          </w:tcPr>
          <w:p w14:paraId="3EB4C24B" w14:textId="07FA6B3B" w:rsidR="00987F98" w:rsidRPr="00AA5727" w:rsidRDefault="00987F98"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6</w:t>
            </w:r>
          </w:p>
        </w:tc>
        <w:tc>
          <w:tcPr>
            <w:tcW w:w="544" w:type="pct"/>
            <w:vAlign w:val="center"/>
          </w:tcPr>
          <w:p w14:paraId="378E8E04" w14:textId="2CF05B3A"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noProof/>
                <w:color w:val="000000" w:themeColor="text1"/>
                <w:sz w:val="20"/>
                <w:szCs w:val="20"/>
              </w:rPr>
              <w:t>1.9</w:t>
            </w:r>
          </w:p>
        </w:tc>
        <w:tc>
          <w:tcPr>
            <w:tcW w:w="768" w:type="pct"/>
            <w:vAlign w:val="center"/>
          </w:tcPr>
          <w:p w14:paraId="72EAEFF7" w14:textId="0451B243" w:rsidR="00987F98" w:rsidRPr="00AA5727" w:rsidRDefault="00274134" w:rsidP="00AA5727">
            <w:pPr>
              <w:spacing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[97]</w:t>
            </w:r>
          </w:p>
        </w:tc>
      </w:tr>
      <w:tr w:rsidR="008541F9" w:rsidRPr="00AA5727" w14:paraId="03C2EEC8" w14:textId="77777777" w:rsidTr="00AA5727">
        <w:trPr>
          <w:trHeight w:val="321"/>
          <w:jc w:val="center"/>
        </w:trPr>
        <w:tc>
          <w:tcPr>
            <w:tcW w:w="434" w:type="pct"/>
            <w:vAlign w:val="center"/>
          </w:tcPr>
          <w:p w14:paraId="2A6D18A3" w14:textId="77777777" w:rsidR="00987F98" w:rsidRPr="00AA5727" w:rsidRDefault="00987F98" w:rsidP="00AA5727">
            <w:pPr>
              <w:pStyle w:val="ListParagraph"/>
              <w:numPr>
                <w:ilvl w:val="0"/>
                <w:numId w:val="2"/>
              </w:numPr>
              <w:spacing w:after="0" w:line="276" w:lineRule="auto"/>
              <w:jc w:val="center"/>
              <w:rPr>
                <w:rFonts w:ascii="Times New Roman" w:hAnsi="Times New Roman" w:cs="Times New Roman"/>
                <w:color w:val="000000" w:themeColor="text1"/>
                <w:sz w:val="20"/>
                <w:szCs w:val="20"/>
              </w:rPr>
            </w:pPr>
          </w:p>
        </w:tc>
        <w:tc>
          <w:tcPr>
            <w:tcW w:w="1154" w:type="pct"/>
            <w:vAlign w:val="center"/>
          </w:tcPr>
          <w:p w14:paraId="3656F53D" w14:textId="77777777" w:rsidR="00987F98" w:rsidRPr="00AA5727" w:rsidRDefault="00987F98"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color w:val="000000" w:themeColor="text1"/>
                <w:sz w:val="20"/>
                <w:szCs w:val="20"/>
              </w:rPr>
              <w:t>Cucurbitacin B</w:t>
            </w:r>
          </w:p>
        </w:tc>
        <w:tc>
          <w:tcPr>
            <w:tcW w:w="704" w:type="pct"/>
            <w:vAlign w:val="center"/>
          </w:tcPr>
          <w:p w14:paraId="410AFEB3"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5281316</w:t>
            </w:r>
          </w:p>
        </w:tc>
        <w:tc>
          <w:tcPr>
            <w:tcW w:w="516" w:type="pct"/>
            <w:vAlign w:val="center"/>
          </w:tcPr>
          <w:p w14:paraId="5DD9F530"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558.7</w:t>
            </w:r>
          </w:p>
        </w:tc>
        <w:tc>
          <w:tcPr>
            <w:tcW w:w="440" w:type="pct"/>
            <w:vAlign w:val="center"/>
          </w:tcPr>
          <w:p w14:paraId="0DA01C51"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3</w:t>
            </w:r>
          </w:p>
        </w:tc>
        <w:tc>
          <w:tcPr>
            <w:tcW w:w="440" w:type="pct"/>
            <w:vAlign w:val="center"/>
          </w:tcPr>
          <w:p w14:paraId="526AF5CA"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8</w:t>
            </w:r>
          </w:p>
        </w:tc>
        <w:tc>
          <w:tcPr>
            <w:tcW w:w="544" w:type="pct"/>
            <w:vAlign w:val="center"/>
          </w:tcPr>
          <w:p w14:paraId="6C642038"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2.6</w:t>
            </w:r>
          </w:p>
        </w:tc>
        <w:tc>
          <w:tcPr>
            <w:tcW w:w="768" w:type="pct"/>
            <w:vAlign w:val="center"/>
          </w:tcPr>
          <w:p w14:paraId="5834FC61" w14:textId="2FCB3F66" w:rsidR="00987F98" w:rsidRPr="00AA5727" w:rsidRDefault="00274134"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[98]</w:t>
            </w:r>
          </w:p>
        </w:tc>
      </w:tr>
      <w:tr w:rsidR="008541F9" w:rsidRPr="00AA5727" w14:paraId="6273F381" w14:textId="77777777" w:rsidTr="00AA5727">
        <w:trPr>
          <w:trHeight w:val="321"/>
          <w:jc w:val="center"/>
        </w:trPr>
        <w:tc>
          <w:tcPr>
            <w:tcW w:w="434" w:type="pct"/>
            <w:vAlign w:val="center"/>
          </w:tcPr>
          <w:p w14:paraId="16E6424C" w14:textId="77777777" w:rsidR="00987F98" w:rsidRPr="00AA5727" w:rsidRDefault="00987F98" w:rsidP="00AA5727">
            <w:pPr>
              <w:pStyle w:val="ListParagraph"/>
              <w:numPr>
                <w:ilvl w:val="0"/>
                <w:numId w:val="2"/>
              </w:numPr>
              <w:spacing w:after="0" w:line="276" w:lineRule="auto"/>
              <w:jc w:val="center"/>
              <w:rPr>
                <w:rFonts w:ascii="Times New Roman" w:hAnsi="Times New Roman" w:cs="Times New Roman"/>
                <w:color w:val="000000" w:themeColor="text1"/>
                <w:sz w:val="20"/>
                <w:szCs w:val="20"/>
                <w:shd w:val="clear" w:color="auto" w:fill="FFFFFF"/>
              </w:rPr>
            </w:pPr>
          </w:p>
        </w:tc>
        <w:tc>
          <w:tcPr>
            <w:tcW w:w="1154" w:type="pct"/>
            <w:vAlign w:val="center"/>
          </w:tcPr>
          <w:p w14:paraId="1A8A0F37" w14:textId="77777777"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[6]-Paradol</w:t>
            </w:r>
          </w:p>
        </w:tc>
        <w:tc>
          <w:tcPr>
            <w:tcW w:w="704" w:type="pct"/>
            <w:vAlign w:val="center"/>
          </w:tcPr>
          <w:p w14:paraId="3D766DE6"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94378</w:t>
            </w:r>
          </w:p>
        </w:tc>
        <w:tc>
          <w:tcPr>
            <w:tcW w:w="516" w:type="pct"/>
            <w:vAlign w:val="center"/>
          </w:tcPr>
          <w:p w14:paraId="0362DDE2"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278.4</w:t>
            </w:r>
          </w:p>
        </w:tc>
        <w:tc>
          <w:tcPr>
            <w:tcW w:w="440" w:type="pct"/>
            <w:vAlign w:val="center"/>
          </w:tcPr>
          <w:p w14:paraId="02E6EBF7"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w:t>
            </w:r>
          </w:p>
        </w:tc>
        <w:tc>
          <w:tcPr>
            <w:tcW w:w="440" w:type="pct"/>
            <w:vAlign w:val="center"/>
          </w:tcPr>
          <w:p w14:paraId="6FF7136E"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3</w:t>
            </w:r>
          </w:p>
        </w:tc>
        <w:tc>
          <w:tcPr>
            <w:tcW w:w="544" w:type="pct"/>
            <w:vAlign w:val="center"/>
          </w:tcPr>
          <w:p w14:paraId="74B165B6"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3.8</w:t>
            </w:r>
          </w:p>
        </w:tc>
        <w:tc>
          <w:tcPr>
            <w:tcW w:w="768" w:type="pct"/>
            <w:vAlign w:val="center"/>
          </w:tcPr>
          <w:p w14:paraId="5497E689" w14:textId="55FC5C51" w:rsidR="00987F98" w:rsidRPr="00AA5727" w:rsidRDefault="00274134"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sz w:val="20"/>
                <w:szCs w:val="20"/>
              </w:rPr>
              <w:t>[1]</w:t>
            </w:r>
          </w:p>
        </w:tc>
      </w:tr>
      <w:tr w:rsidR="008541F9" w:rsidRPr="00AA5727" w14:paraId="1C587C92" w14:textId="77777777" w:rsidTr="00AA5727">
        <w:trPr>
          <w:trHeight w:val="321"/>
          <w:jc w:val="center"/>
        </w:trPr>
        <w:tc>
          <w:tcPr>
            <w:tcW w:w="434" w:type="pct"/>
            <w:vAlign w:val="center"/>
          </w:tcPr>
          <w:p w14:paraId="15517E9F" w14:textId="77777777" w:rsidR="00987F98" w:rsidRPr="00AA5727" w:rsidRDefault="00987F98" w:rsidP="00AA5727">
            <w:pPr>
              <w:pStyle w:val="ListParagraph"/>
              <w:numPr>
                <w:ilvl w:val="0"/>
                <w:numId w:val="2"/>
              </w:numPr>
              <w:spacing w:after="0" w:line="276" w:lineRule="auto"/>
              <w:jc w:val="center"/>
              <w:rPr>
                <w:rFonts w:ascii="Times New Roman" w:hAnsi="Times New Roman" w:cs="Times New Roman"/>
                <w:color w:val="000000" w:themeColor="text1"/>
                <w:sz w:val="20"/>
                <w:szCs w:val="20"/>
                <w:shd w:val="clear" w:color="auto" w:fill="FFFFFF"/>
              </w:rPr>
            </w:pPr>
          </w:p>
        </w:tc>
        <w:tc>
          <w:tcPr>
            <w:tcW w:w="1154" w:type="pct"/>
            <w:vAlign w:val="center"/>
          </w:tcPr>
          <w:p w14:paraId="72735CAC" w14:textId="77777777"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Degalactotigonin</w:t>
            </w:r>
          </w:p>
        </w:tc>
        <w:tc>
          <w:tcPr>
            <w:tcW w:w="704" w:type="pct"/>
            <w:vAlign w:val="center"/>
          </w:tcPr>
          <w:p w14:paraId="4EB71431"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162401</w:t>
            </w:r>
          </w:p>
        </w:tc>
        <w:tc>
          <w:tcPr>
            <w:tcW w:w="516" w:type="pct"/>
            <w:vAlign w:val="center"/>
          </w:tcPr>
          <w:p w14:paraId="608E703E"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1035.2</w:t>
            </w:r>
          </w:p>
        </w:tc>
        <w:tc>
          <w:tcPr>
            <w:tcW w:w="440" w:type="pct"/>
            <w:vAlign w:val="center"/>
          </w:tcPr>
          <w:p w14:paraId="5374EF90"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12</w:t>
            </w:r>
          </w:p>
        </w:tc>
        <w:tc>
          <w:tcPr>
            <w:tcW w:w="440" w:type="pct"/>
            <w:vAlign w:val="center"/>
          </w:tcPr>
          <w:p w14:paraId="48173683"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22</w:t>
            </w:r>
          </w:p>
        </w:tc>
        <w:tc>
          <w:tcPr>
            <w:tcW w:w="544" w:type="pct"/>
            <w:vAlign w:val="center"/>
          </w:tcPr>
          <w:p w14:paraId="3D931934"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-0.4</w:t>
            </w:r>
          </w:p>
        </w:tc>
        <w:tc>
          <w:tcPr>
            <w:tcW w:w="768" w:type="pct"/>
            <w:vAlign w:val="center"/>
          </w:tcPr>
          <w:p w14:paraId="4F3AC305" w14:textId="2FDEA6B4" w:rsidR="00987F98" w:rsidRPr="00AA5727" w:rsidRDefault="00274134" w:rsidP="00AA5727">
            <w:pPr>
              <w:spacing w:after="0" w:line="276" w:lineRule="auto"/>
              <w:jc w:val="center"/>
              <w:rPr>
                <w:rFonts w:ascii="Times New Roman" w:hAnsi="Times New Roman" w:cs="Times New Roman"/>
                <w:color w:val="000000" w:themeColor="text1"/>
                <w:sz w:val="20"/>
                <w:szCs w:val="20"/>
              </w:rPr>
            </w:pPr>
            <w:r w:rsidRPr="00AA5727">
              <w:rPr>
                <w:rFonts w:ascii="Times New Roman" w:hAnsi="Times New Roman" w:cs="Times New Roman"/>
                <w:sz w:val="20"/>
                <w:szCs w:val="20"/>
              </w:rPr>
              <w:t>[99]</w:t>
            </w:r>
          </w:p>
        </w:tc>
      </w:tr>
      <w:tr w:rsidR="008541F9" w:rsidRPr="00AA5727" w14:paraId="0AED164D" w14:textId="77777777" w:rsidTr="00AA5727">
        <w:trPr>
          <w:trHeight w:val="321"/>
          <w:jc w:val="center"/>
        </w:trPr>
        <w:tc>
          <w:tcPr>
            <w:tcW w:w="434" w:type="pct"/>
            <w:vAlign w:val="center"/>
          </w:tcPr>
          <w:p w14:paraId="09AFBA25" w14:textId="77777777" w:rsidR="00987F98" w:rsidRPr="00AA5727" w:rsidRDefault="00987F98" w:rsidP="00AA5727">
            <w:pPr>
              <w:pStyle w:val="ListParagraph"/>
              <w:numPr>
                <w:ilvl w:val="0"/>
                <w:numId w:val="2"/>
              </w:numPr>
              <w:spacing w:after="0" w:line="276" w:lineRule="auto"/>
              <w:jc w:val="center"/>
              <w:rPr>
                <w:rFonts w:ascii="Times New Roman" w:hAnsi="Times New Roman" w:cs="Times New Roman"/>
                <w:color w:val="000000" w:themeColor="text1"/>
                <w:sz w:val="20"/>
                <w:szCs w:val="20"/>
                <w:shd w:val="clear" w:color="auto" w:fill="FFFFFF"/>
              </w:rPr>
            </w:pPr>
          </w:p>
        </w:tc>
        <w:tc>
          <w:tcPr>
            <w:tcW w:w="1154" w:type="pct"/>
            <w:vAlign w:val="center"/>
          </w:tcPr>
          <w:p w14:paraId="3584CD65" w14:textId="77777777"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Quercetin</w:t>
            </w:r>
          </w:p>
        </w:tc>
        <w:tc>
          <w:tcPr>
            <w:tcW w:w="704" w:type="pct"/>
            <w:vAlign w:val="center"/>
          </w:tcPr>
          <w:p w14:paraId="42C87F1F"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5280343</w:t>
            </w:r>
          </w:p>
        </w:tc>
        <w:tc>
          <w:tcPr>
            <w:tcW w:w="516" w:type="pct"/>
            <w:vAlign w:val="center"/>
          </w:tcPr>
          <w:p w14:paraId="20C1A387"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302.23</w:t>
            </w:r>
          </w:p>
        </w:tc>
        <w:tc>
          <w:tcPr>
            <w:tcW w:w="440" w:type="pct"/>
            <w:vAlign w:val="center"/>
          </w:tcPr>
          <w:p w14:paraId="3FAB2EA9"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5</w:t>
            </w:r>
          </w:p>
        </w:tc>
        <w:tc>
          <w:tcPr>
            <w:tcW w:w="440" w:type="pct"/>
            <w:vAlign w:val="center"/>
          </w:tcPr>
          <w:p w14:paraId="2529E136"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7</w:t>
            </w:r>
          </w:p>
        </w:tc>
        <w:tc>
          <w:tcPr>
            <w:tcW w:w="544" w:type="pct"/>
            <w:vAlign w:val="center"/>
          </w:tcPr>
          <w:p w14:paraId="52B1A9F6"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1.5</w:t>
            </w:r>
          </w:p>
        </w:tc>
        <w:tc>
          <w:tcPr>
            <w:tcW w:w="768" w:type="pct"/>
            <w:vAlign w:val="center"/>
          </w:tcPr>
          <w:p w14:paraId="04D217F0" w14:textId="79F22108" w:rsidR="00987F98" w:rsidRPr="00AA5727" w:rsidRDefault="00274134"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[100]</w:t>
            </w:r>
          </w:p>
        </w:tc>
      </w:tr>
      <w:tr w:rsidR="008541F9" w:rsidRPr="00AA5727" w14:paraId="2FA619F8" w14:textId="77777777" w:rsidTr="00AA5727">
        <w:trPr>
          <w:trHeight w:val="321"/>
          <w:jc w:val="center"/>
        </w:trPr>
        <w:tc>
          <w:tcPr>
            <w:tcW w:w="434" w:type="pct"/>
            <w:vAlign w:val="center"/>
          </w:tcPr>
          <w:p w14:paraId="447D3FB8" w14:textId="77777777" w:rsidR="00987F98" w:rsidRPr="00AA5727" w:rsidRDefault="00987F98" w:rsidP="00AA5727">
            <w:pPr>
              <w:pStyle w:val="ListParagraph"/>
              <w:numPr>
                <w:ilvl w:val="0"/>
                <w:numId w:val="2"/>
              </w:numPr>
              <w:spacing w:after="0" w:line="276" w:lineRule="auto"/>
              <w:jc w:val="center"/>
              <w:rPr>
                <w:rFonts w:ascii="Times New Roman" w:hAnsi="Times New Roman" w:cs="Times New Roman"/>
                <w:color w:val="000000" w:themeColor="text1"/>
                <w:sz w:val="20"/>
                <w:szCs w:val="20"/>
                <w:shd w:val="clear" w:color="auto" w:fill="FFFFFF"/>
              </w:rPr>
            </w:pPr>
          </w:p>
        </w:tc>
        <w:tc>
          <w:tcPr>
            <w:tcW w:w="1154" w:type="pct"/>
            <w:vAlign w:val="center"/>
          </w:tcPr>
          <w:p w14:paraId="14025515" w14:textId="77777777"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Luteolin</w:t>
            </w:r>
          </w:p>
        </w:tc>
        <w:tc>
          <w:tcPr>
            <w:tcW w:w="704" w:type="pct"/>
            <w:vAlign w:val="center"/>
          </w:tcPr>
          <w:p w14:paraId="3886B4EF"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5280445</w:t>
            </w:r>
          </w:p>
        </w:tc>
        <w:tc>
          <w:tcPr>
            <w:tcW w:w="516" w:type="pct"/>
            <w:vAlign w:val="center"/>
          </w:tcPr>
          <w:p w14:paraId="22D81868"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286.24</w:t>
            </w:r>
          </w:p>
        </w:tc>
        <w:tc>
          <w:tcPr>
            <w:tcW w:w="440" w:type="pct"/>
            <w:vAlign w:val="center"/>
          </w:tcPr>
          <w:p w14:paraId="572D109E"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4</w:t>
            </w:r>
          </w:p>
        </w:tc>
        <w:tc>
          <w:tcPr>
            <w:tcW w:w="440" w:type="pct"/>
            <w:vAlign w:val="center"/>
          </w:tcPr>
          <w:p w14:paraId="76E35822"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6</w:t>
            </w:r>
          </w:p>
        </w:tc>
        <w:tc>
          <w:tcPr>
            <w:tcW w:w="544" w:type="pct"/>
            <w:vAlign w:val="center"/>
          </w:tcPr>
          <w:p w14:paraId="0AB90F49"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1.4</w:t>
            </w:r>
          </w:p>
        </w:tc>
        <w:tc>
          <w:tcPr>
            <w:tcW w:w="768" w:type="pct"/>
            <w:vAlign w:val="center"/>
          </w:tcPr>
          <w:p w14:paraId="788C0B9A" w14:textId="22310C08" w:rsidR="00987F98" w:rsidRPr="00AA5727" w:rsidRDefault="00274134"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[100]</w:t>
            </w:r>
          </w:p>
        </w:tc>
      </w:tr>
      <w:tr w:rsidR="00987F98" w:rsidRPr="00AA5727" w14:paraId="2291B917" w14:textId="77777777" w:rsidTr="00AA5727">
        <w:trPr>
          <w:trHeight w:val="321"/>
          <w:jc w:val="center"/>
        </w:trPr>
        <w:tc>
          <w:tcPr>
            <w:tcW w:w="434" w:type="pct"/>
            <w:vAlign w:val="center"/>
          </w:tcPr>
          <w:p w14:paraId="123EFEDC" w14:textId="77777777" w:rsidR="00987F98" w:rsidRPr="00AA5727" w:rsidRDefault="00987F98" w:rsidP="00AA5727">
            <w:pPr>
              <w:pStyle w:val="ListParagraph"/>
              <w:numPr>
                <w:ilvl w:val="0"/>
                <w:numId w:val="2"/>
              </w:numPr>
              <w:spacing w:after="0" w:line="276" w:lineRule="auto"/>
              <w:jc w:val="center"/>
              <w:rPr>
                <w:rFonts w:ascii="Times New Roman" w:hAnsi="Times New Roman" w:cs="Times New Roman"/>
                <w:color w:val="000000" w:themeColor="text1"/>
                <w:sz w:val="20"/>
                <w:szCs w:val="20"/>
                <w:shd w:val="clear" w:color="auto" w:fill="FFFFFF"/>
              </w:rPr>
            </w:pPr>
          </w:p>
        </w:tc>
        <w:tc>
          <w:tcPr>
            <w:tcW w:w="1154" w:type="pct"/>
            <w:vAlign w:val="center"/>
          </w:tcPr>
          <w:p w14:paraId="15C40781" w14:textId="77777777" w:rsidR="00987F98" w:rsidRPr="00AA5727" w:rsidRDefault="00987F98" w:rsidP="00AA5727">
            <w:pPr>
              <w:spacing w:after="0" w:line="276" w:lineRule="auto"/>
              <w:jc w:val="center"/>
              <w:rPr>
                <w:rFonts w:ascii="Times New Roman" w:hAnsi="Times New Roman" w:cs="Times New Roman"/>
                <w:color w:val="000000" w:themeColor="text1"/>
                <w:sz w:val="20"/>
                <w:szCs w:val="20"/>
                <w:shd w:val="clear" w:color="auto" w:fill="FFFFFF"/>
              </w:rPr>
            </w:pPr>
            <w:r w:rsidRPr="00AA5727">
              <w:rPr>
                <w:rFonts w:ascii="Times New Roman" w:hAnsi="Times New Roman" w:cs="Times New Roman"/>
                <w:color w:val="000000" w:themeColor="text1"/>
                <w:sz w:val="20"/>
                <w:szCs w:val="20"/>
                <w:shd w:val="clear" w:color="auto" w:fill="FFFFFF"/>
              </w:rPr>
              <w:t>Saikosaponin A</w:t>
            </w:r>
          </w:p>
        </w:tc>
        <w:tc>
          <w:tcPr>
            <w:tcW w:w="704" w:type="pct"/>
            <w:vAlign w:val="center"/>
          </w:tcPr>
          <w:p w14:paraId="1C60A194"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167928</w:t>
            </w:r>
          </w:p>
        </w:tc>
        <w:tc>
          <w:tcPr>
            <w:tcW w:w="516" w:type="pct"/>
            <w:vAlign w:val="center"/>
          </w:tcPr>
          <w:p w14:paraId="422369B5"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shd w:val="clear" w:color="auto" w:fill="FFFFFF"/>
              </w:rPr>
              <w:t>781.0</w:t>
            </w:r>
          </w:p>
        </w:tc>
        <w:tc>
          <w:tcPr>
            <w:tcW w:w="440" w:type="pct"/>
            <w:vAlign w:val="center"/>
          </w:tcPr>
          <w:p w14:paraId="639B0E68"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8</w:t>
            </w:r>
          </w:p>
        </w:tc>
        <w:tc>
          <w:tcPr>
            <w:tcW w:w="440" w:type="pct"/>
            <w:vAlign w:val="center"/>
          </w:tcPr>
          <w:p w14:paraId="4E849AD3"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color w:val="000000" w:themeColor="text1"/>
                <w:sz w:val="20"/>
                <w:szCs w:val="20"/>
              </w:rPr>
              <w:t>13</w:t>
            </w:r>
          </w:p>
        </w:tc>
        <w:tc>
          <w:tcPr>
            <w:tcW w:w="544" w:type="pct"/>
            <w:vAlign w:val="center"/>
          </w:tcPr>
          <w:p w14:paraId="503471D5" w14:textId="77777777" w:rsidR="00987F98" w:rsidRPr="00AA5727" w:rsidRDefault="00987F98"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hAnsi="Times New Roman" w:cs="Times New Roman"/>
                <w:noProof/>
                <w:color w:val="000000" w:themeColor="text1"/>
                <w:sz w:val="20"/>
                <w:szCs w:val="20"/>
              </w:rPr>
              <w:t>2.5</w:t>
            </w:r>
          </w:p>
        </w:tc>
        <w:tc>
          <w:tcPr>
            <w:tcW w:w="768" w:type="pct"/>
            <w:vAlign w:val="center"/>
          </w:tcPr>
          <w:p w14:paraId="06FFE8C6" w14:textId="7512A71E" w:rsidR="00987F98" w:rsidRPr="00AA5727" w:rsidRDefault="00274134" w:rsidP="00AA5727">
            <w:pPr>
              <w:spacing w:after="0" w:line="276" w:lineRule="auto"/>
              <w:jc w:val="center"/>
              <w:rPr>
                <w:rFonts w:ascii="Times New Roman" w:eastAsia="Times New Roman" w:hAnsi="Times New Roman" w:cs="Times New Roman"/>
                <w:color w:val="000000" w:themeColor="text1"/>
                <w:sz w:val="20"/>
                <w:szCs w:val="20"/>
                <w:lang w:eastAsia="en-IN" w:bidi="te-IN"/>
              </w:rPr>
            </w:pPr>
            <w:r w:rsidRPr="00AA5727">
              <w:rPr>
                <w:rFonts w:ascii="Times New Roman" w:eastAsia="Times New Roman" w:hAnsi="Times New Roman" w:cs="Times New Roman"/>
                <w:color w:val="000000" w:themeColor="text1"/>
                <w:sz w:val="20"/>
                <w:szCs w:val="20"/>
                <w:lang w:eastAsia="en-IN" w:bidi="te-IN"/>
              </w:rPr>
              <w:t>[101]</w:t>
            </w:r>
          </w:p>
        </w:tc>
      </w:tr>
    </w:tbl>
    <w:p w14:paraId="6322340D" w14:textId="77777777" w:rsidR="003C2B54" w:rsidRPr="008541F9" w:rsidRDefault="003C2B54" w:rsidP="003C2B54">
      <w:pPr>
        <w:pStyle w:val="NormalWeb"/>
        <w:spacing w:line="360" w:lineRule="auto"/>
        <w:jc w:val="both"/>
        <w:rPr>
          <w:b/>
          <w:color w:val="000000" w:themeColor="text1"/>
        </w:rPr>
      </w:pPr>
    </w:p>
    <w:p w14:paraId="22B20AE1" w14:textId="23F7591B" w:rsidR="000673BF" w:rsidRPr="008541F9" w:rsidRDefault="00A9738F" w:rsidP="000673BF">
      <w:pPr>
        <w:pStyle w:val="NormalWeb"/>
        <w:numPr>
          <w:ilvl w:val="0"/>
          <w:numId w:val="4"/>
        </w:numPr>
        <w:spacing w:line="360" w:lineRule="auto"/>
        <w:jc w:val="both"/>
        <w:rPr>
          <w:b/>
          <w:color w:val="000000" w:themeColor="text1"/>
        </w:rPr>
      </w:pPr>
      <w:r w:rsidRPr="008541F9">
        <w:rPr>
          <w:b/>
          <w:bCs/>
          <w:color w:val="000000" w:themeColor="text1"/>
        </w:rPr>
        <w:t>Molecular Docking</w:t>
      </w:r>
    </w:p>
    <w:p w14:paraId="0AAFCDB8" w14:textId="64FF044E" w:rsidR="000E2983" w:rsidRPr="000E2983" w:rsidRDefault="000E2983" w:rsidP="000E2983">
      <w:pPr>
        <w:spacing w:line="360" w:lineRule="auto"/>
        <w:jc w:val="both"/>
        <w:rPr>
          <w:rFonts w:ascii="Times New Roman" w:hAnsi="Times New Roman" w:cs="Times New Roman"/>
          <w:sz w:val="24"/>
          <w:szCs w:val="24"/>
        </w:rPr>
      </w:pPr>
      <w:r w:rsidRPr="000E2983">
        <w:rPr>
          <w:rFonts w:ascii="Times New Roman" w:hAnsi="Times New Roman" w:cs="Times New Roman"/>
          <w:sz w:val="24"/>
          <w:szCs w:val="24"/>
        </w:rPr>
        <w:t>Molecular docking was performed using Gnina (</w:t>
      </w:r>
      <w:hyperlink r:id="rId11" w:tgtFrame="_new" w:history="1">
        <w:r w:rsidRPr="000E2983">
          <w:rPr>
            <w:rStyle w:val="Hyperlink"/>
            <w:rFonts w:ascii="Times New Roman" w:eastAsiaTheme="majorEastAsia" w:hAnsi="Times New Roman" w:cs="Times New Roman"/>
            <w:sz w:val="24"/>
            <w:szCs w:val="24"/>
          </w:rPr>
          <w:t>https://github.com/gnina/gnina</w:t>
        </w:r>
      </w:hyperlink>
      <w:r w:rsidRPr="000E2983">
        <w:rPr>
          <w:rFonts w:ascii="Times New Roman" w:hAnsi="Times New Roman" w:cs="Times New Roman"/>
          <w:sz w:val="24"/>
          <w:szCs w:val="24"/>
        </w:rPr>
        <w:t xml:space="preserve">). A blind docking approach was implemented by defining a search space </w:t>
      </w:r>
      <w:r w:rsidR="00B76ADB">
        <w:rPr>
          <w:rFonts w:ascii="Times New Roman" w:hAnsi="Times New Roman" w:cs="Times New Roman"/>
          <w:sz w:val="24"/>
          <w:szCs w:val="24"/>
        </w:rPr>
        <w:t>that encompassed the entire protein structure, thereby enabling</w:t>
      </w:r>
      <w:r w:rsidRPr="000E2983">
        <w:rPr>
          <w:rFonts w:ascii="Times New Roman" w:hAnsi="Times New Roman" w:cs="Times New Roman"/>
          <w:sz w:val="24"/>
          <w:szCs w:val="24"/>
        </w:rPr>
        <w:t xml:space="preserve"> comprehensive sampling of potential binding sites. Docked conformations were ranked according to the Gnina scoring function, and the highest-scoring pose for each ligand was retained for further analysis. Protein–ligand interactions were characterized using the Protein–Ligand Interaction Profiler (PLIP) </w:t>
      </w:r>
      <w:r w:rsidRPr="000E2983">
        <w:rPr>
          <w:rFonts w:ascii="Times New Roman" w:hAnsi="Times New Roman" w:cs="Times New Roman"/>
          <w:color w:val="000000" w:themeColor="text1"/>
          <w:sz w:val="24"/>
          <w:szCs w:val="24"/>
          <w:lang w:val="en-US"/>
        </w:rPr>
        <w:t>(</w:t>
      </w:r>
      <w:hyperlink r:id="rId12" w:history="1">
        <w:r w:rsidRPr="000E2983">
          <w:rPr>
            <w:rStyle w:val="Hyperlink"/>
            <w:rFonts w:ascii="Times New Roman" w:hAnsi="Times New Roman" w:cs="Times New Roman"/>
            <w:sz w:val="24"/>
            <w:szCs w:val="24"/>
            <w:lang w:val="en-US"/>
          </w:rPr>
          <w:t>https://plip-tool.biotec.tu-dresden.de/plip-web/plip/index</w:t>
        </w:r>
      </w:hyperlink>
      <w:r w:rsidRPr="000E2983">
        <w:rPr>
          <w:rFonts w:ascii="Times New Roman" w:hAnsi="Times New Roman" w:cs="Times New Roman"/>
          <w:color w:val="000000" w:themeColor="text1"/>
          <w:sz w:val="24"/>
          <w:szCs w:val="24"/>
          <w:lang w:val="en-US"/>
        </w:rPr>
        <w:t>)</w:t>
      </w:r>
      <w:r w:rsidRPr="000E2983">
        <w:rPr>
          <w:rFonts w:ascii="Times New Roman" w:hAnsi="Times New Roman" w:cs="Times New Roman"/>
          <w:sz w:val="24"/>
          <w:szCs w:val="24"/>
        </w:rPr>
        <w:t>, enabling identification of hydrogen bonding, hydrophobic contacts, and other non-covalent interactions. Selected complexes were subsequently advanced for molecular dynamics simulations</w:t>
      </w:r>
      <w:r w:rsidR="00E86A82">
        <w:rPr>
          <w:rFonts w:ascii="Times New Roman" w:hAnsi="Times New Roman" w:cs="Times New Roman"/>
          <w:sz w:val="24"/>
          <w:szCs w:val="24"/>
        </w:rPr>
        <w:t xml:space="preserve"> [102-105].</w:t>
      </w:r>
    </w:p>
    <w:p w14:paraId="41A6D0EB" w14:textId="77777777" w:rsidR="006A60E4" w:rsidRPr="00391919" w:rsidRDefault="006A60E4" w:rsidP="006A60E4">
      <w:pPr>
        <w:pStyle w:val="ListParagraph"/>
        <w:numPr>
          <w:ilvl w:val="0"/>
          <w:numId w:val="4"/>
        </w:numPr>
        <w:spacing w:line="360" w:lineRule="auto"/>
        <w:jc w:val="both"/>
        <w:rPr>
          <w:rFonts w:ascii="Times New Roman" w:hAnsi="Times New Roman" w:cs="Times New Roman"/>
          <w:b/>
          <w:bCs/>
          <w:sz w:val="24"/>
          <w:szCs w:val="24"/>
        </w:rPr>
      </w:pPr>
      <w:r w:rsidRPr="00391919">
        <w:rPr>
          <w:rFonts w:ascii="Times New Roman" w:hAnsi="Times New Roman" w:cs="Times New Roman"/>
          <w:b/>
          <w:bCs/>
          <w:sz w:val="24"/>
          <w:szCs w:val="24"/>
        </w:rPr>
        <w:lastRenderedPageBreak/>
        <w:t>Generative Modeling and Conformer-Driven Molecular Design</w:t>
      </w:r>
    </w:p>
    <w:p w14:paraId="37A9A183" w14:textId="77777777" w:rsidR="006A60E4" w:rsidRPr="003034E4" w:rsidRDefault="006A60E4" w:rsidP="006A60E4">
      <w:pPr>
        <w:pStyle w:val="ListParagraph"/>
        <w:numPr>
          <w:ilvl w:val="1"/>
          <w:numId w:val="8"/>
        </w:numPr>
        <w:spacing w:line="360" w:lineRule="auto"/>
        <w:jc w:val="both"/>
        <w:rPr>
          <w:rFonts w:ascii="Times New Roman" w:hAnsi="Times New Roman" w:cs="Times New Roman"/>
          <w:sz w:val="24"/>
          <w:szCs w:val="24"/>
        </w:rPr>
      </w:pPr>
      <w:r w:rsidRPr="003034E4">
        <w:rPr>
          <w:rFonts w:ascii="Times New Roman" w:eastAsiaTheme="majorEastAsia" w:hAnsi="Times New Roman" w:cs="Times New Roman"/>
          <w:b/>
          <w:bCs/>
          <w:sz w:val="24"/>
          <w:szCs w:val="24"/>
        </w:rPr>
        <w:t>Conformers Generation using ConfGAN</w:t>
      </w:r>
      <w:r w:rsidRPr="003034E4">
        <w:rPr>
          <w:rFonts w:ascii="Times New Roman" w:hAnsi="Times New Roman" w:cs="Times New Roman"/>
          <w:b/>
          <w:bCs/>
          <w:sz w:val="24"/>
          <w:szCs w:val="24"/>
        </w:rPr>
        <w:t xml:space="preserve"> </w:t>
      </w:r>
    </w:p>
    <w:p w14:paraId="546CA5D6" w14:textId="4FE24C6B" w:rsidR="006A60E4" w:rsidRPr="003034E4" w:rsidRDefault="006A60E4" w:rsidP="006A60E4">
      <w:pPr>
        <w:spacing w:line="360" w:lineRule="auto"/>
        <w:jc w:val="both"/>
        <w:rPr>
          <w:rFonts w:ascii="Times New Roman" w:hAnsi="Times New Roman" w:cs="Times New Roman"/>
          <w:sz w:val="24"/>
          <w:szCs w:val="24"/>
        </w:rPr>
      </w:pPr>
      <w:r w:rsidRPr="003034E4">
        <w:rPr>
          <w:rFonts w:ascii="Times New Roman" w:hAnsi="Times New Roman" w:cs="Times New Roman"/>
          <w:sz w:val="24"/>
          <w:szCs w:val="24"/>
        </w:rPr>
        <w:t>Conformational variants of a cannabigerol-derived scaffold were generated using a conditional generative adversarial network (ConfGAN)</w:t>
      </w:r>
      <w:r>
        <w:rPr>
          <w:rFonts w:ascii="Times New Roman" w:hAnsi="Times New Roman" w:cs="Times New Roman"/>
          <w:sz w:val="24"/>
          <w:szCs w:val="24"/>
        </w:rPr>
        <w:t xml:space="preserve"> </w:t>
      </w:r>
      <w:r w:rsidRPr="008541F9">
        <w:rPr>
          <w:rFonts w:ascii="Times New Roman" w:hAnsi="Times New Roman" w:cs="Times New Roman"/>
          <w:color w:val="000000" w:themeColor="text1"/>
          <w:sz w:val="24"/>
          <w:szCs w:val="24"/>
          <w:lang w:val="en-US"/>
        </w:rPr>
        <w:t>(</w:t>
      </w:r>
      <w:hyperlink r:id="rId13" w:history="1">
        <w:r w:rsidRPr="008819A9">
          <w:rPr>
            <w:rStyle w:val="Hyperlink"/>
            <w:rFonts w:ascii="Times New Roman" w:hAnsi="Times New Roman" w:cs="Times New Roman"/>
            <w:sz w:val="24"/>
            <w:szCs w:val="24"/>
            <w:lang w:val="en-US"/>
          </w:rPr>
          <w:t>https://github.com/xucongs/ConfGAN</w:t>
        </w:r>
      </w:hyperlink>
      <w:r w:rsidRPr="008541F9">
        <w:rPr>
          <w:rFonts w:ascii="Times New Roman" w:hAnsi="Times New Roman" w:cs="Times New Roman"/>
          <w:color w:val="000000" w:themeColor="text1"/>
          <w:sz w:val="24"/>
          <w:szCs w:val="24"/>
          <w:lang w:val="en-US"/>
        </w:rPr>
        <w:t>)</w:t>
      </w:r>
      <w:r w:rsidRPr="003034E4">
        <w:rPr>
          <w:rFonts w:ascii="Times New Roman" w:hAnsi="Times New Roman" w:cs="Times New Roman"/>
          <w:sz w:val="24"/>
          <w:szCs w:val="24"/>
        </w:rPr>
        <w:t>. The model integrates motif-based molecular graph neural networks (MM-GNNs) with gated recurrent unit (GRU)-based message passing to capture structural features from known EGFR inhibitors while preserving stereochemical and physicochemical constraints. Molecular graphs were constructed using motif-level representations, and node embeddings were iteratively updated through GRU-based message passing. Three-dimensional conformations were reconstructed from predicted distance matrices using Euclidean distance geometry, ensuring preservation of molecular geometry and chirality</w:t>
      </w:r>
      <w:r>
        <w:rPr>
          <w:rFonts w:ascii="Times New Roman" w:hAnsi="Times New Roman" w:cs="Times New Roman"/>
          <w:sz w:val="24"/>
          <w:szCs w:val="24"/>
        </w:rPr>
        <w:t xml:space="preserve">. </w:t>
      </w:r>
      <w:r w:rsidRPr="003034E4">
        <w:rPr>
          <w:rFonts w:ascii="Times New Roman" w:hAnsi="Times New Roman" w:cs="Times New Roman"/>
          <w:sz w:val="24"/>
          <w:szCs w:val="24"/>
        </w:rPr>
        <w:t>Model training was performed over 1000 epochs, and generated conformers were refined using density functional theory (DFT). Convergence was defined using a root-mean-square deviation (RMSD) threshold ≤ 0.01 Å between generated and optimized structures. Conformational diversity was evaluated using RMSD-based clustering (≤ 0.5 Å) and energy thresholds (≤ 0.2 kJ/mol), with energies calculated using the xTB-GFN2 method. The resulting conformational ensemble was used as input for downstream generative modeling</w:t>
      </w:r>
      <w:r w:rsidR="00232D4D">
        <w:rPr>
          <w:rFonts w:ascii="Times New Roman" w:hAnsi="Times New Roman" w:cs="Times New Roman"/>
          <w:sz w:val="24"/>
          <w:szCs w:val="24"/>
        </w:rPr>
        <w:t xml:space="preserve"> </w:t>
      </w:r>
      <w:r w:rsidR="00E86A82">
        <w:rPr>
          <w:rFonts w:ascii="Times New Roman" w:hAnsi="Times New Roman" w:cs="Times New Roman"/>
          <w:kern w:val="0"/>
          <w:sz w:val="24"/>
        </w:rPr>
        <w:t>[106-108].</w:t>
      </w:r>
    </w:p>
    <w:p w14:paraId="6722D277" w14:textId="77777777" w:rsidR="006A60E4" w:rsidRPr="003034E4" w:rsidRDefault="006A60E4" w:rsidP="006A60E4">
      <w:pPr>
        <w:pStyle w:val="ListParagraph"/>
        <w:numPr>
          <w:ilvl w:val="1"/>
          <w:numId w:val="8"/>
        </w:numPr>
        <w:spacing w:line="360" w:lineRule="auto"/>
        <w:jc w:val="both"/>
        <w:rPr>
          <w:rFonts w:ascii="Times New Roman" w:hAnsi="Times New Roman" w:cs="Times New Roman"/>
          <w:b/>
          <w:bCs/>
          <w:sz w:val="24"/>
          <w:szCs w:val="24"/>
        </w:rPr>
      </w:pPr>
      <w:r w:rsidRPr="003034E4">
        <w:rPr>
          <w:rFonts w:ascii="Times New Roman" w:hAnsi="Times New Roman" w:cs="Times New Roman"/>
          <w:b/>
          <w:bCs/>
          <w:sz w:val="24"/>
          <w:szCs w:val="24"/>
        </w:rPr>
        <w:t>VAE-GAN-RL Based Molecular Generation and Optimization</w:t>
      </w:r>
    </w:p>
    <w:p w14:paraId="63CEB3D5" w14:textId="0660DF45" w:rsidR="006A60E4" w:rsidRPr="003034E4" w:rsidRDefault="006A60E4" w:rsidP="006A60E4">
      <w:pPr>
        <w:spacing w:line="360" w:lineRule="auto"/>
        <w:jc w:val="both"/>
        <w:rPr>
          <w:rFonts w:ascii="Times New Roman" w:hAnsi="Times New Roman" w:cs="Times New Roman"/>
          <w:sz w:val="24"/>
          <w:szCs w:val="24"/>
        </w:rPr>
      </w:pPr>
      <w:r w:rsidRPr="003034E4">
        <w:rPr>
          <w:rFonts w:ascii="Times New Roman" w:hAnsi="Times New Roman" w:cs="Times New Roman"/>
          <w:sz w:val="24"/>
          <w:szCs w:val="24"/>
        </w:rPr>
        <w:t>Conformers generated using ConfGAN were used to train a variational autoencoder (VAE), enabling learning of latent chemical representations and template-independent molecule generation. A generative adversarial network (GAN) module was incorporated to enhance structural diversity through scaffold modification and introduction of chemically diverse motifs. A reinforcement learning (RL) framework was applied to optimize generated molecules using a multi-objective reward function incorporating drug-likeness (QED), predicted EGFR binding affinity, Lipinski’s Rule of Five, and synthetic accessibility</w:t>
      </w:r>
      <w:r w:rsidR="00232D4D">
        <w:rPr>
          <w:rFonts w:ascii="Times New Roman" w:hAnsi="Times New Roman" w:cs="Times New Roman"/>
          <w:sz w:val="24"/>
          <w:szCs w:val="24"/>
        </w:rPr>
        <w:t xml:space="preserve">. </w:t>
      </w:r>
      <w:r w:rsidRPr="003034E4">
        <w:rPr>
          <w:rFonts w:ascii="Times New Roman" w:hAnsi="Times New Roman" w:cs="Times New Roman"/>
          <w:sz w:val="24"/>
          <w:szCs w:val="24"/>
        </w:rPr>
        <w:t>The integrated workflow generated approximately 1.7 million unique compounds. Candidate molecules were prioritized based on structural diversity, docking-based scoring, and pharmacological properties, and the top-ranked compounds were selected for subsequent molecular docking and molecular dynamics simulations</w:t>
      </w:r>
      <w:r w:rsidR="00E86A82">
        <w:rPr>
          <w:rFonts w:ascii="Times New Roman" w:hAnsi="Times New Roman" w:cs="Times New Roman"/>
          <w:sz w:val="24"/>
          <w:szCs w:val="24"/>
        </w:rPr>
        <w:t>.</w:t>
      </w:r>
    </w:p>
    <w:p w14:paraId="461A2FFC" w14:textId="77777777" w:rsidR="006A60E4" w:rsidRPr="00026593" w:rsidRDefault="008B7EFA" w:rsidP="00E7427C">
      <w:pPr>
        <w:pStyle w:val="ListParagraph"/>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026593">
        <w:rPr>
          <w:rFonts w:ascii="Times New Roman" w:hAnsi="Times New Roman" w:cs="Times New Roman"/>
          <w:b/>
          <w:bCs/>
          <w:color w:val="000000" w:themeColor="text1"/>
          <w:sz w:val="24"/>
          <w:szCs w:val="24"/>
        </w:rPr>
        <w:t>MD Simulation</w:t>
      </w:r>
      <w:r w:rsidR="00DB64EF" w:rsidRPr="00026593">
        <w:rPr>
          <w:rFonts w:ascii="Times New Roman" w:hAnsi="Times New Roman" w:cs="Times New Roman"/>
          <w:b/>
          <w:bCs/>
          <w:color w:val="000000" w:themeColor="text1"/>
          <w:sz w:val="24"/>
          <w:szCs w:val="24"/>
        </w:rPr>
        <w:t xml:space="preserve"> </w:t>
      </w:r>
    </w:p>
    <w:p w14:paraId="7727302F" w14:textId="4CA2869F" w:rsidR="006A60E4" w:rsidRPr="006A60E4" w:rsidRDefault="006A60E4" w:rsidP="006A60E4">
      <w:pPr>
        <w:spacing w:line="360" w:lineRule="auto"/>
        <w:jc w:val="both"/>
        <w:rPr>
          <w:rFonts w:ascii="Times New Roman" w:hAnsi="Times New Roman" w:cs="Times New Roman"/>
          <w:sz w:val="24"/>
          <w:szCs w:val="24"/>
        </w:rPr>
      </w:pPr>
      <w:r w:rsidRPr="00026593">
        <w:rPr>
          <w:rFonts w:ascii="Times New Roman" w:hAnsi="Times New Roman" w:cs="Times New Roman"/>
          <w:sz w:val="24"/>
          <w:szCs w:val="24"/>
        </w:rPr>
        <w:lastRenderedPageBreak/>
        <w:t>Molecular dynamics (MD) simulations were performed using GROMACS to investigate the stability and dynamic behavior of EGFR–ligand complexes, including EGFPAN_EMBS and cannabigerol (CID 5315659</w:t>
      </w:r>
      <w:r w:rsidRPr="00D50E68">
        <w:rPr>
          <w:rFonts w:ascii="Times New Roman" w:hAnsi="Times New Roman" w:cs="Times New Roman"/>
          <w:sz w:val="24"/>
          <w:szCs w:val="24"/>
        </w:rPr>
        <w:t>). The protein was described using the CHARMM force field, and ligand topologies were generated using the SwissParam server.</w:t>
      </w:r>
      <w:r w:rsidRPr="006A60E4">
        <w:rPr>
          <w:rFonts w:ascii="Times New Roman" w:hAnsi="Times New Roman" w:cs="Times New Roman"/>
          <w:sz w:val="24"/>
          <w:szCs w:val="24"/>
        </w:rPr>
        <w:t xml:space="preserve"> Each system was solvated in a cubic box using the SPC water model, maintaining a minimum distance of 1.0 nm between the protein surface and box edges. Counterions (Na⁺/Cl⁻) were added to neutralize the system and achieve an ionic strength of 0.1 M.</w:t>
      </w:r>
    </w:p>
    <w:p w14:paraId="357082EC" w14:textId="77777777" w:rsidR="006A60E4" w:rsidRPr="006A60E4" w:rsidRDefault="006A60E4" w:rsidP="006A60E4">
      <w:pPr>
        <w:spacing w:line="360" w:lineRule="auto"/>
        <w:jc w:val="both"/>
        <w:rPr>
          <w:rFonts w:ascii="Times New Roman" w:hAnsi="Times New Roman" w:cs="Times New Roman"/>
          <w:sz w:val="24"/>
          <w:szCs w:val="24"/>
        </w:rPr>
      </w:pPr>
      <w:r w:rsidRPr="006A60E4">
        <w:rPr>
          <w:rFonts w:ascii="Times New Roman" w:hAnsi="Times New Roman" w:cs="Times New Roman"/>
          <w:sz w:val="24"/>
          <w:szCs w:val="24"/>
        </w:rPr>
        <w:t>Energy minimization was carried out using the steepest descent algorithm until convergence. Systems were subsequently equilibrated under NVT and NPT ensembles at 300 K and 1 bar using appropriate thermostat and barostat coupling. Production MD simulations were performed for 200 ns with a 2 fs integration time step. Long-range electrostatic interactions were treated using the Particle Mesh Ewald method, and all covalent bonds were constrained using the LINCS algorithm.</w:t>
      </w:r>
    </w:p>
    <w:p w14:paraId="385B5759" w14:textId="77777777" w:rsidR="006A60E4" w:rsidRPr="006A60E4" w:rsidRDefault="006A60E4" w:rsidP="006A60E4">
      <w:pPr>
        <w:spacing w:line="360" w:lineRule="auto"/>
        <w:jc w:val="both"/>
        <w:rPr>
          <w:rFonts w:ascii="Times New Roman" w:hAnsi="Times New Roman" w:cs="Times New Roman"/>
          <w:sz w:val="24"/>
          <w:szCs w:val="24"/>
        </w:rPr>
      </w:pPr>
      <w:r w:rsidRPr="006A60E4">
        <w:rPr>
          <w:rFonts w:ascii="Times New Roman" w:hAnsi="Times New Roman" w:cs="Times New Roman"/>
          <w:sz w:val="24"/>
          <w:szCs w:val="24"/>
        </w:rPr>
        <w:t>Trajectory analyses were conducted using built-in GROMACS tools and external scripts. Structural stability and flexibility were evaluated using root-mean-square deviation (RMSD) and root-mean-square fluctuation (RMSF). Protein compactness was assessed via radius of gyration, and protein–ligand interactions were monitored through hydrogen bond analysis and solvent-accessible surface area (SASA).</w:t>
      </w:r>
    </w:p>
    <w:p w14:paraId="3A36B73E" w14:textId="67A34786" w:rsidR="002608E8" w:rsidRPr="008541F9" w:rsidRDefault="00307FC9" w:rsidP="002608E8">
      <w:pPr>
        <w:pStyle w:val="ListParagraph"/>
        <w:numPr>
          <w:ilvl w:val="0"/>
          <w:numId w:val="4"/>
        </w:numPr>
        <w:spacing w:before="100" w:beforeAutospacing="1" w:after="100" w:afterAutospacing="1" w:line="360" w:lineRule="auto"/>
        <w:jc w:val="both"/>
        <w:rPr>
          <w:rFonts w:ascii="Times New Roman" w:eastAsia="Times New Roman" w:hAnsi="Times New Roman" w:cs="Times New Roman"/>
          <w:color w:val="000000" w:themeColor="text1"/>
          <w:kern w:val="0"/>
          <w:sz w:val="24"/>
          <w:szCs w:val="24"/>
          <w:lang w:val="en-GB" w:eastAsia="en-GB"/>
          <w14:ligatures w14:val="none"/>
        </w:rPr>
      </w:pPr>
      <w:r w:rsidRPr="008541F9">
        <w:rPr>
          <w:rFonts w:ascii="Times New Roman" w:eastAsia="Times New Roman" w:hAnsi="Times New Roman" w:cs="Times New Roman"/>
          <w:b/>
          <w:bCs/>
          <w:color w:val="000000" w:themeColor="text1"/>
          <w:kern w:val="0"/>
          <w:sz w:val="24"/>
          <w:szCs w:val="24"/>
          <w:lang w:val="en-GB" w:eastAsia="en-GB"/>
          <w14:ligatures w14:val="none"/>
        </w:rPr>
        <w:t>Post Simulation Analysis</w:t>
      </w:r>
    </w:p>
    <w:p w14:paraId="27AD1C60" w14:textId="21A028E7" w:rsidR="00E7427C" w:rsidRDefault="00D50E68" w:rsidP="00D50E68">
      <w:pPr>
        <w:spacing w:line="360" w:lineRule="auto"/>
        <w:jc w:val="both"/>
        <w:rPr>
          <w:rFonts w:ascii="Times New Roman" w:hAnsi="Times New Roman" w:cs="Times New Roman"/>
          <w:color w:val="000000" w:themeColor="text1"/>
          <w:sz w:val="24"/>
          <w:szCs w:val="24"/>
        </w:rPr>
      </w:pPr>
      <w:r w:rsidRPr="00D50E68">
        <w:rPr>
          <w:rFonts w:ascii="Times New Roman" w:hAnsi="Times New Roman" w:cs="Times New Roman"/>
          <w:sz w:val="24"/>
          <w:szCs w:val="24"/>
        </w:rPr>
        <w:t xml:space="preserve">The Gibbs free energy landscape (FEL) was constructed to characterize the conformational space sampled during molecular dynamics simulations. Principal component analysis (PCA) was performed, and the first two principal components (PC1 and PC2), representing dominant collective motions, were used as reaction coordinates. The FEL was generated from the probability distribution of these components using the gmx sham module in GROMACS. Free energy was calculated according to: </w:t>
      </w:r>
      <w:r w:rsidR="00E7427C" w:rsidRPr="00D50E68">
        <w:rPr>
          <w:rFonts w:ascii="Times New Roman" w:hAnsi="Times New Roman" w:cs="Times New Roman"/>
          <w:color w:val="000000" w:themeColor="text1"/>
          <w:sz w:val="24"/>
          <w:szCs w:val="24"/>
        </w:rPr>
        <w:t xml:space="preserve">This approach enabled the identification of low-energy conformational basins corresponding to stable states of the protein–ligand complexes and provided insights into their dynamic behavior during the simulation, which </w:t>
      </w:r>
      <w:r w:rsidR="0093090B">
        <w:rPr>
          <w:rFonts w:ascii="Times New Roman" w:hAnsi="Times New Roman" w:cs="Times New Roman"/>
          <w:color w:val="000000" w:themeColor="text1"/>
          <w:sz w:val="24"/>
          <w:szCs w:val="24"/>
        </w:rPr>
        <w:t>was</w:t>
      </w:r>
      <w:r w:rsidR="00E7427C" w:rsidRPr="00D50E68">
        <w:rPr>
          <w:rFonts w:ascii="Times New Roman" w:hAnsi="Times New Roman" w:cs="Times New Roman"/>
          <w:color w:val="000000" w:themeColor="text1"/>
          <w:sz w:val="24"/>
          <w:szCs w:val="24"/>
        </w:rPr>
        <w:t xml:space="preserve"> followed by</w:t>
      </w:r>
      <w:r w:rsidR="006A60E4" w:rsidRPr="00D50E68">
        <w:rPr>
          <w:rFonts w:ascii="Times New Roman" w:hAnsi="Times New Roman" w:cs="Times New Roman"/>
          <w:color w:val="000000" w:themeColor="text1"/>
          <w:sz w:val="24"/>
          <w:szCs w:val="24"/>
        </w:rPr>
        <w:t>:</w:t>
      </w:r>
    </w:p>
    <w:p w14:paraId="22B9761B" w14:textId="2CF39743" w:rsidR="0093090B" w:rsidRPr="0093090B" w:rsidRDefault="0093090B" w:rsidP="0093090B">
      <w:pPr>
        <w:spacing w:line="360" w:lineRule="auto"/>
        <w:jc w:val="both"/>
        <w:rPr>
          <w:rFonts w:ascii="Times New Roman" w:hAnsi="Times New Roman" w:cs="Times New Roman"/>
          <w:b/>
          <w:bCs/>
          <w:sz w:val="24"/>
          <w:szCs w:val="24"/>
        </w:rPr>
      </w:pPr>
      <m:oMathPara>
        <m:oMath>
          <m:r>
            <m:rPr>
              <m:sty m:val="bi"/>
            </m:rPr>
            <w:rPr>
              <w:rFonts w:ascii="Cambria Math" w:hAnsi="Cambria Math" w:cs="Times New Roman"/>
              <w:sz w:val="24"/>
              <w:szCs w:val="24"/>
              <w:highlight w:val="yellow"/>
            </w:rPr>
            <m:t>G(PC1,PC</m:t>
          </m:r>
          <m:r>
            <m:rPr>
              <m:sty m:val="bi"/>
            </m:rPr>
            <w:rPr>
              <w:rFonts w:ascii="Cambria Math" w:hAnsi="Cambria Math" w:cs="Times New Roman"/>
              <w:sz w:val="24"/>
              <w:szCs w:val="24"/>
              <w:highlight w:val="yellow"/>
            </w:rPr>
            <m:t>2)=</m:t>
          </m:r>
          <m:sSub>
            <m:sSubPr>
              <m:ctrlPr>
                <w:rPr>
                  <w:rFonts w:ascii="Cambria Math" w:hAnsi="Cambria Math" w:cs="Times New Roman"/>
                  <w:b/>
                  <w:bCs/>
                  <w:i/>
                  <w:sz w:val="24"/>
                  <w:szCs w:val="24"/>
                  <w:highlight w:val="yellow"/>
                </w:rPr>
              </m:ctrlPr>
            </m:sSubPr>
            <m:e>
              <m:r>
                <m:rPr>
                  <m:sty m:val="bi"/>
                </m:rPr>
                <w:rPr>
                  <w:rFonts w:ascii="Cambria Math" w:hAnsi="Cambria Math" w:cs="Times New Roman"/>
                  <w:sz w:val="24"/>
                  <w:szCs w:val="24"/>
                  <w:highlight w:val="yellow"/>
                </w:rPr>
                <m:t>k</m:t>
              </m:r>
            </m:e>
            <m:sub>
              <m:r>
                <m:rPr>
                  <m:sty m:val="bi"/>
                </m:rPr>
                <w:rPr>
                  <w:rFonts w:ascii="Cambria Math" w:hAnsi="Cambria Math" w:cs="Times New Roman"/>
                  <w:sz w:val="24"/>
                  <w:szCs w:val="24"/>
                  <w:highlight w:val="yellow"/>
                </w:rPr>
                <m:t>B</m:t>
              </m:r>
            </m:sub>
          </m:sSub>
          <m:r>
            <m:rPr>
              <m:sty m:val="bi"/>
            </m:rPr>
            <w:rPr>
              <w:rFonts w:ascii="Cambria Math" w:hAnsi="Cambria Math" w:cs="Times New Roman"/>
              <w:sz w:val="24"/>
              <w:szCs w:val="24"/>
              <w:highlight w:val="yellow"/>
            </w:rPr>
            <m:t>T lnP(PC</m:t>
          </m:r>
          <m:r>
            <m:rPr>
              <m:sty m:val="bi"/>
            </m:rPr>
            <w:rPr>
              <w:rFonts w:ascii="Cambria Math" w:hAnsi="Cambria Math" w:cs="Times New Roman"/>
              <w:sz w:val="24"/>
              <w:szCs w:val="24"/>
              <w:highlight w:val="yellow"/>
            </w:rPr>
            <m:t>1,PC</m:t>
          </m:r>
          <m:r>
            <m:rPr>
              <m:sty m:val="bi"/>
            </m:rPr>
            <w:rPr>
              <w:rFonts w:ascii="Cambria Math" w:hAnsi="Cambria Math" w:cs="Times New Roman"/>
              <w:sz w:val="24"/>
              <w:szCs w:val="24"/>
              <w:highlight w:val="yellow"/>
            </w:rPr>
            <m:t>2)</m:t>
          </m:r>
        </m:oMath>
      </m:oMathPara>
    </w:p>
    <w:p w14:paraId="61C96A1F" w14:textId="7A296FF8" w:rsidR="00E7427C" w:rsidRPr="0093090B" w:rsidRDefault="00E7427C" w:rsidP="0093090B">
      <w:pPr>
        <w:spacing w:line="360" w:lineRule="auto"/>
        <w:jc w:val="both"/>
        <w:rPr>
          <w:rFonts w:ascii="Times New Roman" w:hAnsi="Times New Roman" w:cs="Times New Roman"/>
          <w:sz w:val="24"/>
          <w:szCs w:val="24"/>
        </w:rPr>
      </w:pPr>
      <w:r w:rsidRPr="00D50E68">
        <w:rPr>
          <w:rFonts w:ascii="Times New Roman" w:hAnsi="Times New Roman" w:cs="Times New Roman"/>
          <w:i/>
          <w:iCs/>
          <w:color w:val="000000" w:themeColor="text1"/>
          <w:sz w:val="24"/>
          <w:szCs w:val="24"/>
        </w:rPr>
        <w:t>Where</w:t>
      </w:r>
      <w:r w:rsidRPr="00D50E68">
        <w:rPr>
          <w:rFonts w:ascii="Times New Roman" w:hAnsi="Times New Roman" w:cs="Times New Roman"/>
          <w:color w:val="000000" w:themeColor="text1"/>
          <w:sz w:val="24"/>
          <w:szCs w:val="24"/>
        </w:rPr>
        <w:t xml:space="preserve">, </w:t>
      </w:r>
    </w:p>
    <w:p w14:paraId="58005422" w14:textId="7A7C3A78" w:rsidR="00E7427C" w:rsidRPr="00D50E68" w:rsidRDefault="00E7427C" w:rsidP="00D50E68">
      <w:pPr>
        <w:spacing w:after="0" w:line="360" w:lineRule="auto"/>
        <w:jc w:val="both"/>
        <w:rPr>
          <w:rFonts w:ascii="Times New Roman" w:hAnsi="Times New Roman" w:cs="Times New Roman"/>
          <w:color w:val="000000" w:themeColor="text1"/>
          <w:sz w:val="24"/>
          <w:szCs w:val="24"/>
          <w:shd w:val="clear" w:color="auto" w:fill="FFFFFF"/>
        </w:rPr>
      </w:pPr>
      <w:r w:rsidRPr="00D50E68">
        <w:rPr>
          <w:rFonts w:ascii="Times New Roman" w:hAnsi="Times New Roman" w:cs="Times New Roman"/>
          <w:color w:val="000000" w:themeColor="text1"/>
          <w:sz w:val="24"/>
          <w:szCs w:val="24"/>
        </w:rPr>
        <w:lastRenderedPageBreak/>
        <w:t xml:space="preserve">kB represents </w:t>
      </w:r>
      <w:r w:rsidR="00D50E68" w:rsidRPr="00D50E68">
        <w:rPr>
          <w:rFonts w:ascii="Times New Roman" w:hAnsi="Times New Roman" w:cs="Times New Roman"/>
          <w:color w:val="000000" w:themeColor="text1"/>
          <w:sz w:val="24"/>
          <w:szCs w:val="24"/>
        </w:rPr>
        <w:t>the</w:t>
      </w:r>
      <w:r w:rsidRPr="00D50E68">
        <w:rPr>
          <w:rFonts w:ascii="Times New Roman" w:hAnsi="Times New Roman" w:cs="Times New Roman"/>
          <w:color w:val="000000" w:themeColor="text1"/>
          <w:sz w:val="24"/>
          <w:szCs w:val="24"/>
        </w:rPr>
        <w:t xml:space="preserve"> </w:t>
      </w:r>
      <w:r w:rsidRPr="00D50E68">
        <w:rPr>
          <w:rFonts w:ascii="Times New Roman" w:hAnsi="Times New Roman" w:cs="Times New Roman"/>
          <w:color w:val="000000" w:themeColor="text1"/>
          <w:sz w:val="24"/>
          <w:szCs w:val="24"/>
          <w:shd w:val="clear" w:color="auto" w:fill="FFFFFF"/>
        </w:rPr>
        <w:t xml:space="preserve">Boltzmann constant, T represents </w:t>
      </w:r>
      <w:r w:rsidR="00D50E68" w:rsidRPr="00D50E68">
        <w:rPr>
          <w:rFonts w:ascii="Times New Roman" w:hAnsi="Times New Roman" w:cs="Times New Roman"/>
          <w:color w:val="000000" w:themeColor="text1"/>
          <w:sz w:val="24"/>
          <w:szCs w:val="24"/>
          <w:shd w:val="clear" w:color="auto" w:fill="FFFFFF"/>
        </w:rPr>
        <w:t>temperature</w:t>
      </w:r>
      <w:r w:rsidRPr="00D50E68">
        <w:rPr>
          <w:rFonts w:ascii="Times New Roman" w:hAnsi="Times New Roman" w:cs="Times New Roman"/>
          <w:color w:val="000000" w:themeColor="text1"/>
          <w:sz w:val="24"/>
          <w:szCs w:val="24"/>
          <w:shd w:val="clear" w:color="auto" w:fill="FFFFFF"/>
        </w:rPr>
        <w:t xml:space="preserve">, &amp; </w:t>
      </w:r>
      <w:r w:rsidRPr="00D50E68">
        <w:rPr>
          <w:rFonts w:ascii="Times New Roman" w:hAnsi="Times New Roman" w:cs="Times New Roman"/>
          <w:color w:val="000000" w:themeColor="text1"/>
          <w:sz w:val="24"/>
          <w:szCs w:val="24"/>
        </w:rPr>
        <w:t>P (PC1, PC2) as a predicted distribution probability of principal components</w:t>
      </w:r>
      <w:r w:rsidR="00D50E68" w:rsidRPr="00D50E68">
        <w:rPr>
          <w:rFonts w:ascii="Times New Roman" w:hAnsi="Times New Roman" w:cs="Times New Roman"/>
          <w:color w:val="000000" w:themeColor="text1"/>
          <w:sz w:val="24"/>
          <w:szCs w:val="24"/>
        </w:rPr>
        <w:t>.</w:t>
      </w:r>
    </w:p>
    <w:p w14:paraId="1D2FA2F3" w14:textId="43C9D613" w:rsidR="00E7427C" w:rsidRPr="00D50E68" w:rsidRDefault="00D50E68" w:rsidP="00D50E68">
      <w:pPr>
        <w:spacing w:line="360" w:lineRule="auto"/>
        <w:jc w:val="both"/>
        <w:rPr>
          <w:rFonts w:ascii="Times New Roman" w:hAnsi="Times New Roman" w:cs="Times New Roman"/>
          <w:sz w:val="24"/>
          <w:szCs w:val="24"/>
        </w:rPr>
      </w:pPr>
      <w:r w:rsidRPr="004E74D3">
        <w:rPr>
          <w:rFonts w:ascii="Times New Roman" w:hAnsi="Times New Roman" w:cs="Times New Roman"/>
          <w:sz w:val="24"/>
          <w:szCs w:val="24"/>
        </w:rPr>
        <w:t>Dynamic cross-correlation matrix (DCCM) analysis was performed to evaluate correlated and anti-correlated motions between residues during the simulation. Correlation coefficients were calculated from Cα atomic fluctuations to assess residue-level communication and collective dynamics within the EGFR kinase domain upon ligand binding.</w:t>
      </w:r>
      <w:r w:rsidRPr="00D50E68">
        <w:rPr>
          <w:rFonts w:ascii="Times New Roman" w:hAnsi="Times New Roman" w:cs="Times New Roman"/>
          <w:sz w:val="24"/>
          <w:szCs w:val="24"/>
        </w:rPr>
        <w:t xml:space="preserve"> </w:t>
      </w:r>
      <w:r w:rsidRPr="004E74D3">
        <w:rPr>
          <w:rFonts w:ascii="Times New Roman" w:hAnsi="Times New Roman" w:cs="Times New Roman"/>
          <w:sz w:val="24"/>
          <w:szCs w:val="24"/>
        </w:rPr>
        <w:t>Binding free energies were estimated using the molecular mechanics/generalized Born surface area (MM/GBSA) method. The total binding free energy (ΔG_bind) was decomposed into van der Waals, electrostatic, polar solvation, and non-polar solvation contributions to quantify the energetic stability of protein–ligand interactions.</w:t>
      </w:r>
    </w:p>
    <w:p w14:paraId="251F9F6D" w14:textId="77777777" w:rsidR="00D50E68" w:rsidRPr="00E86EA6" w:rsidRDefault="00D50E68" w:rsidP="00D50E68">
      <w:pPr>
        <w:pStyle w:val="ListParagraph"/>
        <w:numPr>
          <w:ilvl w:val="0"/>
          <w:numId w:val="4"/>
        </w:numPr>
        <w:spacing w:before="100" w:beforeAutospacing="1" w:after="100" w:afterAutospacing="1" w:line="360" w:lineRule="auto"/>
        <w:jc w:val="both"/>
        <w:rPr>
          <w:rFonts w:ascii="Times New Roman" w:hAnsi="Times New Roman" w:cs="Times New Roman"/>
          <w:b/>
          <w:bCs/>
          <w:sz w:val="24"/>
          <w:szCs w:val="24"/>
        </w:rPr>
      </w:pPr>
      <w:r w:rsidRPr="00E86EA6">
        <w:rPr>
          <w:rFonts w:ascii="Times New Roman" w:hAnsi="Times New Roman" w:cs="Times New Roman"/>
          <w:b/>
          <w:bCs/>
          <w:sz w:val="24"/>
          <w:szCs w:val="24"/>
          <w:lang w:val="en-GB"/>
        </w:rPr>
        <w:t>ADMET and Pharmacokinetic Prediction</w:t>
      </w:r>
    </w:p>
    <w:p w14:paraId="45A908B9" w14:textId="27DB0F75" w:rsidR="00F62AE4" w:rsidRPr="00D50E68" w:rsidRDefault="00F62AE4" w:rsidP="00D50E68">
      <w:pPr>
        <w:pStyle w:val="NormalWeb"/>
        <w:spacing w:line="360" w:lineRule="auto"/>
        <w:jc w:val="both"/>
        <w:rPr>
          <w:lang w:val="en-GB"/>
        </w:rPr>
      </w:pPr>
      <w:r w:rsidRPr="00F62AE4">
        <w:rPr>
          <w:lang w:val="en-GB"/>
        </w:rPr>
        <w:t>Pharmacokinetic properties and drug-likeness of the selected compounds were evaluated using the ADMETlab 3.0 platform, which enables prediction of key ADMET parameters, including P-glycoprotein interaction, blood–brain barrier (BBB) permeability, and gastrointestinal absorption</w:t>
      </w:r>
      <w:r w:rsidR="006E4D62">
        <w:rPr>
          <w:lang w:val="en-GB"/>
        </w:rPr>
        <w:t xml:space="preserve"> [109]</w:t>
      </w:r>
      <w:r w:rsidRPr="00F62AE4">
        <w:rPr>
          <w:lang w:val="en-GB"/>
        </w:rPr>
        <w:t>. Passive gastrointestinal absorption and BBB penetration were further assessed using the BOILED-Egg model implemented in SwissADME</w:t>
      </w:r>
      <w:r w:rsidR="006E4D62">
        <w:rPr>
          <w:lang w:val="en-GB"/>
        </w:rPr>
        <w:t xml:space="preserve"> [110,111]</w:t>
      </w:r>
      <w:r w:rsidRPr="00F62AE4">
        <w:rPr>
          <w:lang w:val="en-GB"/>
        </w:rPr>
        <w:t>.</w:t>
      </w:r>
      <w:r>
        <w:rPr>
          <w:lang w:val="en-GB"/>
        </w:rPr>
        <w:t xml:space="preserve"> </w:t>
      </w:r>
      <w:r w:rsidRPr="00F62AE4">
        <w:rPr>
          <w:lang w:val="en-GB"/>
        </w:rPr>
        <w:t>Compounds located within the white region were predicted to exhibit high gastrointestinal absorption, whereas those in the yellow region were associated with BBB permeability. Molecules positioned outside these regions were considered to have limited absorption and penetration potential</w:t>
      </w:r>
      <w:r w:rsidR="006E4D62">
        <w:rPr>
          <w:lang w:val="en-GB"/>
        </w:rPr>
        <w:t>.</w:t>
      </w:r>
    </w:p>
    <w:p w14:paraId="1108C69B" w14:textId="15EB3CA2" w:rsidR="00EC445F" w:rsidRPr="00C00890" w:rsidRDefault="002608E8" w:rsidP="000673BF">
      <w:pPr>
        <w:pStyle w:val="ListParagraph"/>
        <w:numPr>
          <w:ilvl w:val="0"/>
          <w:numId w:val="4"/>
        </w:numPr>
        <w:spacing w:before="100" w:beforeAutospacing="1" w:after="100" w:afterAutospacing="1" w:line="360" w:lineRule="auto"/>
        <w:jc w:val="both"/>
        <w:rPr>
          <w:rFonts w:ascii="Times New Roman" w:hAnsi="Times New Roman" w:cs="Times New Roman"/>
          <w:color w:val="000000" w:themeColor="text1"/>
          <w:sz w:val="24"/>
          <w:szCs w:val="24"/>
        </w:rPr>
      </w:pPr>
      <w:r w:rsidRPr="008541F9">
        <w:rPr>
          <w:rFonts w:ascii="Times New Roman" w:hAnsi="Times New Roman" w:cs="Times New Roman"/>
          <w:b/>
          <w:bCs/>
          <w:color w:val="000000" w:themeColor="text1"/>
          <w:sz w:val="24"/>
          <w:szCs w:val="24"/>
          <w:lang w:val="en-US"/>
        </w:rPr>
        <w:t xml:space="preserve">Chemical </w:t>
      </w:r>
      <w:r w:rsidR="00F7621F" w:rsidRPr="008541F9">
        <w:rPr>
          <w:rFonts w:ascii="Times New Roman" w:hAnsi="Times New Roman" w:cs="Times New Roman"/>
          <w:b/>
          <w:bCs/>
          <w:color w:val="000000" w:themeColor="text1"/>
          <w:sz w:val="24"/>
          <w:szCs w:val="24"/>
          <w:lang w:val="en-US"/>
        </w:rPr>
        <w:t>Synthesis</w:t>
      </w:r>
      <w:r w:rsidR="00F4775D" w:rsidRPr="008541F9">
        <w:rPr>
          <w:rFonts w:ascii="Times New Roman" w:hAnsi="Times New Roman" w:cs="Times New Roman"/>
          <w:b/>
          <w:bCs/>
          <w:color w:val="000000" w:themeColor="text1"/>
          <w:sz w:val="24"/>
          <w:szCs w:val="24"/>
          <w:lang w:val="en-US"/>
        </w:rPr>
        <w:t xml:space="preserve"> </w:t>
      </w:r>
      <w:r w:rsidR="00F7621F" w:rsidRPr="008541F9">
        <w:rPr>
          <w:rFonts w:ascii="Times New Roman" w:hAnsi="Times New Roman" w:cs="Times New Roman"/>
          <w:b/>
          <w:bCs/>
          <w:color w:val="000000" w:themeColor="text1"/>
          <w:sz w:val="24"/>
          <w:szCs w:val="24"/>
          <w:lang w:val="en-US"/>
        </w:rPr>
        <w:t>of EGFPAN_EMBS</w:t>
      </w:r>
    </w:p>
    <w:p w14:paraId="31457EBD" w14:textId="5387DBE4" w:rsidR="00C00890" w:rsidRDefault="00C00890" w:rsidP="00C00890">
      <w:pPr>
        <w:spacing w:line="360" w:lineRule="auto"/>
        <w:jc w:val="both"/>
        <w:rPr>
          <w:rFonts w:ascii="Times New Roman" w:hAnsi="Times New Roman" w:cs="Times New Roman"/>
          <w:sz w:val="24"/>
          <w:szCs w:val="24"/>
          <w:lang w:val="en-GB"/>
        </w:rPr>
      </w:pPr>
      <w:r w:rsidRPr="00E86EA6">
        <w:rPr>
          <w:rFonts w:ascii="Times New Roman" w:hAnsi="Times New Roman" w:cs="Times New Roman"/>
          <w:sz w:val="24"/>
          <w:szCs w:val="24"/>
          <w:lang w:val="en-GB"/>
        </w:rPr>
        <w:t>A</w:t>
      </w:r>
      <w:r w:rsidRPr="005D0475">
        <w:rPr>
          <w:rFonts w:ascii="Times New Roman" w:hAnsi="Times New Roman" w:cs="Times New Roman"/>
          <w:sz w:val="24"/>
          <w:szCs w:val="24"/>
          <w:lang w:val="en-GB"/>
        </w:rPr>
        <w:t>ll reagents and solvents were obtained from commercial sources and used as received unless otherwise specified. Moisture-sensitive reactions were performed under a dry nitrogen atmosphere. Reaction progress was monitored by thin-layer chromatography (TLC), and purification was achieved by flash column chromatography using appropriate solvent systems.</w:t>
      </w:r>
      <w:r w:rsidR="00EA352C">
        <w:rPr>
          <w:rFonts w:ascii="Times New Roman" w:hAnsi="Times New Roman" w:cs="Times New Roman"/>
          <w:sz w:val="24"/>
          <w:szCs w:val="24"/>
          <w:lang w:val="en-GB"/>
        </w:rPr>
        <w:t xml:space="preserve"> </w:t>
      </w:r>
      <w:r w:rsidRPr="005D0475">
        <w:rPr>
          <w:rFonts w:ascii="Times New Roman" w:hAnsi="Times New Roman" w:cs="Times New Roman"/>
          <w:sz w:val="24"/>
          <w:szCs w:val="24"/>
          <w:lang w:val="en-GB"/>
        </w:rPr>
        <w:t>NMR spectra were recorded on 400 MHz spectrometers, and chemical shifts (δ) are reported in ppm relative to residual solvent signals. High-resolution mass spectrometry (HRMS) analyses were performed using Orbitrap instrumentation, and analytical purity was determined by reverse-phase HPLC.</w:t>
      </w:r>
    </w:p>
    <w:p w14:paraId="521BD727" w14:textId="4EA03FDA" w:rsidR="00C00890" w:rsidRPr="00C00890" w:rsidRDefault="00C00890" w:rsidP="00C00890">
      <w:pPr>
        <w:pStyle w:val="ListParagraph"/>
        <w:numPr>
          <w:ilvl w:val="1"/>
          <w:numId w:val="11"/>
        </w:numPr>
        <w:spacing w:before="100" w:beforeAutospacing="1" w:after="100" w:afterAutospacing="1" w:line="360" w:lineRule="auto"/>
        <w:jc w:val="both"/>
        <w:rPr>
          <w:rFonts w:ascii="Times New Roman" w:hAnsi="Times New Roman" w:cs="Times New Roman"/>
          <w:color w:val="000000" w:themeColor="text1"/>
          <w:sz w:val="24"/>
          <w:szCs w:val="24"/>
        </w:rPr>
      </w:pPr>
      <w:r w:rsidRPr="00C00890">
        <w:rPr>
          <w:rFonts w:ascii="Times New Roman" w:hAnsi="Times New Roman" w:cs="Times New Roman"/>
          <w:b/>
          <w:bCs/>
          <w:sz w:val="24"/>
          <w:szCs w:val="24"/>
          <w:lang w:val="en-US"/>
        </w:rPr>
        <w:t>Synthetic Route to EGFPAN_EMBS</w:t>
      </w:r>
    </w:p>
    <w:p w14:paraId="1119C4E1" w14:textId="77777777" w:rsidR="00C00890" w:rsidRPr="00E86EA6" w:rsidRDefault="00C00890" w:rsidP="00C00890">
      <w:pPr>
        <w:spacing w:line="360" w:lineRule="auto"/>
        <w:jc w:val="both"/>
        <w:rPr>
          <w:rFonts w:ascii="Times New Roman" w:hAnsi="Times New Roman" w:cs="Times New Roman"/>
          <w:sz w:val="24"/>
          <w:szCs w:val="24"/>
          <w:lang w:val="en-GB"/>
        </w:rPr>
      </w:pPr>
      <w:r w:rsidRPr="00BB5F74">
        <w:rPr>
          <w:rFonts w:ascii="Times New Roman" w:hAnsi="Times New Roman" w:cs="Times New Roman"/>
          <w:sz w:val="24"/>
          <w:szCs w:val="24"/>
          <w:lang w:val="en-GB"/>
        </w:rPr>
        <w:lastRenderedPageBreak/>
        <w:t>EGFPAN_EMBS was synthesized via a multistep sequence involving protection of phenolic hydroxyl groups, preparation of a long-chain diacid chloride, Friedel–Crafts bis-acylation, reductive methylenation, and final deprotection.</w:t>
      </w:r>
      <w:r w:rsidRPr="00E86EA6">
        <w:rPr>
          <w:rFonts w:ascii="Times New Roman" w:hAnsi="Times New Roman" w:cs="Times New Roman"/>
          <w:sz w:val="24"/>
          <w:szCs w:val="24"/>
          <w:lang w:val="en-GB"/>
        </w:rPr>
        <w:t xml:space="preserve"> </w:t>
      </w:r>
      <w:r w:rsidRPr="00E86EA6">
        <w:rPr>
          <w:rFonts w:ascii="Times New Roman" w:hAnsi="Times New Roman" w:cs="Times New Roman"/>
          <w:sz w:val="24"/>
          <w:szCs w:val="24"/>
        </w:rPr>
        <w:t>For clarity in the ensuing synthetic description, the two aromatic moieties are designated as Ar–A and Ar–B, while the intervening aliphatic linker is denoted as –(CH₂)ₙ–.</w:t>
      </w:r>
    </w:p>
    <w:p w14:paraId="24A2B578" w14:textId="77777777" w:rsidR="00C00890" w:rsidRPr="00BB5F74" w:rsidRDefault="00C00890" w:rsidP="00C00890">
      <w:pPr>
        <w:spacing w:line="360" w:lineRule="auto"/>
        <w:jc w:val="both"/>
        <w:rPr>
          <w:rFonts w:ascii="Times New Roman" w:hAnsi="Times New Roman" w:cs="Times New Roman"/>
          <w:sz w:val="24"/>
          <w:szCs w:val="24"/>
          <w:lang w:val="en-GB"/>
        </w:rPr>
      </w:pPr>
      <w:r w:rsidRPr="00E86EA6">
        <w:rPr>
          <w:rFonts w:ascii="Times New Roman" w:hAnsi="Times New Roman" w:cs="Times New Roman"/>
          <w:b/>
          <w:bCs/>
          <w:sz w:val="24"/>
          <w:szCs w:val="24"/>
        </w:rPr>
        <w:t xml:space="preserve">Protection of Phenolic hydroxyl groups </w:t>
      </w:r>
      <w:r w:rsidRPr="00E86EA6">
        <w:rPr>
          <w:rFonts w:ascii="Times New Roman" w:eastAsia="Times New Roman" w:hAnsi="Times New Roman" w:cs="Times New Roman"/>
          <w:b/>
          <w:bCs/>
          <w:color w:val="000000" w:themeColor="text1"/>
          <w:sz w:val="24"/>
          <w:szCs w:val="24"/>
        </w:rPr>
        <w:t xml:space="preserve">(General procedure A): </w:t>
      </w:r>
      <w:r w:rsidRPr="00BB5F74">
        <w:rPr>
          <w:rFonts w:ascii="Times New Roman" w:hAnsi="Times New Roman" w:cs="Times New Roman"/>
          <w:sz w:val="24"/>
          <w:szCs w:val="24"/>
          <w:lang w:val="en-GB"/>
        </w:rPr>
        <w:t>EGFPAN_EMBS was synthesized via a multistep sequence involving protection of phenolic hydroxyl groups, preparation of a long-chain diacid chloride, Friedel–Crafts bis-acylation, reductive methylenation, and final deprotection.</w:t>
      </w:r>
    </w:p>
    <w:p w14:paraId="11188C3F" w14:textId="77777777" w:rsidR="00C00890" w:rsidRPr="00BB5F74" w:rsidRDefault="00C00890" w:rsidP="00C00890">
      <w:pPr>
        <w:spacing w:line="360" w:lineRule="auto"/>
        <w:jc w:val="both"/>
        <w:rPr>
          <w:rFonts w:ascii="Times New Roman" w:hAnsi="Times New Roman" w:cs="Times New Roman"/>
          <w:sz w:val="24"/>
          <w:szCs w:val="24"/>
          <w:lang w:val="en-GB"/>
        </w:rPr>
      </w:pPr>
      <w:r w:rsidRPr="00E86EA6">
        <w:rPr>
          <w:rFonts w:ascii="Times New Roman" w:hAnsi="Times New Roman" w:cs="Times New Roman"/>
          <w:b/>
          <w:bCs/>
          <w:sz w:val="24"/>
          <w:szCs w:val="24"/>
        </w:rPr>
        <w:t xml:space="preserve">Synthesis of Long-Chain Diacid Chloride (General Procedure B): </w:t>
      </w:r>
      <w:r w:rsidRPr="00BB5F74">
        <w:rPr>
          <w:rFonts w:ascii="Times New Roman" w:hAnsi="Times New Roman" w:cs="Times New Roman"/>
          <w:sz w:val="24"/>
          <w:szCs w:val="24"/>
          <w:lang w:val="en-GB"/>
        </w:rPr>
        <w:t>Long-chain diacids were converted to the corresponding acid chlorides using thionyl chloride in the presence of catalytic DMF under reflux conditions. Excess reagent was removed under reduced pressure, and the product was used directly in subsequent reactions.</w:t>
      </w:r>
    </w:p>
    <w:p w14:paraId="75C90395" w14:textId="77777777" w:rsidR="00C00890" w:rsidRPr="00BB5F74" w:rsidRDefault="00C00890" w:rsidP="00C00890">
      <w:pPr>
        <w:spacing w:line="360" w:lineRule="auto"/>
        <w:jc w:val="both"/>
        <w:rPr>
          <w:rFonts w:ascii="Times New Roman" w:hAnsi="Times New Roman" w:cs="Times New Roman"/>
          <w:sz w:val="24"/>
          <w:szCs w:val="24"/>
          <w:lang w:val="en-GB"/>
        </w:rPr>
      </w:pPr>
      <w:r w:rsidRPr="00E86EA6">
        <w:rPr>
          <w:rFonts w:ascii="Times New Roman" w:hAnsi="Times New Roman" w:cs="Times New Roman"/>
          <w:b/>
          <w:bCs/>
          <w:sz w:val="24"/>
          <w:szCs w:val="24"/>
        </w:rPr>
        <w:t xml:space="preserve">Friedel–Crafts Bis-Acylation to Form Diaryl Diketone (General Procedure C): </w:t>
      </w:r>
      <w:r w:rsidRPr="00BB5F74">
        <w:rPr>
          <w:rFonts w:ascii="Times New Roman" w:hAnsi="Times New Roman" w:cs="Times New Roman"/>
          <w:sz w:val="24"/>
          <w:szCs w:val="24"/>
          <w:lang w:val="en-GB"/>
        </w:rPr>
        <w:t>Protected aromatic intermediates were subjected to Friedel–Crafts acylation using aluminium chloride in anhydrous solvent at low temperature, followed by gradual warming to room temperature. The reaction was quenched, and the crude product was purified by column chromatography to yield the diaryl diketone intermediate.</w:t>
      </w:r>
    </w:p>
    <w:p w14:paraId="3B9B5BE6" w14:textId="77777777" w:rsidR="00C00890" w:rsidRPr="00BB5F74" w:rsidRDefault="00C00890" w:rsidP="00C00890">
      <w:pPr>
        <w:spacing w:line="360" w:lineRule="auto"/>
        <w:jc w:val="both"/>
        <w:rPr>
          <w:rFonts w:ascii="Times New Roman" w:hAnsi="Times New Roman" w:cs="Times New Roman"/>
          <w:sz w:val="24"/>
          <w:szCs w:val="24"/>
          <w:lang w:val="en-GB"/>
        </w:rPr>
      </w:pPr>
      <w:r w:rsidRPr="00E86EA6">
        <w:rPr>
          <w:rFonts w:ascii="Times New Roman" w:hAnsi="Times New Roman" w:cs="Times New Roman"/>
          <w:b/>
          <w:bCs/>
          <w:sz w:val="24"/>
          <w:szCs w:val="24"/>
        </w:rPr>
        <w:t xml:space="preserve">Reductive Methylenation </w:t>
      </w:r>
      <w:r w:rsidRPr="00E86EA6">
        <w:rPr>
          <w:rFonts w:ascii="Times New Roman" w:eastAsia="Times New Roman" w:hAnsi="Times New Roman" w:cs="Times New Roman"/>
          <w:b/>
          <w:bCs/>
          <w:color w:val="000000" w:themeColor="text1"/>
          <w:sz w:val="24"/>
          <w:szCs w:val="24"/>
        </w:rPr>
        <w:t xml:space="preserve">(Wolff–Kishner Reduction) </w:t>
      </w:r>
      <w:r w:rsidRPr="00E86EA6">
        <w:rPr>
          <w:rFonts w:ascii="Times New Roman" w:hAnsi="Times New Roman" w:cs="Times New Roman"/>
          <w:b/>
          <w:bCs/>
          <w:sz w:val="24"/>
          <w:szCs w:val="24"/>
        </w:rPr>
        <w:t xml:space="preserve">of Diketone to Diarylalkane (General Procedure D): </w:t>
      </w:r>
      <w:r w:rsidRPr="00BB5F74">
        <w:rPr>
          <w:rFonts w:ascii="Times New Roman" w:hAnsi="Times New Roman" w:cs="Times New Roman"/>
          <w:sz w:val="24"/>
          <w:szCs w:val="24"/>
          <w:lang w:val="en-GB"/>
        </w:rPr>
        <w:t>The diketone intermediate was reduced under Wolff–Kishner conditions using hydrazine hydrate and base at elevated temperature to afford the corresponding diarylalkane. The product was isolated by standard workup and purified by chromatography.</w:t>
      </w:r>
    </w:p>
    <w:p w14:paraId="52214844" w14:textId="77777777" w:rsidR="00C00890" w:rsidRDefault="00C00890" w:rsidP="00C00890">
      <w:pPr>
        <w:spacing w:before="100" w:beforeAutospacing="1" w:after="100" w:afterAutospacing="1" w:line="360" w:lineRule="auto"/>
        <w:jc w:val="both"/>
        <w:outlineLvl w:val="2"/>
        <w:rPr>
          <w:rFonts w:ascii="Times New Roman" w:hAnsi="Times New Roman" w:cs="Times New Roman"/>
          <w:sz w:val="24"/>
          <w:szCs w:val="24"/>
          <w:lang w:val="en-GB"/>
        </w:rPr>
      </w:pPr>
      <w:r w:rsidRPr="00E86EA6">
        <w:rPr>
          <w:rFonts w:ascii="Times New Roman" w:hAnsi="Times New Roman" w:cs="Times New Roman"/>
          <w:b/>
          <w:bCs/>
          <w:sz w:val="24"/>
          <w:szCs w:val="24"/>
        </w:rPr>
        <w:t xml:space="preserve">Deprotection of Phenolic Acetates (General procedure E): </w:t>
      </w:r>
      <w:r w:rsidRPr="00BB5F74">
        <w:rPr>
          <w:rFonts w:ascii="Times New Roman" w:hAnsi="Times New Roman" w:cs="Times New Roman"/>
          <w:sz w:val="24"/>
          <w:szCs w:val="24"/>
          <w:lang w:val="en-GB"/>
        </w:rPr>
        <w:t>Final deprotection of phenolic acetates was achieved under mild basic conditions in methanol. The reaction mixture was quenched, extracted, and purified to afford EGFPAN_EMBS as the final product.</w:t>
      </w:r>
    </w:p>
    <w:p w14:paraId="61DE3E01" w14:textId="4D676EB5" w:rsidR="00C00890" w:rsidRPr="00C00890" w:rsidRDefault="00C00890" w:rsidP="00C00890">
      <w:pPr>
        <w:pStyle w:val="ListParagraph"/>
        <w:numPr>
          <w:ilvl w:val="1"/>
          <w:numId w:val="11"/>
        </w:numPr>
        <w:spacing w:before="100" w:beforeAutospacing="1" w:after="100" w:afterAutospacing="1" w:line="360" w:lineRule="auto"/>
        <w:jc w:val="both"/>
        <w:rPr>
          <w:rFonts w:ascii="Times New Roman" w:hAnsi="Times New Roman" w:cs="Times New Roman"/>
          <w:color w:val="000000" w:themeColor="text1"/>
          <w:sz w:val="24"/>
          <w:szCs w:val="24"/>
        </w:rPr>
      </w:pPr>
      <w:bookmarkStart w:id="1" w:name="_Hlk227661062"/>
      <w:r w:rsidRPr="00C00890">
        <w:rPr>
          <w:rFonts w:ascii="Times New Roman" w:eastAsia="Times New Roman" w:hAnsi="Times New Roman" w:cs="Times New Roman"/>
          <w:b/>
          <w:bCs/>
          <w:color w:val="000000" w:themeColor="text1"/>
          <w:sz w:val="24"/>
          <w:szCs w:val="24"/>
        </w:rPr>
        <w:t>Analytical Characterization and Purification</w:t>
      </w:r>
    </w:p>
    <w:p w14:paraId="25FD9C62" w14:textId="77777777" w:rsidR="00C00890" w:rsidRPr="00913C62" w:rsidRDefault="00C00890" w:rsidP="00C00890">
      <w:pPr>
        <w:spacing w:line="360" w:lineRule="auto"/>
        <w:jc w:val="both"/>
        <w:rPr>
          <w:rFonts w:ascii="Times New Roman" w:hAnsi="Times New Roman" w:cs="Times New Roman"/>
          <w:sz w:val="24"/>
          <w:szCs w:val="24"/>
        </w:rPr>
      </w:pPr>
      <w:r w:rsidRPr="00913C62">
        <w:rPr>
          <w:rFonts w:ascii="Times New Roman" w:hAnsi="Times New Roman" w:cs="Times New Roman"/>
          <w:sz w:val="24"/>
          <w:szCs w:val="24"/>
        </w:rPr>
        <w:t xml:space="preserve">NMR spectra were recorded at 298 K on a 400 MHz spectrometer. Samples of EGFPAN_EMBS were prepared in CDCl₃ or DMSO-d₆ as required, and chemical shifts (δ) are reported in ppm relative to residual solvent signals. Coupling constants (J) are given in Hz. </w:t>
      </w:r>
      <w:r w:rsidRPr="00913C62">
        <w:rPr>
          <w:rFonts w:ascii="Times New Roman" w:hAnsi="Times New Roman" w:cs="Times New Roman"/>
          <w:sz w:val="24"/>
          <w:szCs w:val="24"/>
        </w:rPr>
        <w:lastRenderedPageBreak/>
        <w:t>Spectra were processed using standard procedures, and a combination of ¹H, ¹³C{¹H}, DEPT-135, COSY, HSQC, and HMBC experiments was employed for structural assignment.</w:t>
      </w:r>
      <w:r w:rsidRPr="00E86EA6">
        <w:rPr>
          <w:rFonts w:ascii="Times New Roman" w:hAnsi="Times New Roman" w:cs="Times New Roman"/>
          <w:sz w:val="24"/>
          <w:szCs w:val="24"/>
        </w:rPr>
        <w:t xml:space="preserve"> </w:t>
      </w:r>
      <w:r w:rsidRPr="00913C62">
        <w:rPr>
          <w:rFonts w:ascii="Times New Roman" w:hAnsi="Times New Roman" w:cs="Times New Roman"/>
          <w:sz w:val="24"/>
          <w:szCs w:val="24"/>
        </w:rPr>
        <w:t>High-resolution mass spectrometry (HRMS) analyses were performed using an Orbitrap-based mass spectrometer operating in positive electrospray ionization mode. Samples were prepared in methanol containing 0.1% formic acid and analyzed using standard acquisition parameters.</w:t>
      </w:r>
    </w:p>
    <w:p w14:paraId="0D652449" w14:textId="610BB220" w:rsidR="00C00890" w:rsidRPr="00A44D9B" w:rsidRDefault="00C00890" w:rsidP="00A44D9B">
      <w:pPr>
        <w:pStyle w:val="NormalWeb"/>
        <w:spacing w:line="360" w:lineRule="auto"/>
        <w:jc w:val="both"/>
        <w:rPr>
          <w:lang w:val="en-GB"/>
        </w:rPr>
      </w:pPr>
      <w:r w:rsidRPr="00913C62">
        <w:t>Analytical purity was determined by reverse-phase HPLC using a C18 column with water/acetonitrile mobile phases containing 0.1% formic acid. The final compound exhibited purity greater than 98%. Synthesis reproducibility was confirmed across multiple batches.</w:t>
      </w:r>
      <w:r w:rsidR="00A44D9B">
        <w:t xml:space="preserve"> </w:t>
      </w:r>
      <w:r w:rsidR="00A44D9B" w:rsidRPr="00801DAF">
        <w:rPr>
          <w:lang w:val="en-GB"/>
        </w:rPr>
        <w:t xml:space="preserve">The novel compound EGFPAN_EMBS has been submitted to the NCBI PubChem database under PubChem CID: </w:t>
      </w:r>
      <w:r w:rsidR="00A44D9B" w:rsidRPr="00801DAF">
        <w:t>10972272</w:t>
      </w:r>
      <w:r w:rsidR="00A44D9B" w:rsidRPr="00801DAF">
        <w:rPr>
          <w:lang w:val="en-GB"/>
        </w:rPr>
        <w:t xml:space="preserve">  and SID </w:t>
      </w:r>
      <w:r w:rsidR="00A44D9B" w:rsidRPr="00801DAF">
        <w:t>528216732</w:t>
      </w:r>
    </w:p>
    <w:p w14:paraId="7C2DBF56" w14:textId="77777777" w:rsidR="00C00890" w:rsidRPr="00C00890" w:rsidRDefault="00C00890" w:rsidP="00C00890">
      <w:pPr>
        <w:pStyle w:val="ListParagraph"/>
        <w:numPr>
          <w:ilvl w:val="0"/>
          <w:numId w:val="4"/>
        </w:numPr>
        <w:spacing w:before="100" w:beforeAutospacing="1" w:after="100" w:afterAutospacing="1" w:line="360" w:lineRule="auto"/>
        <w:jc w:val="both"/>
        <w:rPr>
          <w:rFonts w:ascii="Times New Roman" w:hAnsi="Times New Roman" w:cs="Times New Roman"/>
          <w:sz w:val="24"/>
          <w:szCs w:val="24"/>
        </w:rPr>
      </w:pPr>
      <w:r w:rsidRPr="00E86EA6">
        <w:rPr>
          <w:rFonts w:ascii="Times New Roman" w:hAnsi="Times New Roman" w:cs="Times New Roman"/>
          <w:b/>
          <w:bCs/>
          <w:sz w:val="24"/>
          <w:szCs w:val="24"/>
          <w:lang w:val="en-US"/>
        </w:rPr>
        <w:t>Experimental validation of EGFPAN_EMBS</w:t>
      </w:r>
    </w:p>
    <w:p w14:paraId="021236A4" w14:textId="77777777" w:rsidR="00C00890" w:rsidRDefault="00C00890" w:rsidP="00C00890">
      <w:pPr>
        <w:spacing w:before="100" w:beforeAutospacing="1" w:after="100" w:afterAutospacing="1" w:line="360" w:lineRule="auto"/>
        <w:jc w:val="both"/>
        <w:rPr>
          <w:rFonts w:ascii="Times New Roman" w:hAnsi="Times New Roman" w:cs="Times New Roman"/>
          <w:sz w:val="24"/>
          <w:szCs w:val="24"/>
        </w:rPr>
      </w:pPr>
      <w:r w:rsidRPr="00E86EA6">
        <w:rPr>
          <w:rFonts w:ascii="Times New Roman" w:hAnsi="Times New Roman" w:cs="Times New Roman"/>
          <w:sz w:val="24"/>
          <w:szCs w:val="24"/>
        </w:rPr>
        <w:t xml:space="preserve">All biochemical and cellular assays were performed under optimized conditions using appropriate controls and standard protocols. </w:t>
      </w:r>
    </w:p>
    <w:p w14:paraId="0FC6D060" w14:textId="0F35DDF7" w:rsidR="00C00890" w:rsidRPr="00C00890" w:rsidRDefault="00C00890" w:rsidP="00C00890">
      <w:pPr>
        <w:pStyle w:val="ListParagraph"/>
        <w:numPr>
          <w:ilvl w:val="1"/>
          <w:numId w:val="12"/>
        </w:numPr>
        <w:spacing w:before="100" w:beforeAutospacing="1" w:after="100" w:afterAutospacing="1" w:line="360" w:lineRule="auto"/>
        <w:jc w:val="both"/>
        <w:rPr>
          <w:rFonts w:ascii="Times New Roman" w:hAnsi="Times New Roman" w:cs="Times New Roman"/>
          <w:sz w:val="24"/>
          <w:szCs w:val="24"/>
        </w:rPr>
      </w:pPr>
      <w:r w:rsidRPr="00C00890">
        <w:rPr>
          <w:rFonts w:ascii="Times New Roman" w:hAnsi="Times New Roman" w:cs="Times New Roman"/>
          <w:b/>
          <w:bCs/>
          <w:sz w:val="24"/>
          <w:szCs w:val="24"/>
        </w:rPr>
        <w:t>EGFR Kinase Inhibition and Binding Analysis</w:t>
      </w:r>
    </w:p>
    <w:p w14:paraId="5934BF74" w14:textId="2AB6FD8A" w:rsidR="00C00890" w:rsidRDefault="00C00890" w:rsidP="00C00890">
      <w:pPr>
        <w:spacing w:line="360" w:lineRule="auto"/>
        <w:jc w:val="both"/>
        <w:rPr>
          <w:rFonts w:ascii="Times New Roman" w:hAnsi="Times New Roman" w:cs="Times New Roman"/>
          <w:sz w:val="24"/>
          <w:szCs w:val="24"/>
        </w:rPr>
      </w:pPr>
      <w:r w:rsidRPr="00E86EA6">
        <w:rPr>
          <w:rFonts w:ascii="Times New Roman" w:hAnsi="Times New Roman" w:cs="Times New Roman"/>
          <w:sz w:val="24"/>
          <w:szCs w:val="24"/>
        </w:rPr>
        <w:t>EGFR kinase activity was evaluated using a luminescent ADP detection assay (ADP-Glo™, Promega) following the manufacturer’s protocol. Compounds were tested over a concentration range of 0.1 nM to 100 µM, with erlotinib and PubChem 5315659 used as reference controls. Luminescence was measured using a microplate reader, and IC₅₀ values were determined by non-linear regression analysis. Binding kinetics were assessed using surface plasmon resonance on a Biacore T200 system. EGFR was immobilized on CM5 sensor chips, and analytes were injected under continuous flow. Sensorgrams were fitted to a 1:1 binding model to obtain kinetic and affinity parameters</w:t>
      </w:r>
      <w:r w:rsidR="00EA352C" w:rsidRPr="00F305FC">
        <w:rPr>
          <w:rFonts w:ascii="Times New Roman" w:hAnsi="Times New Roman" w:cs="Times New Roman"/>
          <w:sz w:val="24"/>
          <w:szCs w:val="24"/>
        </w:rPr>
        <w:t>.</w:t>
      </w:r>
    </w:p>
    <w:p w14:paraId="57A1A80B" w14:textId="615ADE52" w:rsidR="00C00890" w:rsidRPr="00C00890" w:rsidRDefault="00C00890" w:rsidP="00C00890">
      <w:pPr>
        <w:pStyle w:val="ListParagraph"/>
        <w:numPr>
          <w:ilvl w:val="1"/>
          <w:numId w:val="12"/>
        </w:numPr>
        <w:spacing w:before="100" w:beforeAutospacing="1" w:after="100" w:afterAutospacing="1" w:line="360" w:lineRule="auto"/>
        <w:jc w:val="both"/>
        <w:rPr>
          <w:rFonts w:ascii="Times New Roman" w:hAnsi="Times New Roman" w:cs="Times New Roman"/>
          <w:sz w:val="24"/>
          <w:szCs w:val="24"/>
        </w:rPr>
      </w:pPr>
      <w:r w:rsidRPr="00C00890">
        <w:rPr>
          <w:rFonts w:ascii="Times New Roman" w:hAnsi="Times New Roman" w:cs="Times New Roman"/>
          <w:b/>
          <w:bCs/>
          <w:sz w:val="24"/>
          <w:szCs w:val="24"/>
        </w:rPr>
        <w:t>Western Blot Analysis</w:t>
      </w:r>
    </w:p>
    <w:p w14:paraId="6FB8A534" w14:textId="700C0E4E" w:rsidR="00C00890" w:rsidRDefault="00C00890" w:rsidP="00C00890">
      <w:pPr>
        <w:spacing w:line="360" w:lineRule="auto"/>
        <w:jc w:val="both"/>
        <w:rPr>
          <w:rFonts w:ascii="Times New Roman" w:hAnsi="Times New Roman" w:cs="Times New Roman"/>
          <w:sz w:val="24"/>
          <w:szCs w:val="24"/>
        </w:rPr>
      </w:pPr>
      <w:r w:rsidRPr="00E86EA6">
        <w:rPr>
          <w:rFonts w:ascii="Times New Roman" w:hAnsi="Times New Roman" w:cs="Times New Roman"/>
          <w:sz w:val="24"/>
          <w:szCs w:val="24"/>
        </w:rPr>
        <w:t>Cells were treated with EGFPAN_EMBS and reference compounds at EC₅₀ concentrations. Whole-cell lysates were prepared, and protein concentrations were determined using a BCA assay. Equal amounts of protein were resolved by SDS–PAGE, transferred to PVDF membranes, and probed with antibodies against phosphorylated and total EGFR, AKT, ERK1/2, and β-actin.</w:t>
      </w:r>
      <w:r w:rsidR="00EA352C">
        <w:rPr>
          <w:rFonts w:ascii="Times New Roman" w:hAnsi="Times New Roman" w:cs="Times New Roman"/>
          <w:sz w:val="24"/>
          <w:szCs w:val="24"/>
        </w:rPr>
        <w:t xml:space="preserve"> </w:t>
      </w:r>
      <w:r w:rsidRPr="00E86EA6">
        <w:rPr>
          <w:rFonts w:ascii="Times New Roman" w:hAnsi="Times New Roman" w:cs="Times New Roman"/>
          <w:sz w:val="24"/>
          <w:szCs w:val="24"/>
        </w:rPr>
        <w:t>Protein bands were visualized using a chemiluminescence imaging system, and densitometric analysis was performed using ImageJ</w:t>
      </w:r>
      <w:r w:rsidR="00E86A82">
        <w:rPr>
          <w:rFonts w:ascii="Times New Roman" w:hAnsi="Times New Roman" w:cs="Times New Roman"/>
          <w:sz w:val="24"/>
          <w:szCs w:val="24"/>
        </w:rPr>
        <w:t>.</w:t>
      </w:r>
    </w:p>
    <w:p w14:paraId="3D04194A" w14:textId="7E453533" w:rsidR="00C00890" w:rsidRPr="00C00890" w:rsidRDefault="00C00890" w:rsidP="00C00890">
      <w:pPr>
        <w:pStyle w:val="ListParagraph"/>
        <w:numPr>
          <w:ilvl w:val="1"/>
          <w:numId w:val="12"/>
        </w:numPr>
        <w:spacing w:before="100" w:beforeAutospacing="1" w:after="100" w:afterAutospacing="1" w:line="360" w:lineRule="auto"/>
        <w:jc w:val="both"/>
        <w:rPr>
          <w:rFonts w:ascii="Times New Roman" w:hAnsi="Times New Roman" w:cs="Times New Roman"/>
          <w:sz w:val="24"/>
          <w:szCs w:val="24"/>
        </w:rPr>
      </w:pPr>
      <w:r w:rsidRPr="00C00890">
        <w:rPr>
          <w:rFonts w:ascii="Times New Roman" w:hAnsi="Times New Roman" w:cs="Times New Roman"/>
          <w:b/>
          <w:bCs/>
          <w:sz w:val="24"/>
          <w:szCs w:val="24"/>
        </w:rPr>
        <w:lastRenderedPageBreak/>
        <w:t>Cell Viability, Apoptosis, and Cell Cycle Analysis</w:t>
      </w:r>
    </w:p>
    <w:p w14:paraId="614AFF6D" w14:textId="00987261" w:rsidR="00C00890" w:rsidRPr="00C00890" w:rsidRDefault="00C00890" w:rsidP="00C00890">
      <w:pPr>
        <w:spacing w:before="100" w:beforeAutospacing="1" w:after="100" w:afterAutospacing="1" w:line="360" w:lineRule="auto"/>
        <w:jc w:val="both"/>
        <w:rPr>
          <w:rFonts w:ascii="Times New Roman" w:hAnsi="Times New Roman" w:cs="Times New Roman"/>
          <w:sz w:val="24"/>
          <w:szCs w:val="24"/>
        </w:rPr>
      </w:pPr>
      <w:r w:rsidRPr="00C00890">
        <w:rPr>
          <w:rFonts w:ascii="Times New Roman" w:hAnsi="Times New Roman" w:cs="Times New Roman"/>
          <w:sz w:val="24"/>
          <w:szCs w:val="24"/>
        </w:rPr>
        <w:t>Cell viability was assessed using the MTT assay following 48 h treatment with test compounds. Apoptosis was evaluated using Annexin V-FITC/PI staining and caspase-3/7 activity assays</w:t>
      </w:r>
      <w:r w:rsidR="00EA352C">
        <w:rPr>
          <w:rFonts w:ascii="Times New Roman" w:hAnsi="Times New Roman" w:cs="Times New Roman"/>
          <w:sz w:val="24"/>
          <w:szCs w:val="24"/>
        </w:rPr>
        <w:t xml:space="preserve"> </w:t>
      </w:r>
      <w:r w:rsidR="00D22C71" w:rsidRPr="00D22C71">
        <w:rPr>
          <w:rFonts w:ascii="Times New Roman" w:hAnsi="Times New Roman" w:cs="Times New Roman"/>
          <w:sz w:val="24"/>
        </w:rPr>
        <w:t>(74)</w:t>
      </w:r>
      <w:r w:rsidRPr="00C00890">
        <w:rPr>
          <w:rFonts w:ascii="Times New Roman" w:hAnsi="Times New Roman" w:cs="Times New Roman"/>
          <w:sz w:val="24"/>
          <w:szCs w:val="24"/>
        </w:rPr>
        <w:t>. Cell-cycle distribution was determined by flow cytometry following PI staining. Pancreatic cancer cell lines (PANC-1, MIA PaCa-2, BxPC-3, AsPC-1) were cultured under standard conditions, with HPDE and HEK293 cells used as non-tumorigenic controls</w:t>
      </w:r>
      <w:r w:rsidR="00EA352C">
        <w:rPr>
          <w:rFonts w:ascii="Times New Roman" w:hAnsi="Times New Roman" w:cs="Times New Roman"/>
          <w:sz w:val="24"/>
          <w:szCs w:val="24"/>
        </w:rPr>
        <w:t xml:space="preserve"> </w:t>
      </w:r>
      <w:r w:rsidR="00E86A82">
        <w:rPr>
          <w:rFonts w:ascii="Times New Roman" w:hAnsi="Times New Roman" w:cs="Times New Roman"/>
          <w:sz w:val="24"/>
        </w:rPr>
        <w:t>[11</w:t>
      </w:r>
      <w:r w:rsidR="006E4D62">
        <w:rPr>
          <w:rFonts w:ascii="Times New Roman" w:hAnsi="Times New Roman" w:cs="Times New Roman"/>
          <w:sz w:val="24"/>
        </w:rPr>
        <w:t>2</w:t>
      </w:r>
      <w:r w:rsidR="00E86A82">
        <w:rPr>
          <w:rFonts w:ascii="Times New Roman" w:hAnsi="Times New Roman" w:cs="Times New Roman"/>
          <w:sz w:val="24"/>
        </w:rPr>
        <w:t>]</w:t>
      </w:r>
      <w:r w:rsidR="00EA352C" w:rsidRPr="00E56948">
        <w:rPr>
          <w:rFonts w:ascii="Times New Roman" w:hAnsi="Times New Roman" w:cs="Times New Roman"/>
          <w:sz w:val="24"/>
          <w:szCs w:val="24"/>
        </w:rPr>
        <w:t>.</w:t>
      </w:r>
    </w:p>
    <w:p w14:paraId="2DB42B63" w14:textId="32156866" w:rsidR="00C00890" w:rsidRPr="00C00890" w:rsidRDefault="00C00890" w:rsidP="00C00890">
      <w:pPr>
        <w:pStyle w:val="ListParagraph"/>
        <w:numPr>
          <w:ilvl w:val="1"/>
          <w:numId w:val="12"/>
        </w:numPr>
        <w:spacing w:before="100" w:beforeAutospacing="1" w:after="100" w:afterAutospacing="1" w:line="360" w:lineRule="auto"/>
        <w:jc w:val="both"/>
        <w:rPr>
          <w:rFonts w:ascii="Times New Roman" w:hAnsi="Times New Roman" w:cs="Times New Roman"/>
          <w:sz w:val="24"/>
          <w:szCs w:val="24"/>
        </w:rPr>
      </w:pPr>
      <w:r w:rsidRPr="00C00890">
        <w:rPr>
          <w:rFonts w:ascii="Times New Roman" w:hAnsi="Times New Roman" w:cs="Times New Roman"/>
          <w:b/>
          <w:bCs/>
          <w:sz w:val="24"/>
          <w:szCs w:val="24"/>
        </w:rPr>
        <w:t>Migration, Invasion, and Clonogenic Assays</w:t>
      </w:r>
    </w:p>
    <w:p w14:paraId="73F14403" w14:textId="77777777" w:rsidR="00C00890" w:rsidRPr="00C00890" w:rsidRDefault="00C00890" w:rsidP="00C00890">
      <w:pPr>
        <w:spacing w:line="360" w:lineRule="auto"/>
        <w:jc w:val="both"/>
        <w:rPr>
          <w:rFonts w:ascii="Times New Roman" w:hAnsi="Times New Roman" w:cs="Times New Roman"/>
          <w:sz w:val="24"/>
          <w:szCs w:val="24"/>
        </w:rPr>
      </w:pPr>
      <w:r w:rsidRPr="00C00890">
        <w:rPr>
          <w:rFonts w:ascii="Times New Roman" w:hAnsi="Times New Roman" w:cs="Times New Roman"/>
          <w:sz w:val="24"/>
          <w:szCs w:val="24"/>
        </w:rPr>
        <w:t>Cell migration was assessed using a scratch wound-healing assay, and invasion was evaluated using Matrigel-coated Transwell inserts. Clonogenic survival assays were performed to determine long-term proliferative capacity following compound treatment.</w:t>
      </w:r>
    </w:p>
    <w:p w14:paraId="252B2445" w14:textId="1B7F26B8" w:rsidR="00C00890" w:rsidRPr="00C00890" w:rsidRDefault="00C00890" w:rsidP="00C00890">
      <w:pPr>
        <w:pStyle w:val="ListParagraph"/>
        <w:numPr>
          <w:ilvl w:val="1"/>
          <w:numId w:val="12"/>
        </w:numPr>
        <w:spacing w:before="100" w:beforeAutospacing="1" w:after="100" w:afterAutospacing="1" w:line="360" w:lineRule="auto"/>
        <w:jc w:val="both"/>
        <w:rPr>
          <w:rFonts w:ascii="Times New Roman" w:hAnsi="Times New Roman" w:cs="Times New Roman"/>
          <w:sz w:val="24"/>
          <w:szCs w:val="24"/>
        </w:rPr>
      </w:pPr>
      <w:r w:rsidRPr="00C00890">
        <w:rPr>
          <w:rFonts w:ascii="Times New Roman" w:hAnsi="Times New Roman" w:cs="Times New Roman"/>
          <w:b/>
          <w:bCs/>
          <w:sz w:val="24"/>
          <w:szCs w:val="24"/>
        </w:rPr>
        <w:t>Three-Dimensional Spheroid Assay</w:t>
      </w:r>
    </w:p>
    <w:p w14:paraId="031B3ACB" w14:textId="47F4A462" w:rsidR="00C00890" w:rsidRPr="00264AD5" w:rsidRDefault="00C00890" w:rsidP="00C00890">
      <w:pPr>
        <w:spacing w:line="360" w:lineRule="auto"/>
        <w:jc w:val="both"/>
        <w:rPr>
          <w:rFonts w:ascii="Times New Roman" w:hAnsi="Times New Roman" w:cs="Times New Roman"/>
          <w:sz w:val="24"/>
          <w:szCs w:val="24"/>
        </w:rPr>
      </w:pPr>
      <w:r w:rsidRPr="00264AD5">
        <w:rPr>
          <w:rFonts w:ascii="Times New Roman" w:hAnsi="Times New Roman" w:cs="Times New Roman"/>
          <w:sz w:val="24"/>
          <w:szCs w:val="24"/>
        </w:rPr>
        <w:t>Three-dimensional spheroid models were generated using pancreatic cancer cell lines cultured in ultra-low-attachment conditions</w:t>
      </w:r>
      <w:r w:rsidR="00DA0D9A">
        <w:rPr>
          <w:rFonts w:ascii="Times New Roman" w:hAnsi="Times New Roman" w:cs="Times New Roman"/>
          <w:sz w:val="24"/>
          <w:szCs w:val="24"/>
        </w:rPr>
        <w:t xml:space="preserve">. </w:t>
      </w:r>
      <w:r w:rsidRPr="00264AD5">
        <w:rPr>
          <w:rFonts w:ascii="Times New Roman" w:hAnsi="Times New Roman" w:cs="Times New Roman"/>
          <w:sz w:val="24"/>
          <w:szCs w:val="24"/>
        </w:rPr>
        <w:t>Spheroids were treated with test compounds, and growth inhibition was assessed by measuring spheroid size relative to untreated controls</w:t>
      </w:r>
      <w:r w:rsidR="00EA352C" w:rsidRPr="00C36EC2">
        <w:rPr>
          <w:rFonts w:ascii="Times New Roman" w:hAnsi="Times New Roman" w:cs="Times New Roman"/>
          <w:sz w:val="24"/>
          <w:szCs w:val="24"/>
        </w:rPr>
        <w:t>.</w:t>
      </w:r>
    </w:p>
    <w:p w14:paraId="27CBABA2" w14:textId="52B1790A" w:rsidR="00C00890" w:rsidRPr="00C00890" w:rsidRDefault="00C00890" w:rsidP="00C00890">
      <w:pPr>
        <w:pStyle w:val="ListParagraph"/>
        <w:numPr>
          <w:ilvl w:val="1"/>
          <w:numId w:val="12"/>
        </w:numPr>
        <w:spacing w:before="100" w:beforeAutospacing="1" w:after="100" w:afterAutospacing="1" w:line="360" w:lineRule="auto"/>
        <w:jc w:val="both"/>
        <w:rPr>
          <w:rFonts w:ascii="Times New Roman" w:hAnsi="Times New Roman" w:cs="Times New Roman"/>
          <w:sz w:val="24"/>
          <w:szCs w:val="24"/>
        </w:rPr>
      </w:pPr>
      <w:r w:rsidRPr="00C00890">
        <w:rPr>
          <w:rFonts w:ascii="Times New Roman" w:hAnsi="Times New Roman" w:cs="Times New Roman"/>
          <w:b/>
          <w:bCs/>
          <w:sz w:val="24"/>
          <w:szCs w:val="24"/>
        </w:rPr>
        <w:t>ADME/Toxicity Profiling</w:t>
      </w:r>
    </w:p>
    <w:p w14:paraId="27422C60" w14:textId="4ABE3543" w:rsidR="00C00890" w:rsidRDefault="00C00890" w:rsidP="00C00890">
      <w:pPr>
        <w:spacing w:line="360" w:lineRule="auto"/>
        <w:jc w:val="both"/>
        <w:rPr>
          <w:rFonts w:ascii="Times New Roman" w:hAnsi="Times New Roman" w:cs="Times New Roman"/>
          <w:sz w:val="24"/>
          <w:szCs w:val="24"/>
        </w:rPr>
      </w:pPr>
      <w:r w:rsidRPr="00E86EA6">
        <w:rPr>
          <w:rFonts w:ascii="Times New Roman" w:hAnsi="Times New Roman" w:cs="Times New Roman"/>
          <w:sz w:val="24"/>
          <w:szCs w:val="24"/>
        </w:rPr>
        <w:t>In vitro pharmacokinetic and safety assessments were performed using standardized assays (Eurofins Discovery). hERG inhibition was evaluated using automated patch-clamp electrophysiology. Cytochrome P450 inhibition (CYP3A4, CYP2D6, CYP2C9), microsomal stability, plasma protein binding, and solubility were determined using established protocols.</w:t>
      </w:r>
      <w:r w:rsidR="00EA352C">
        <w:rPr>
          <w:rFonts w:ascii="Times New Roman" w:hAnsi="Times New Roman" w:cs="Times New Roman"/>
          <w:sz w:val="24"/>
          <w:szCs w:val="24"/>
        </w:rPr>
        <w:t xml:space="preserve"> </w:t>
      </w:r>
      <w:r w:rsidRPr="00E86EA6">
        <w:rPr>
          <w:rFonts w:ascii="Times New Roman" w:hAnsi="Times New Roman" w:cs="Times New Roman"/>
          <w:sz w:val="24"/>
          <w:szCs w:val="24"/>
        </w:rPr>
        <w:t>Each experiment was performed in triplicate unless otherwise stated. Data are presented as mean ± standard deviation, and statistical analysis was conducted using GraphPad Prism (v9.0), with statistical significance defined as p &lt; 0.05.</w:t>
      </w:r>
      <w:bookmarkEnd w:id="1"/>
    </w:p>
    <w:p w14:paraId="7C8B32CD" w14:textId="77777777" w:rsidR="00E86A82" w:rsidRPr="00A026DE" w:rsidRDefault="00E86A82" w:rsidP="00E86A82">
      <w:pPr>
        <w:spacing w:line="240" w:lineRule="auto"/>
        <w:jc w:val="both"/>
        <w:rPr>
          <w:rFonts w:ascii="Times New Roman" w:hAnsi="Times New Roman" w:cs="Times New Roman"/>
          <w:b/>
          <w:bCs/>
          <w:color w:val="000000" w:themeColor="text1"/>
          <w:sz w:val="24"/>
          <w:szCs w:val="24"/>
        </w:rPr>
      </w:pPr>
      <w:r w:rsidRPr="00A026DE">
        <w:rPr>
          <w:rFonts w:ascii="Times New Roman" w:hAnsi="Times New Roman" w:cs="Times New Roman"/>
          <w:b/>
          <w:bCs/>
          <w:color w:val="000000" w:themeColor="text1"/>
          <w:sz w:val="24"/>
          <w:szCs w:val="24"/>
        </w:rPr>
        <w:t>References</w:t>
      </w:r>
    </w:p>
    <w:p w14:paraId="0328CB74"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Praseetha S, Bandaru S, Nayarisseri A, Sureshkumar S. Pharmacological Analysis of Vorinostat Analogues as Potential Anti-tumor Agents Targeting Human Histone Deacetylases: an Epigenetic Treatment Stratagem for Cancers. Asian Pacific Journal of Cancer Prevention. 2016 Apr 11;17(3):1571–6. doi:10.7314/APJCP.2016.17.3.1571</w:t>
      </w:r>
    </w:p>
    <w:p w14:paraId="4F11C0AF"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lastRenderedPageBreak/>
        <w:t>Kelly RK, Ko AH. Erlotinib in the treatment of advanced pancreatic cancer. BTT. 2008 Mar;83. doi:10.2147/BTT.S1832</w:t>
      </w:r>
    </w:p>
    <w:p w14:paraId="7719E578"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Pino MS, Shrader M, Baker CH, Cognetti F, Xiong HQ, Abbruzzese JL, et al. Transforming Growth Factor α Expression Drives Constitutive Epidermal Growth Factor Receptor Pathway Activation and Sensitivity to Gefitinib (Iressa) in Human Pancreatic Cancer Cell Lines. Cancer Research. 2006 Apr 1;66(7):3802–12. doi:10.1158/0008-5472.CAN-05-3753</w:t>
      </w:r>
    </w:p>
    <w:p w14:paraId="37853304"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Tyc KM, Kazi A, Ranjan A, Wang R, Sebti SM. Novel mutant KRAS addiction signature predicts response to the combination of ERBB and MEK inhibitors in lung and pancreatic cancers. iScience. 2023 Mar;26(3):106082. doi:10.1016/j.isci.2023.106082</w:t>
      </w:r>
    </w:p>
    <w:p w14:paraId="0C02F533"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Huguet F, Fernet M, Giocanti N, Favaudon V, Larsen AK. Afatinib, an Irreversible EGFR Family Inhibitor, Shows Activity Toward Pancreatic Cancer Cells, Alone and in Combination with Radiotherapy, Independent of KRAS Status. Targ Oncol. 2016 Jun;11(3):371–81. doi:10.1007/s11523-015-0403-8</w:t>
      </w:r>
    </w:p>
    <w:p w14:paraId="688569B6"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Walsh N, Kennedy S, Larkin A, Corkery B, O’Driscoll L, Clynes M, et al. EGFR and HER2 inhibition in pancreatic cancer. Invest New Drugs. 2013 Jun;31(3):558–66. doi:10.1007/s10637-012-9891-</w:t>
      </w:r>
    </w:p>
    <w:p w14:paraId="61355032"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Kessler ER, Eckhardt SG, Pitts TM, Bradshaw-Pierce EL, O’byrant CL, Messersmith WA, et al. Phase I trial of vandetanib in combination with gemcitabine and capecitabine in patients with advanced solid tumors with an expanded cohort in pancreatic and biliary cancers. Invest New Drugs. 2016 Apr;34(2):176–83. doi:10.1007/s10637-015-0316-5</w:t>
      </w:r>
    </w:p>
    <w:p w14:paraId="55526947"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Zeppa L, Aguzzi C, Morelli MB, Marinelli O, Giangrossi M, Luongo M, et al. Cannabigerol Induces Autophagic Cell Death by Inhibiting EGFR-RAS Pathways in Human Pancreatic Ductal Adenocarcinoma Cell Lines. IJMS. 2024 Feb 7;25(4):2001. doi:10.3390/ijms25042001</w:t>
      </w:r>
    </w:p>
    <w:p w14:paraId="559D9DD6"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Wang X, Wu X, Zhang Z, Ma C, Wu T, Tang S, et al. Monensin inhibits cell proliferation and tumor growth of chemo-resistant pancreatic cancer cells by targeting the EGFR signaling pathway. Sci Rep. 2018 Dec 17;8(1):17914. doi:10.1038/s41598-018-36214-5</w:t>
      </w:r>
    </w:p>
    <w:p w14:paraId="1ABCFACE"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lastRenderedPageBreak/>
        <w:t>Momeny M, Esmaeili F, Hamzehlou S, Yousefi H, Javadikooshesh S, Vahdatirad V, et al. The ERBB receptor inhibitor dacomitinib suppresses proliferation and invasion of pancreatic ductal adenocarcinoma cells. Cell Oncol. 2019 Aug;42(4):491–504. doi:10.1007/s13402-019-00448-w</w:t>
      </w:r>
    </w:p>
    <w:p w14:paraId="5EEE5F11"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Na YS, Yang SJ, Kim SM, Jung KA, Moon JH, Shin JS, et al. YM155 Induces EGFR Suppression in Pancreatic Cancer Cells. Schneider G, editor. PLoS ONE. 2012 Jun 18;7(6):e38625. doi:10.1371/journal.pone.0038625</w:t>
      </w:r>
    </w:p>
    <w:p w14:paraId="79C1EBC9"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Bruns CJ, Solorzano CC, Harbison MT, Ozawa S, Tsan R, Fan D, et al. Blockade of the epidermal growth factor receptor signaling by a novel tyrosine kinase inhibitor leads to apoptosis of endothelial cells and therapy of human pancreatic carcinoma. Cancer Res. 2000 Jun 1;60(11):2926–35. PubMed PMID: 10850439.</w:t>
      </w:r>
    </w:p>
    <w:p w14:paraId="1F7F6B58"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B. Vanella. CURRENT AND FUTURE STRATEGIES FOR THERAPY OF PANCREATIC CANCER. Vol. 2. 2(3).</w:t>
      </w:r>
    </w:p>
    <w:p w14:paraId="7645C30A"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Ardestani A, Li S, Annamalai K, Lupse B, Geravandi S, Dobrowolski A, et al. Neratinib protects pancreatic beta cells in diabetes. Nat Commun. 2019 Nov 1;10(1):5015. doi:10.1038/s41467-019-12880-5</w:t>
      </w:r>
    </w:p>
    <w:p w14:paraId="6D58600D"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Seshacharyulu P, Ponnusamy MP, Rachagani S, Lakshmanan I, Haridas D, Yan Y, et al. Targeting EGF-receptor(s) - STAT1 axis attenuates tumor growth and metastasis through downregulation of MUC4 mucin in human pancreatic cancer. Oncotarget. 2015 Mar 10;6(7):5164–81. doi:10.18632/oncotarget.3286</w:t>
      </w:r>
    </w:p>
    <w:p w14:paraId="7269B1A7"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Dewji MR. Early Phase I Data on an Irreversible Pan-Er Inhibitor: CI-1033. What Did We Learn? Journal of Chemotherapy. 2004 Nov;16(sup4):44–8. doi:10.1179/joc.2004.16.Supplement-1.44</w:t>
      </w:r>
    </w:p>
    <w:p w14:paraId="5BD15944"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Smith JK, Mamoon NM, Duhé RJ. Emerging Roles of Targeted Small Molecule Protein-Tyrosine Kinase Inhibitors in Cancer Therapy. oncol res. 2003 Jan 1;14(4):175–225. doi:10.3727/000000003772462298</w:t>
      </w:r>
    </w:p>
    <w:p w14:paraId="095A5A73"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 xml:space="preserve">Hickinson DM, Klinowska T, Speake G, Vincent J, Trigwell C, Anderton J, et al. AZD8931, an Equipotent, Reversible Inhibitor of Signaling by Epidermal Growth Factor Receptor, ERBB2 (HER2), and ERBB3: A Unique Agent for Simultaneous ERBB Receptor Blockade </w:t>
      </w:r>
      <w:r w:rsidRPr="00E86A82">
        <w:rPr>
          <w:rFonts w:ascii="Times New Roman" w:hAnsi="Times New Roman" w:cs="Times New Roman"/>
          <w:sz w:val="24"/>
          <w:szCs w:val="24"/>
        </w:rPr>
        <w:lastRenderedPageBreak/>
        <w:t>in Cancer. Clinical Cancer Research. 2010 Feb 15;16(4):1159–69. doi:10.1158/1078-0432.CCR-09-2353</w:t>
      </w:r>
    </w:p>
    <w:p w14:paraId="6A4CB1F6"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Milton CK, Self AJ, Clarke PA, Banerji U, Piccioni F, Root DE, et al. A Genome-scale CRISPR Screen Identifies the ERBB and mTOR Signaling Networks as Key Determinants of Response to PI3K Inhibition in Pancreatic Cancer. Molecular Cancer Therapeutics. 2020 Jul 1;19(7):1423–35. doi:10.1158/1535-7163.MCT-19-1131</w:t>
      </w:r>
    </w:p>
    <w:p w14:paraId="1B540F73"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Mao T, Zhang X, Xu H, Zhang X, Ge W, Li S, et al. HDACs/mTOR inhibitor synergizes with pyrotinib in HER2-positive pancreatic cancer through degradation of mutant P53. Cancer Cell Int. 2022 Dec 1;22(1):380. doi:10.1186/s12935-022-02807-4</w:t>
      </w:r>
    </w:p>
    <w:p w14:paraId="02E16388"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Choi HJ, Jeong YJ, Kim J, Hoe HS. EGFR is a potential dual molecular target for cancer and Alzheimer’s disease. Front Pharmacol. 2023 Aug 2;14:1238639. doi:10.3389/fphar.2023.1238639</w:t>
      </w:r>
    </w:p>
    <w:p w14:paraId="1BB40717"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Navas C, Hernández-Porras I, Schuhmacher AJ, Sibilia M, Guerra C, Barbacid M. EGF Receptor Signaling Is Essential for K-Ras Oncogene-Driven Pancreatic Ductal Adenocarcinoma. Cancer Cell. 2012 Sep;22(3):318–30. doi:10.1016/j.ccr.2012.08.001</w:t>
      </w:r>
    </w:p>
    <w:p w14:paraId="6480B70D"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Silva-Oliveira RJ, Silva VAO, Martinho O, Cruvinel-Carloni A, Melendez ME, Rosa MN, et al. Cytotoxicity of allitinib, an irreversible anti-EGFR agent, in a large panel of human cancer-derived cell lines: KRAS mutation status as a predictive biomarker. Cell Oncol. 2016 Jun;39(3):253–63. doi:10.1007/s13402-016-0270-z</w:t>
      </w:r>
    </w:p>
    <w:p w14:paraId="38FB5952"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Kim YN, Patil K, Ma J, Dufek GA, Pai SB. Multifaceted Effects of Kinase Inhibitors on Pancreatic Cancer Cells Reveals Pivotal Entities with Therapeutic Implications. Biomedicines. 2023 Jun 15;11(6):1716. doi:10.3390/biomedicines11061716</w:t>
      </w:r>
    </w:p>
    <w:p w14:paraId="1D9E7256"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Xu BQ, Fu ZG, Meng Y, Wu XQ, Wu B, Xu L, et al. Gemcitabine enhances cell invasion via activating HAb18G/CD147-EGFR-pSTAT3 signaling. Oncotarget. 2016 Sep 20;7(38):62177–93. doi:10.18632/oncotarget.11405</w:t>
      </w:r>
    </w:p>
    <w:p w14:paraId="62951506"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Broekman F. Tyrosine kinase inhibitors: Multi-targeted or single-targeted? WJCO. 2011;2(2):80. doi:10.5306/wjco.v2.i2.80</w:t>
      </w:r>
    </w:p>
    <w:p w14:paraId="0C546179"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lastRenderedPageBreak/>
        <w:t>Murphy LO, Cluck MW, Lovas S, Ötvös F, Murphy RF, Schally AV, et al. Pancreatic cancer cells require an EGF receptor-mediated autocrine pathway for proliferation in serum-free conditions. Br J Cancer. 2001 Apr 5;84(7):926–35. doi:10.1054/bjoc.2001.1698</w:t>
      </w:r>
    </w:p>
    <w:p w14:paraId="1C2C0DB7"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 xml:space="preserve">Cai X, Zhai HX, Wang J, Forrester J, Qu H, Yin L, et al. Discovery of 7-(4-(3-Ethynylphenylamino)-7-methoxyquinazolin-6-yloxy)- </w:t>
      </w:r>
      <w:r w:rsidRPr="00E86A82">
        <w:rPr>
          <w:rFonts w:ascii="Times New Roman" w:hAnsi="Times New Roman" w:cs="Times New Roman"/>
          <w:i/>
          <w:iCs/>
          <w:sz w:val="24"/>
          <w:szCs w:val="24"/>
        </w:rPr>
        <w:t>N</w:t>
      </w:r>
      <w:r w:rsidRPr="00E86A82">
        <w:rPr>
          <w:rFonts w:ascii="Times New Roman" w:hAnsi="Times New Roman" w:cs="Times New Roman"/>
          <w:sz w:val="24"/>
          <w:szCs w:val="24"/>
        </w:rPr>
        <w:t xml:space="preserve"> -hydroxyheptanamide (CUDC-101) as a Potent Multi-Acting HDAC, EGFR, and HER2 Inhibitor for the Treatment of Cancer. J Med Chem. 2010 Mar 11;53(5):2000–9. doi:10.1021/jm901453q</w:t>
      </w:r>
    </w:p>
    <w:p w14:paraId="6116E624"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Musa A, Mostafa EM, Bukhari SNA, Alotaibi NH, El-Ghorab AH, Farouk A, et al. EGFR and COX-2 Dual Inhibitor: The Design, Synthesis, and Biological Evaluation of Novel Chalcones. Molecules. 2022 Feb 9;27(4):1158. doi:10.3390/molecules27041158</w:t>
      </w:r>
    </w:p>
    <w:p w14:paraId="4687E9EA"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Rangarajan P, Subramaniam D, Paul S, Kwatra D, Palaniyandi K, Islam S, et al. Crocetinic acid inhibits hedgehog signaling to inhibit pancreatic cancer stem cells. Oncotarget. 2015 Sep 29;6(29):27661–73. doi:10.18632/oncotarget.4871</w:t>
      </w:r>
    </w:p>
    <w:p w14:paraId="672592FE"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Rodriguez Lanzi C, Wei R, Luo D, Mackenzie GG. Phospho-Aspirin (MDC-22) inhibits pancreatic cancer growth in patient-derived tumor xenografts and KPC mice by targeting EGFR: Enhanced efficacy in combination with irinotecan. Neoplasia. 2022 Feb;24(2):133–44. doi:10.1016/j.neo.2021.12.004</w:t>
      </w:r>
    </w:p>
    <w:p w14:paraId="27850413"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Abdelgawad MA, Musa A, Almalki AH, Alzarea SI, Mostafa EM, Hegazy MM, et al. Novel Phenolic Compounds as Potential Dual EGFR and COX-2 Inhibitors: Design, Semisynthesis, in vitro Biological Evaluation and in silico Insights. DDDT. 2021 May;Volume 15:2325–37. doi:10.2147/DDDT.S310820</w:t>
      </w:r>
    </w:p>
    <w:p w14:paraId="34FA12A9"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A. Erlotinib in the treatment of advanced pancreatic cancer. BTT. 2008 Mar;83. doi:10.2147/BTT.S1832</w:t>
      </w:r>
    </w:p>
    <w:p w14:paraId="78AABB5A"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Periyasamy L, Murugantham B, Muthusami S. Plumbagin binds to epidermal growth factor receptor and mitigate the effects of epidermal growth factor micro-environment in PANC-1 cells. Med Oncol. 2023 May 20;40(7):184. doi:10.1007/s12032-023-02048-z</w:t>
      </w:r>
    </w:p>
    <w:p w14:paraId="48E2635B"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Lee J, Han SI, Yun JH, Kim JH. Quercetin 3-O-glucoside suppresses epidermal growth factor–induced migration by inhibiting EGFR signaling in pancreatic cancer cells. Tumor Biol. 2015 Dec;36(12):9385–93. doi:10.1007/s13277-015-3682-x</w:t>
      </w:r>
    </w:p>
    <w:p w14:paraId="300A770C"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lastRenderedPageBreak/>
        <w:t>Lee J, Kim JH. Kaempferol Inhibits Pancreatic Cancer Cell Growth and Migration through the Blockade of EGFR-Related Pathway In Vitro. Scarpa A, editor. PLoS ONE. 2016 May 13;11(5):e0155264. doi:10.1371/journal.pone.0155264</w:t>
      </w:r>
    </w:p>
    <w:p w14:paraId="1C85CACC"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Zhou J, Zhao T, Ma L, Liang M, Guo YJ, Zhao LM. Cucurbitacin B and SCH772984 exhibit synergistic anti-pancreatic cancer activities by suppressing EGFR, PI3K/Akt/mTOR, STAT3 and ERK signaling. Oncotarget. 2017 Nov 28;8(61):103167–81. doi:10.18632/oncotarget.21704</w:t>
      </w:r>
    </w:p>
    <w:p w14:paraId="53C1B9DE"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 xml:space="preserve">Tuan Anh HL, Tran PT, Thao DT, Trang DT, Dang NH, Van Cuong P, et al. Degalactotigonin, a Steroidal Glycoside from </w:t>
      </w:r>
      <w:r w:rsidRPr="00E86A82">
        <w:rPr>
          <w:rFonts w:ascii="Times New Roman" w:hAnsi="Times New Roman" w:cs="Times New Roman"/>
          <w:i/>
          <w:iCs/>
          <w:sz w:val="24"/>
          <w:szCs w:val="24"/>
        </w:rPr>
        <w:t>Solanum nigrum</w:t>
      </w:r>
      <w:r w:rsidRPr="00E86A82">
        <w:rPr>
          <w:rFonts w:ascii="Times New Roman" w:hAnsi="Times New Roman" w:cs="Times New Roman"/>
          <w:sz w:val="24"/>
          <w:szCs w:val="24"/>
        </w:rPr>
        <w:t xml:space="preserve"> , Induces Apoptosis and Cell Cycle Arrest via Inhibiting the EGFR Signaling Pathways in Pancreatic Cancer Cells. BioMed Research International. 2018 Dec 16;2018:1–9. doi:10.1155/2018/3120972</w:t>
      </w:r>
    </w:p>
    <w:p w14:paraId="4A04579C"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Lee LT, Huang YT, Hwang JJ, Lee PPH, Ke FC, Nair MP, et al. Blockade of the epidermal growth factor receptor tyrosine kinase activity by quercetin and luteolin leads to growth inhibition and apoptosis of pancreatic tumor cells. Anticancer Res. 2002;22(3):1615–27. PubMed PMID: 12168845.</w:t>
      </w:r>
    </w:p>
    <w:p w14:paraId="23A1CCF9"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Shi C, Sun L, Fang R, Zheng S, Yu M, Li Q. Saikosaponin-A Exhibits Antipancreatic Cancer Activity by Targeting theEGFR/PI3K/Akt Pathway. CPB. 2023 Mar;24(4):579–88. doi:10.2174/1389201023666220610113514</w:t>
      </w:r>
    </w:p>
    <w:p w14:paraId="11412302"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Bandaru S, Sumithnath TG, Sharda S, Lakhotia S, Sharma A, Jain A, et al. Helix-Coil Transition Signatures B-Raf V600E Mutation and Virtual Screening for Inhibitors Directed Against Mutant B-Raf. CDM. 2017 Jul 21;18(6). doi:10.2174/1389200218666170503114611</w:t>
      </w:r>
    </w:p>
    <w:p w14:paraId="0AE8C032"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Bandaru S, Prasad M, Jyothy A, Nayarisseri A, Yadav M. Binding Modes and Pharmacophoric Features of Muscarinic Antagonism and &amp;#946;2 Agonism (MABA) Conjugates. CTMC. 2013 Aug 1;13(14):1650–5. doi:10.2174/15680266113139990115</w:t>
      </w:r>
    </w:p>
    <w:p w14:paraId="1E22080C"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Bandaru S, Tiwari G, Akka J, Marri V, Alvala M, Gutlapalli V, et al. Identification of High Affinity Bioactive Salbutamol Conformer Directed Against Mutated (Thr164Ile) Beta 2 Adrenergic Receptor. CTMC. 2015 Jan 14;15(1):50–6. doi:10.2174/1568026615666150112113040</w:t>
      </w:r>
    </w:p>
    <w:p w14:paraId="1A9B6B96" w14:textId="77777777" w:rsidR="00E86A82" w:rsidRPr="00E86A82"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lastRenderedPageBreak/>
        <w:tab/>
        <w:t>Wang C, Kumar GA, Rajapakse JC. Drug discovery and mechanism prediction with explainable graph neural networks. Sci Rep. 2025 Jan 2;15(1):179. doi:10.1038/s41598-024-83090-3</w:t>
      </w:r>
    </w:p>
    <w:p w14:paraId="577B07F2" w14:textId="77777777" w:rsidR="00E86A82" w:rsidRPr="00E24558" w:rsidRDefault="00E86A82" w:rsidP="00E86A82">
      <w:pPr>
        <w:pStyle w:val="Bibliography"/>
        <w:numPr>
          <w:ilvl w:val="0"/>
          <w:numId w:val="13"/>
        </w:numPr>
        <w:spacing w:line="360" w:lineRule="auto"/>
        <w:jc w:val="both"/>
        <w:rPr>
          <w:rFonts w:ascii="Times New Roman" w:hAnsi="Times New Roman" w:cs="Times New Roman"/>
          <w:sz w:val="24"/>
          <w:szCs w:val="24"/>
        </w:rPr>
      </w:pPr>
      <w:r w:rsidRPr="00E86A82">
        <w:rPr>
          <w:rFonts w:ascii="Times New Roman" w:hAnsi="Times New Roman" w:cs="Times New Roman"/>
          <w:sz w:val="24"/>
          <w:szCs w:val="24"/>
        </w:rPr>
        <w:t xml:space="preserve">Popova M, Isayev O, Tropsha A. Deep reinforcement learning for de novo drug design. </w:t>
      </w:r>
      <w:r w:rsidRPr="00E24558">
        <w:rPr>
          <w:rFonts w:ascii="Times New Roman" w:hAnsi="Times New Roman" w:cs="Times New Roman"/>
          <w:sz w:val="24"/>
          <w:szCs w:val="24"/>
        </w:rPr>
        <w:t>Sci Adv. 2018 Jul 6;4(7):eaap7885. doi:10.1126/sciadv.aap7885</w:t>
      </w:r>
    </w:p>
    <w:p w14:paraId="25ECC06F" w14:textId="77777777" w:rsidR="00E86A82" w:rsidRPr="00E24558" w:rsidRDefault="00E86A82" w:rsidP="00E86A82">
      <w:pPr>
        <w:pStyle w:val="Bibliography"/>
        <w:numPr>
          <w:ilvl w:val="0"/>
          <w:numId w:val="13"/>
        </w:numPr>
        <w:spacing w:line="360" w:lineRule="auto"/>
        <w:jc w:val="both"/>
        <w:rPr>
          <w:rFonts w:ascii="Times New Roman" w:hAnsi="Times New Roman" w:cs="Times New Roman"/>
          <w:sz w:val="24"/>
          <w:szCs w:val="24"/>
        </w:rPr>
      </w:pPr>
      <w:r w:rsidRPr="00E24558">
        <w:rPr>
          <w:rFonts w:ascii="Times New Roman" w:hAnsi="Times New Roman" w:cs="Times New Roman"/>
          <w:sz w:val="24"/>
          <w:szCs w:val="24"/>
        </w:rPr>
        <w:t>Pan X, Lin X, Cao D, Zeng X, Yu PS, He L, et al. Deep learning for drug repurposing: Methods, databases, and applications. WIREs Comput Mol Sci. 2022 Jul;12(4):e1597. doi:10.1002/wcms.1597</w:t>
      </w:r>
    </w:p>
    <w:p w14:paraId="3E35A646" w14:textId="77777777" w:rsidR="00E24558" w:rsidRPr="00E24558" w:rsidRDefault="00E86A82" w:rsidP="00E24558">
      <w:pPr>
        <w:pStyle w:val="Bibliography"/>
        <w:numPr>
          <w:ilvl w:val="0"/>
          <w:numId w:val="13"/>
        </w:numPr>
        <w:spacing w:line="360" w:lineRule="auto"/>
        <w:jc w:val="both"/>
        <w:rPr>
          <w:rFonts w:ascii="Times New Roman" w:hAnsi="Times New Roman" w:cs="Times New Roman"/>
          <w:sz w:val="24"/>
          <w:szCs w:val="24"/>
        </w:rPr>
      </w:pPr>
      <w:r w:rsidRPr="00E24558">
        <w:rPr>
          <w:rFonts w:ascii="Times New Roman" w:hAnsi="Times New Roman" w:cs="Times New Roman"/>
          <w:sz w:val="24"/>
          <w:szCs w:val="24"/>
        </w:rPr>
        <w:t>Bian Y, Xie XQ. Generative chemistry: drug discovery with deep learning generative models. J Mol Model. 2021 Mar;27(3):71. doi:10.1007/s00894-021-04674-8</w:t>
      </w:r>
    </w:p>
    <w:p w14:paraId="2258609B" w14:textId="576FCCB7" w:rsidR="00E24558" w:rsidRPr="00E24558" w:rsidRDefault="00E24558" w:rsidP="00E24558">
      <w:pPr>
        <w:pStyle w:val="Bibliography"/>
        <w:numPr>
          <w:ilvl w:val="0"/>
          <w:numId w:val="13"/>
        </w:numPr>
        <w:spacing w:line="360" w:lineRule="auto"/>
        <w:jc w:val="both"/>
        <w:rPr>
          <w:rFonts w:ascii="Times New Roman" w:hAnsi="Times New Roman" w:cs="Times New Roman"/>
          <w:sz w:val="24"/>
          <w:szCs w:val="24"/>
        </w:rPr>
      </w:pPr>
      <w:r w:rsidRPr="00E24558">
        <w:rPr>
          <w:rFonts w:ascii="Times New Roman" w:hAnsi="Times New Roman" w:cs="Times New Roman"/>
          <w:sz w:val="24"/>
          <w:szCs w:val="24"/>
        </w:rPr>
        <w:t>Fu, L., Shi, S., Yi, J., Wang, N., He, Y., Wu, Z., ... &amp; Cao, D. (2024). ADMETlab 3.0: an updated comprehensive online ADMET prediction platform enhanced with broader coverage, improved performance, API functionality and decision support. </w:t>
      </w:r>
      <w:r w:rsidRPr="00E24558">
        <w:rPr>
          <w:rFonts w:ascii="Times New Roman" w:hAnsi="Times New Roman" w:cs="Times New Roman"/>
          <w:i/>
          <w:iCs/>
          <w:sz w:val="24"/>
          <w:szCs w:val="24"/>
        </w:rPr>
        <w:t>Nucleic acids research</w:t>
      </w:r>
      <w:r w:rsidRPr="00E24558">
        <w:rPr>
          <w:rFonts w:ascii="Times New Roman" w:hAnsi="Times New Roman" w:cs="Times New Roman"/>
          <w:sz w:val="24"/>
          <w:szCs w:val="24"/>
        </w:rPr>
        <w:t>, </w:t>
      </w:r>
      <w:r w:rsidRPr="00E24558">
        <w:rPr>
          <w:rFonts w:ascii="Times New Roman" w:hAnsi="Times New Roman" w:cs="Times New Roman"/>
          <w:i/>
          <w:iCs/>
          <w:sz w:val="24"/>
          <w:szCs w:val="24"/>
        </w:rPr>
        <w:t>52</w:t>
      </w:r>
      <w:r w:rsidRPr="00E24558">
        <w:rPr>
          <w:rFonts w:ascii="Times New Roman" w:hAnsi="Times New Roman" w:cs="Times New Roman"/>
          <w:sz w:val="24"/>
          <w:szCs w:val="24"/>
        </w:rPr>
        <w:t>(W1), W422-W431. Doi: https://doi.org/10.1093/nar/gkae236</w:t>
      </w:r>
    </w:p>
    <w:p w14:paraId="736053BC" w14:textId="20F5E4BA" w:rsidR="00E24558" w:rsidRPr="00E24558" w:rsidRDefault="00E24558" w:rsidP="00E24558">
      <w:pPr>
        <w:pStyle w:val="Bibliography"/>
        <w:numPr>
          <w:ilvl w:val="0"/>
          <w:numId w:val="13"/>
        </w:numPr>
        <w:spacing w:line="360" w:lineRule="auto"/>
        <w:jc w:val="both"/>
        <w:rPr>
          <w:rFonts w:ascii="Times New Roman" w:hAnsi="Times New Roman" w:cs="Times New Roman"/>
          <w:sz w:val="24"/>
          <w:szCs w:val="24"/>
          <w:lang w:val="en-GB"/>
        </w:rPr>
      </w:pPr>
      <w:r w:rsidRPr="00E24558">
        <w:rPr>
          <w:rFonts w:ascii="Times New Roman" w:hAnsi="Times New Roman" w:cs="Times New Roman"/>
          <w:sz w:val="24"/>
          <w:szCs w:val="24"/>
        </w:rPr>
        <w:t>Daina, A., Michielin, O., &amp; Zoete, V. (2017). SwissADME: a free web tool to evaluate pharmacokinetics, drug-likeness and medicinal chemistry friendliness of small molecules. </w:t>
      </w:r>
      <w:r w:rsidRPr="00E24558">
        <w:rPr>
          <w:rFonts w:ascii="Times New Roman" w:hAnsi="Times New Roman" w:cs="Times New Roman"/>
          <w:i/>
          <w:iCs/>
          <w:sz w:val="24"/>
          <w:szCs w:val="24"/>
        </w:rPr>
        <w:t>Scientific reports</w:t>
      </w:r>
      <w:r w:rsidRPr="00E24558">
        <w:rPr>
          <w:rFonts w:ascii="Times New Roman" w:hAnsi="Times New Roman" w:cs="Times New Roman"/>
          <w:sz w:val="24"/>
          <w:szCs w:val="24"/>
        </w:rPr>
        <w:t>, </w:t>
      </w:r>
      <w:r w:rsidRPr="00E24558">
        <w:rPr>
          <w:rFonts w:ascii="Times New Roman" w:hAnsi="Times New Roman" w:cs="Times New Roman"/>
          <w:i/>
          <w:iCs/>
          <w:sz w:val="24"/>
          <w:szCs w:val="24"/>
        </w:rPr>
        <w:t>7</w:t>
      </w:r>
      <w:r w:rsidRPr="00E24558">
        <w:rPr>
          <w:rFonts w:ascii="Times New Roman" w:hAnsi="Times New Roman" w:cs="Times New Roman"/>
          <w:sz w:val="24"/>
          <w:szCs w:val="24"/>
        </w:rPr>
        <w:t xml:space="preserve">(1), 42717. </w:t>
      </w:r>
      <w:r w:rsidRPr="00E24558">
        <w:rPr>
          <w:rFonts w:ascii="Times New Roman" w:hAnsi="Times New Roman" w:cs="Times New Roman"/>
          <w:sz w:val="24"/>
          <w:szCs w:val="24"/>
          <w:lang w:val="en-GB"/>
        </w:rPr>
        <w:t>DOI: https://doi.org/10.1038/srep42717</w:t>
      </w:r>
    </w:p>
    <w:p w14:paraId="21253EDC" w14:textId="763892B0" w:rsidR="00E86A82" w:rsidRPr="00E24558" w:rsidRDefault="00E86A82" w:rsidP="00E86A82">
      <w:pPr>
        <w:pStyle w:val="Bibliography"/>
        <w:numPr>
          <w:ilvl w:val="0"/>
          <w:numId w:val="13"/>
        </w:numPr>
        <w:spacing w:line="360" w:lineRule="auto"/>
        <w:jc w:val="both"/>
        <w:rPr>
          <w:rFonts w:ascii="Times New Roman" w:hAnsi="Times New Roman" w:cs="Times New Roman"/>
          <w:sz w:val="24"/>
          <w:szCs w:val="24"/>
        </w:rPr>
      </w:pPr>
      <w:r w:rsidRPr="00E24558">
        <w:rPr>
          <w:rFonts w:ascii="Times New Roman" w:hAnsi="Times New Roman" w:cs="Times New Roman"/>
          <w:sz w:val="24"/>
          <w:szCs w:val="24"/>
        </w:rPr>
        <w:t>Nayarisseri A, Singh SK. Functional Inhibition of VEGF and EGFR Suppressors in Cancer Treatment. Curr Top Med Chem. 2019;19(3):178–9. doi:10.2174/156802661903190328155731 PubMed PMID: 30950335.</w:t>
      </w:r>
    </w:p>
    <w:p w14:paraId="2CE94F72" w14:textId="77777777" w:rsidR="00E86A82" w:rsidRPr="00E24558" w:rsidRDefault="00E86A82" w:rsidP="00E86A82">
      <w:pPr>
        <w:pStyle w:val="Bibliography"/>
        <w:numPr>
          <w:ilvl w:val="0"/>
          <w:numId w:val="13"/>
        </w:numPr>
        <w:spacing w:line="360" w:lineRule="auto"/>
        <w:jc w:val="both"/>
        <w:rPr>
          <w:rFonts w:ascii="Times New Roman" w:hAnsi="Times New Roman" w:cs="Times New Roman"/>
          <w:sz w:val="24"/>
          <w:szCs w:val="24"/>
        </w:rPr>
      </w:pPr>
      <w:r w:rsidRPr="00E24558">
        <w:rPr>
          <w:rFonts w:ascii="Times New Roman" w:hAnsi="Times New Roman" w:cs="Times New Roman"/>
          <w:sz w:val="24"/>
          <w:szCs w:val="24"/>
        </w:rPr>
        <w:t>Ledvina V, Janečková E, Matalová E, Klepárník K. Parallel single-cell analysis of active caspase-3/7 in apoptotic and non-apoptotic cells. Anal Bioanal Chem. 2017 Jan;409(1):269–74. doi:10.1007/s00216-016-9998-6</w:t>
      </w:r>
    </w:p>
    <w:p w14:paraId="0D9993DF" w14:textId="77777777" w:rsidR="00E86A82" w:rsidRPr="00E86A82" w:rsidRDefault="00E86A82" w:rsidP="00E86A82">
      <w:pPr>
        <w:pStyle w:val="Bibliography"/>
        <w:spacing w:line="360" w:lineRule="auto"/>
        <w:jc w:val="both"/>
        <w:rPr>
          <w:rFonts w:ascii="Times New Roman" w:hAnsi="Times New Roman" w:cs="Times New Roman"/>
          <w:b/>
          <w:bCs/>
          <w:color w:val="000000" w:themeColor="text1"/>
          <w:sz w:val="24"/>
          <w:szCs w:val="24"/>
        </w:rPr>
      </w:pPr>
    </w:p>
    <w:p w14:paraId="57CA821D" w14:textId="77777777" w:rsidR="00E86A82" w:rsidRPr="00E86A82" w:rsidRDefault="00E86A82" w:rsidP="00E86A82">
      <w:pPr>
        <w:spacing w:line="360" w:lineRule="auto"/>
        <w:jc w:val="both"/>
        <w:rPr>
          <w:rFonts w:ascii="Times New Roman" w:hAnsi="Times New Roman" w:cs="Times New Roman"/>
          <w:sz w:val="24"/>
          <w:szCs w:val="24"/>
        </w:rPr>
      </w:pPr>
    </w:p>
    <w:p w14:paraId="269E44F3" w14:textId="00EF1AF1" w:rsidR="004C062D" w:rsidRPr="00E86A82" w:rsidRDefault="004C062D" w:rsidP="00E86A82">
      <w:pPr>
        <w:spacing w:line="360" w:lineRule="auto"/>
        <w:jc w:val="both"/>
        <w:rPr>
          <w:rFonts w:ascii="Times New Roman" w:hAnsi="Times New Roman" w:cs="Times New Roman"/>
          <w:b/>
          <w:bCs/>
          <w:color w:val="000000" w:themeColor="text1"/>
          <w:sz w:val="24"/>
          <w:szCs w:val="24"/>
        </w:rPr>
      </w:pPr>
    </w:p>
    <w:sectPr w:rsidR="004C062D" w:rsidRPr="00E86A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34090" w14:textId="77777777" w:rsidR="00812189" w:rsidRDefault="00812189" w:rsidP="00FB390C">
      <w:pPr>
        <w:spacing w:after="0" w:line="240" w:lineRule="auto"/>
      </w:pPr>
      <w:r>
        <w:separator/>
      </w:r>
    </w:p>
  </w:endnote>
  <w:endnote w:type="continuationSeparator" w:id="0">
    <w:p w14:paraId="68AE70CC" w14:textId="77777777" w:rsidR="00812189" w:rsidRDefault="00812189" w:rsidP="00FB3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ADCDE" w14:textId="77777777" w:rsidR="00812189" w:rsidRDefault="00812189" w:rsidP="00FB390C">
      <w:pPr>
        <w:spacing w:after="0" w:line="240" w:lineRule="auto"/>
      </w:pPr>
      <w:r>
        <w:separator/>
      </w:r>
    </w:p>
  </w:footnote>
  <w:footnote w:type="continuationSeparator" w:id="0">
    <w:p w14:paraId="226FE9A7" w14:textId="77777777" w:rsidR="00812189" w:rsidRDefault="00812189" w:rsidP="00FB39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7A1"/>
    <w:multiLevelType w:val="multilevel"/>
    <w:tmpl w:val="CDD6408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0A03433A"/>
    <w:multiLevelType w:val="hybridMultilevel"/>
    <w:tmpl w:val="F466B112"/>
    <w:lvl w:ilvl="0" w:tplc="93E42ABC">
      <w:start w:val="1"/>
      <w:numFmt w:val="decimal"/>
      <w:lvlText w:val="%1."/>
      <w:lvlJc w:val="left"/>
      <w:pPr>
        <w:ind w:left="360" w:hanging="360"/>
      </w:pPr>
      <w:rPr>
        <w:rFonts w:hint="default"/>
        <w:b/>
        <w:bCs w:val="0"/>
        <w:color w:val="000000" w:themeColor="text1"/>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16125544"/>
    <w:multiLevelType w:val="hybridMultilevel"/>
    <w:tmpl w:val="CC60179A"/>
    <w:lvl w:ilvl="0" w:tplc="E63AD968">
      <w:start w:val="1"/>
      <w:numFmt w:val="decimal"/>
      <w:lvlText w:val="%1)"/>
      <w:lvlJc w:val="left"/>
      <w:pPr>
        <w:ind w:left="720" w:hanging="360"/>
      </w:pPr>
      <w:rPr>
        <w:rFonts w:ascii="Times New Roman" w:eastAsia="Times New Roman" w:hAnsi="Times New Roman" w:cs="Times New Roman"/>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79D6484"/>
    <w:multiLevelType w:val="multilevel"/>
    <w:tmpl w:val="1CF655D8"/>
    <w:lvl w:ilvl="0">
      <w:start w:val="3"/>
      <w:numFmt w:val="decimal"/>
      <w:lvlText w:val="%1"/>
      <w:lvlJc w:val="left"/>
      <w:pPr>
        <w:ind w:left="360" w:hanging="360"/>
      </w:pPr>
      <w:rPr>
        <w:rFonts w:eastAsiaTheme="majorEastAsia" w:hint="default"/>
        <w:b/>
      </w:rPr>
    </w:lvl>
    <w:lvl w:ilvl="1">
      <w:start w:val="1"/>
      <w:numFmt w:val="decimal"/>
      <w:lvlText w:val="%1.%2"/>
      <w:lvlJc w:val="left"/>
      <w:pPr>
        <w:ind w:left="360" w:hanging="360"/>
      </w:pPr>
      <w:rPr>
        <w:rFonts w:eastAsiaTheme="majorEastAsia" w:hint="default"/>
        <w:b/>
        <w:sz w:val="24"/>
        <w:szCs w:val="24"/>
      </w:rPr>
    </w:lvl>
    <w:lvl w:ilvl="2">
      <w:start w:val="1"/>
      <w:numFmt w:val="decimal"/>
      <w:lvlText w:val="%1.%2.%3"/>
      <w:lvlJc w:val="left"/>
      <w:pPr>
        <w:ind w:left="2160" w:hanging="720"/>
      </w:pPr>
      <w:rPr>
        <w:rFonts w:eastAsiaTheme="majorEastAsia" w:hint="default"/>
        <w:b/>
      </w:rPr>
    </w:lvl>
    <w:lvl w:ilvl="3">
      <w:start w:val="1"/>
      <w:numFmt w:val="decimal"/>
      <w:lvlText w:val="%1.%2.%3.%4"/>
      <w:lvlJc w:val="left"/>
      <w:pPr>
        <w:ind w:left="2880" w:hanging="720"/>
      </w:pPr>
      <w:rPr>
        <w:rFonts w:eastAsiaTheme="majorEastAsia" w:hint="default"/>
        <w:b/>
      </w:rPr>
    </w:lvl>
    <w:lvl w:ilvl="4">
      <w:start w:val="1"/>
      <w:numFmt w:val="decimal"/>
      <w:lvlText w:val="%1.%2.%3.%4.%5"/>
      <w:lvlJc w:val="left"/>
      <w:pPr>
        <w:ind w:left="3960" w:hanging="1080"/>
      </w:pPr>
      <w:rPr>
        <w:rFonts w:eastAsiaTheme="majorEastAsia" w:hint="default"/>
        <w:b/>
      </w:rPr>
    </w:lvl>
    <w:lvl w:ilvl="5">
      <w:start w:val="1"/>
      <w:numFmt w:val="decimal"/>
      <w:lvlText w:val="%1.%2.%3.%4.%5.%6"/>
      <w:lvlJc w:val="left"/>
      <w:pPr>
        <w:ind w:left="4680" w:hanging="1080"/>
      </w:pPr>
      <w:rPr>
        <w:rFonts w:eastAsiaTheme="majorEastAsia" w:hint="default"/>
        <w:b/>
      </w:rPr>
    </w:lvl>
    <w:lvl w:ilvl="6">
      <w:start w:val="1"/>
      <w:numFmt w:val="decimal"/>
      <w:lvlText w:val="%1.%2.%3.%4.%5.%6.%7"/>
      <w:lvlJc w:val="left"/>
      <w:pPr>
        <w:ind w:left="5760" w:hanging="1440"/>
      </w:pPr>
      <w:rPr>
        <w:rFonts w:eastAsiaTheme="majorEastAsia" w:hint="default"/>
        <w:b/>
      </w:rPr>
    </w:lvl>
    <w:lvl w:ilvl="7">
      <w:start w:val="1"/>
      <w:numFmt w:val="decimal"/>
      <w:lvlText w:val="%1.%2.%3.%4.%5.%6.%7.%8"/>
      <w:lvlJc w:val="left"/>
      <w:pPr>
        <w:ind w:left="6480" w:hanging="1440"/>
      </w:pPr>
      <w:rPr>
        <w:rFonts w:eastAsiaTheme="majorEastAsia" w:hint="default"/>
        <w:b/>
      </w:rPr>
    </w:lvl>
    <w:lvl w:ilvl="8">
      <w:start w:val="1"/>
      <w:numFmt w:val="decimal"/>
      <w:lvlText w:val="%1.%2.%3.%4.%5.%6.%7.%8.%9"/>
      <w:lvlJc w:val="left"/>
      <w:pPr>
        <w:ind w:left="7560" w:hanging="1800"/>
      </w:pPr>
      <w:rPr>
        <w:rFonts w:eastAsiaTheme="majorEastAsia" w:hint="default"/>
        <w:b/>
      </w:rPr>
    </w:lvl>
  </w:abstractNum>
  <w:abstractNum w:abstractNumId="4" w15:restartNumberingAfterBreak="0">
    <w:nsid w:val="2FAD321D"/>
    <w:multiLevelType w:val="multilevel"/>
    <w:tmpl w:val="990E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52508"/>
    <w:multiLevelType w:val="hybridMultilevel"/>
    <w:tmpl w:val="934E90C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48BB6607"/>
    <w:multiLevelType w:val="multilevel"/>
    <w:tmpl w:val="7DA0EE7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21066C7"/>
    <w:multiLevelType w:val="hybridMultilevel"/>
    <w:tmpl w:val="36E0AED6"/>
    <w:lvl w:ilvl="0" w:tplc="E9D07AE2">
      <w:start w:val="1"/>
      <w:numFmt w:val="decimal"/>
      <w:lvlText w:val="%1."/>
      <w:lvlJc w:val="righ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8" w15:restartNumberingAfterBreak="0">
    <w:nsid w:val="57AE7E84"/>
    <w:multiLevelType w:val="hybridMultilevel"/>
    <w:tmpl w:val="80D4CCEE"/>
    <w:lvl w:ilvl="0" w:tplc="8B2A5FA0">
      <w:start w:val="6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8A029CB"/>
    <w:multiLevelType w:val="multilevel"/>
    <w:tmpl w:val="E7C4DC4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B633057"/>
    <w:multiLevelType w:val="hybridMultilevel"/>
    <w:tmpl w:val="8160C9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72E0D05"/>
    <w:multiLevelType w:val="hybridMultilevel"/>
    <w:tmpl w:val="CED8CEEE"/>
    <w:lvl w:ilvl="0" w:tplc="7FECDDCE">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0B520A8"/>
    <w:multiLevelType w:val="multilevel"/>
    <w:tmpl w:val="FE64CE5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CE66028"/>
    <w:multiLevelType w:val="multilevel"/>
    <w:tmpl w:val="6E1465D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45582058">
    <w:abstractNumId w:val="7"/>
  </w:num>
  <w:num w:numId="2" w16cid:durableId="2076586203">
    <w:abstractNumId w:val="13"/>
  </w:num>
  <w:num w:numId="3" w16cid:durableId="1346640095">
    <w:abstractNumId w:val="1"/>
  </w:num>
  <w:num w:numId="4" w16cid:durableId="1318072788">
    <w:abstractNumId w:val="11"/>
  </w:num>
  <w:num w:numId="5" w16cid:durableId="1206720432">
    <w:abstractNumId w:val="5"/>
  </w:num>
  <w:num w:numId="6" w16cid:durableId="1530291468">
    <w:abstractNumId w:val="10"/>
  </w:num>
  <w:num w:numId="7" w16cid:durableId="1210654363">
    <w:abstractNumId w:val="2"/>
  </w:num>
  <w:num w:numId="8" w16cid:durableId="417480878">
    <w:abstractNumId w:val="3"/>
  </w:num>
  <w:num w:numId="9" w16cid:durableId="929511875">
    <w:abstractNumId w:val="0"/>
  </w:num>
  <w:num w:numId="10" w16cid:durableId="336807786">
    <w:abstractNumId w:val="12"/>
  </w:num>
  <w:num w:numId="11" w16cid:durableId="291785610">
    <w:abstractNumId w:val="9"/>
  </w:num>
  <w:num w:numId="12" w16cid:durableId="964508683">
    <w:abstractNumId w:val="6"/>
  </w:num>
  <w:num w:numId="13" w16cid:durableId="461310411">
    <w:abstractNumId w:val="8"/>
  </w:num>
  <w:num w:numId="14" w16cid:durableId="20180776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21F"/>
    <w:rsid w:val="00006109"/>
    <w:rsid w:val="00011EE2"/>
    <w:rsid w:val="000147FB"/>
    <w:rsid w:val="00025B09"/>
    <w:rsid w:val="00026593"/>
    <w:rsid w:val="00030F66"/>
    <w:rsid w:val="00044035"/>
    <w:rsid w:val="0006082F"/>
    <w:rsid w:val="000673BF"/>
    <w:rsid w:val="00076402"/>
    <w:rsid w:val="000D6F3E"/>
    <w:rsid w:val="000E2983"/>
    <w:rsid w:val="000F7899"/>
    <w:rsid w:val="00105C92"/>
    <w:rsid w:val="00114DD1"/>
    <w:rsid w:val="00121C4F"/>
    <w:rsid w:val="001247CE"/>
    <w:rsid w:val="001565AF"/>
    <w:rsid w:val="00156C9B"/>
    <w:rsid w:val="001658A1"/>
    <w:rsid w:val="00166CCC"/>
    <w:rsid w:val="001C58EF"/>
    <w:rsid w:val="001E21FC"/>
    <w:rsid w:val="00211BFF"/>
    <w:rsid w:val="00217514"/>
    <w:rsid w:val="00221F3B"/>
    <w:rsid w:val="00222979"/>
    <w:rsid w:val="00232D4D"/>
    <w:rsid w:val="00243D10"/>
    <w:rsid w:val="002452E0"/>
    <w:rsid w:val="00253EFE"/>
    <w:rsid w:val="002608E8"/>
    <w:rsid w:val="0026246A"/>
    <w:rsid w:val="00262796"/>
    <w:rsid w:val="00274134"/>
    <w:rsid w:val="002849B6"/>
    <w:rsid w:val="0029268E"/>
    <w:rsid w:val="002928FF"/>
    <w:rsid w:val="00295AFD"/>
    <w:rsid w:val="002A398B"/>
    <w:rsid w:val="002A464D"/>
    <w:rsid w:val="002B6337"/>
    <w:rsid w:val="002F77AC"/>
    <w:rsid w:val="00301163"/>
    <w:rsid w:val="003052EC"/>
    <w:rsid w:val="00307FC9"/>
    <w:rsid w:val="003733DA"/>
    <w:rsid w:val="003753BA"/>
    <w:rsid w:val="00397B79"/>
    <w:rsid w:val="003A2A90"/>
    <w:rsid w:val="003A66CF"/>
    <w:rsid w:val="003C2B54"/>
    <w:rsid w:val="003E162C"/>
    <w:rsid w:val="003F78B5"/>
    <w:rsid w:val="0042308E"/>
    <w:rsid w:val="00445130"/>
    <w:rsid w:val="00450DCD"/>
    <w:rsid w:val="004548C5"/>
    <w:rsid w:val="00494593"/>
    <w:rsid w:val="004A09A7"/>
    <w:rsid w:val="004A1ACB"/>
    <w:rsid w:val="004B72D2"/>
    <w:rsid w:val="004C062D"/>
    <w:rsid w:val="004D08D2"/>
    <w:rsid w:val="004D2F3D"/>
    <w:rsid w:val="004D5D5B"/>
    <w:rsid w:val="004E113B"/>
    <w:rsid w:val="00507860"/>
    <w:rsid w:val="00547A22"/>
    <w:rsid w:val="005542C1"/>
    <w:rsid w:val="00557415"/>
    <w:rsid w:val="00573045"/>
    <w:rsid w:val="005B25C6"/>
    <w:rsid w:val="005D4B10"/>
    <w:rsid w:val="005F47C4"/>
    <w:rsid w:val="00605246"/>
    <w:rsid w:val="00606D4A"/>
    <w:rsid w:val="00641A63"/>
    <w:rsid w:val="0064702F"/>
    <w:rsid w:val="00647764"/>
    <w:rsid w:val="00663858"/>
    <w:rsid w:val="00691419"/>
    <w:rsid w:val="006A60E4"/>
    <w:rsid w:val="006B03F8"/>
    <w:rsid w:val="006C445C"/>
    <w:rsid w:val="006D4522"/>
    <w:rsid w:val="006D748D"/>
    <w:rsid w:val="006E4D62"/>
    <w:rsid w:val="006F058F"/>
    <w:rsid w:val="006F2C7D"/>
    <w:rsid w:val="00702179"/>
    <w:rsid w:val="00702435"/>
    <w:rsid w:val="00722C35"/>
    <w:rsid w:val="007242D3"/>
    <w:rsid w:val="0072565E"/>
    <w:rsid w:val="00741CD7"/>
    <w:rsid w:val="00763351"/>
    <w:rsid w:val="00777590"/>
    <w:rsid w:val="007B28D8"/>
    <w:rsid w:val="007D5A97"/>
    <w:rsid w:val="00800146"/>
    <w:rsid w:val="00812189"/>
    <w:rsid w:val="008541F9"/>
    <w:rsid w:val="00873E97"/>
    <w:rsid w:val="00883BFB"/>
    <w:rsid w:val="00890872"/>
    <w:rsid w:val="00892023"/>
    <w:rsid w:val="00895360"/>
    <w:rsid w:val="008A5660"/>
    <w:rsid w:val="008B2EBC"/>
    <w:rsid w:val="008B7EFA"/>
    <w:rsid w:val="008D79B6"/>
    <w:rsid w:val="008E08EB"/>
    <w:rsid w:val="00927252"/>
    <w:rsid w:val="0093090B"/>
    <w:rsid w:val="00944697"/>
    <w:rsid w:val="00963179"/>
    <w:rsid w:val="00965720"/>
    <w:rsid w:val="009774D6"/>
    <w:rsid w:val="00987F98"/>
    <w:rsid w:val="00995CA4"/>
    <w:rsid w:val="009A57A5"/>
    <w:rsid w:val="009C5F7B"/>
    <w:rsid w:val="009D575C"/>
    <w:rsid w:val="009D5CBE"/>
    <w:rsid w:val="00A01EB6"/>
    <w:rsid w:val="00A139ED"/>
    <w:rsid w:val="00A32DAB"/>
    <w:rsid w:val="00A44D9B"/>
    <w:rsid w:val="00A62B59"/>
    <w:rsid w:val="00A646D1"/>
    <w:rsid w:val="00A773C6"/>
    <w:rsid w:val="00A835F7"/>
    <w:rsid w:val="00A855F1"/>
    <w:rsid w:val="00A9738F"/>
    <w:rsid w:val="00AA5727"/>
    <w:rsid w:val="00AB28E9"/>
    <w:rsid w:val="00AC06A0"/>
    <w:rsid w:val="00AC374F"/>
    <w:rsid w:val="00AC40E6"/>
    <w:rsid w:val="00AD142F"/>
    <w:rsid w:val="00AD6B4A"/>
    <w:rsid w:val="00B3789B"/>
    <w:rsid w:val="00B41A27"/>
    <w:rsid w:val="00B45127"/>
    <w:rsid w:val="00B5389F"/>
    <w:rsid w:val="00B76ADB"/>
    <w:rsid w:val="00B81E71"/>
    <w:rsid w:val="00B91873"/>
    <w:rsid w:val="00B95FEB"/>
    <w:rsid w:val="00BA2A1A"/>
    <w:rsid w:val="00BD63A9"/>
    <w:rsid w:val="00C00890"/>
    <w:rsid w:val="00C055DA"/>
    <w:rsid w:val="00C05A53"/>
    <w:rsid w:val="00C21D21"/>
    <w:rsid w:val="00C224EF"/>
    <w:rsid w:val="00C43028"/>
    <w:rsid w:val="00C719C4"/>
    <w:rsid w:val="00C85586"/>
    <w:rsid w:val="00CA1BF6"/>
    <w:rsid w:val="00CD5186"/>
    <w:rsid w:val="00CE0A61"/>
    <w:rsid w:val="00D02A6B"/>
    <w:rsid w:val="00D12359"/>
    <w:rsid w:val="00D14A45"/>
    <w:rsid w:val="00D22C71"/>
    <w:rsid w:val="00D237F1"/>
    <w:rsid w:val="00D24CDA"/>
    <w:rsid w:val="00D50E68"/>
    <w:rsid w:val="00D70340"/>
    <w:rsid w:val="00D87290"/>
    <w:rsid w:val="00D932EE"/>
    <w:rsid w:val="00D95A65"/>
    <w:rsid w:val="00DA0D9A"/>
    <w:rsid w:val="00DB31E8"/>
    <w:rsid w:val="00DB64EF"/>
    <w:rsid w:val="00DC0AD7"/>
    <w:rsid w:val="00DD150C"/>
    <w:rsid w:val="00DE712C"/>
    <w:rsid w:val="00DF1D9B"/>
    <w:rsid w:val="00DF5CA1"/>
    <w:rsid w:val="00E10911"/>
    <w:rsid w:val="00E2308C"/>
    <w:rsid w:val="00E24558"/>
    <w:rsid w:val="00E375AD"/>
    <w:rsid w:val="00E56948"/>
    <w:rsid w:val="00E62E4F"/>
    <w:rsid w:val="00E7427C"/>
    <w:rsid w:val="00E82F93"/>
    <w:rsid w:val="00E862A0"/>
    <w:rsid w:val="00E86A82"/>
    <w:rsid w:val="00E917E9"/>
    <w:rsid w:val="00EA352C"/>
    <w:rsid w:val="00EA3DC5"/>
    <w:rsid w:val="00EC445F"/>
    <w:rsid w:val="00EC6622"/>
    <w:rsid w:val="00EF7194"/>
    <w:rsid w:val="00F12F54"/>
    <w:rsid w:val="00F16786"/>
    <w:rsid w:val="00F23DD0"/>
    <w:rsid w:val="00F305FC"/>
    <w:rsid w:val="00F4775D"/>
    <w:rsid w:val="00F62AE4"/>
    <w:rsid w:val="00F7621F"/>
    <w:rsid w:val="00F96679"/>
    <w:rsid w:val="00FA3B70"/>
    <w:rsid w:val="00FA43D9"/>
    <w:rsid w:val="00FB2559"/>
    <w:rsid w:val="00FB390C"/>
    <w:rsid w:val="00FD40A6"/>
    <w:rsid w:val="00FF1E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BE5C71"/>
  <w15:chartTrackingRefBased/>
  <w15:docId w15:val="{297A9C8A-0F53-495D-BC22-6CCE7857D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21F"/>
  </w:style>
  <w:style w:type="paragraph" w:styleId="Heading1">
    <w:name w:val="heading 1"/>
    <w:basedOn w:val="Normal"/>
    <w:next w:val="Normal"/>
    <w:link w:val="Heading1Char"/>
    <w:uiPriority w:val="9"/>
    <w:qFormat/>
    <w:rsid w:val="00F762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62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62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62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62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62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2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2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2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2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62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62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62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62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62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2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2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21F"/>
    <w:rPr>
      <w:rFonts w:eastAsiaTheme="majorEastAsia" w:cstheme="majorBidi"/>
      <w:color w:val="272727" w:themeColor="text1" w:themeTint="D8"/>
    </w:rPr>
  </w:style>
  <w:style w:type="paragraph" w:styleId="Title">
    <w:name w:val="Title"/>
    <w:basedOn w:val="Normal"/>
    <w:next w:val="Normal"/>
    <w:link w:val="TitleChar"/>
    <w:uiPriority w:val="10"/>
    <w:qFormat/>
    <w:rsid w:val="00F762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2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2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2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21F"/>
    <w:pPr>
      <w:spacing w:before="160"/>
      <w:jc w:val="center"/>
    </w:pPr>
    <w:rPr>
      <w:i/>
      <w:iCs/>
      <w:color w:val="404040" w:themeColor="text1" w:themeTint="BF"/>
    </w:rPr>
  </w:style>
  <w:style w:type="character" w:customStyle="1" w:styleId="QuoteChar">
    <w:name w:val="Quote Char"/>
    <w:basedOn w:val="DefaultParagraphFont"/>
    <w:link w:val="Quote"/>
    <w:uiPriority w:val="29"/>
    <w:rsid w:val="00F7621F"/>
    <w:rPr>
      <w:i/>
      <w:iCs/>
      <w:color w:val="404040" w:themeColor="text1" w:themeTint="BF"/>
    </w:rPr>
  </w:style>
  <w:style w:type="paragraph" w:styleId="ListParagraph">
    <w:name w:val="List Paragraph"/>
    <w:basedOn w:val="Normal"/>
    <w:uiPriority w:val="34"/>
    <w:qFormat/>
    <w:rsid w:val="00F7621F"/>
    <w:pPr>
      <w:ind w:left="720"/>
      <w:contextualSpacing/>
    </w:pPr>
  </w:style>
  <w:style w:type="character" w:styleId="IntenseEmphasis">
    <w:name w:val="Intense Emphasis"/>
    <w:basedOn w:val="DefaultParagraphFont"/>
    <w:uiPriority w:val="21"/>
    <w:qFormat/>
    <w:rsid w:val="00F7621F"/>
    <w:rPr>
      <w:i/>
      <w:iCs/>
      <w:color w:val="2F5496" w:themeColor="accent1" w:themeShade="BF"/>
    </w:rPr>
  </w:style>
  <w:style w:type="paragraph" w:styleId="IntenseQuote">
    <w:name w:val="Intense Quote"/>
    <w:basedOn w:val="Normal"/>
    <w:next w:val="Normal"/>
    <w:link w:val="IntenseQuoteChar"/>
    <w:uiPriority w:val="30"/>
    <w:qFormat/>
    <w:rsid w:val="00F762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621F"/>
    <w:rPr>
      <w:i/>
      <w:iCs/>
      <w:color w:val="2F5496" w:themeColor="accent1" w:themeShade="BF"/>
    </w:rPr>
  </w:style>
  <w:style w:type="character" w:styleId="IntenseReference">
    <w:name w:val="Intense Reference"/>
    <w:basedOn w:val="DefaultParagraphFont"/>
    <w:uiPriority w:val="32"/>
    <w:qFormat/>
    <w:rsid w:val="00F7621F"/>
    <w:rPr>
      <w:b/>
      <w:bCs/>
      <w:smallCaps/>
      <w:color w:val="2F5496" w:themeColor="accent1" w:themeShade="BF"/>
      <w:spacing w:val="5"/>
    </w:rPr>
  </w:style>
  <w:style w:type="paragraph" w:styleId="NormalWeb">
    <w:name w:val="Normal (Web)"/>
    <w:basedOn w:val="Normal"/>
    <w:uiPriority w:val="99"/>
    <w:unhideWhenUsed/>
    <w:rsid w:val="003753BA"/>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styleId="Hyperlink">
    <w:name w:val="Hyperlink"/>
    <w:basedOn w:val="DefaultParagraphFont"/>
    <w:uiPriority w:val="99"/>
    <w:unhideWhenUsed/>
    <w:rsid w:val="008E08EB"/>
    <w:rPr>
      <w:color w:val="0563C1" w:themeColor="hyperlink"/>
      <w:u w:val="single"/>
    </w:rPr>
  </w:style>
  <w:style w:type="character" w:styleId="UnresolvedMention">
    <w:name w:val="Unresolved Mention"/>
    <w:basedOn w:val="DefaultParagraphFont"/>
    <w:uiPriority w:val="99"/>
    <w:semiHidden/>
    <w:unhideWhenUsed/>
    <w:rsid w:val="008E08EB"/>
    <w:rPr>
      <w:color w:val="605E5C"/>
      <w:shd w:val="clear" w:color="auto" w:fill="E1DFDD"/>
    </w:rPr>
  </w:style>
  <w:style w:type="paragraph" w:styleId="Bibliography">
    <w:name w:val="Bibliography"/>
    <w:basedOn w:val="Normal"/>
    <w:next w:val="Normal"/>
    <w:uiPriority w:val="37"/>
    <w:unhideWhenUsed/>
    <w:rsid w:val="004D08D2"/>
    <w:pPr>
      <w:tabs>
        <w:tab w:val="left" w:pos="384"/>
      </w:tabs>
      <w:spacing w:after="240" w:line="240" w:lineRule="auto"/>
      <w:ind w:left="384" w:hanging="384"/>
    </w:pPr>
  </w:style>
  <w:style w:type="paragraph" w:styleId="Header">
    <w:name w:val="header"/>
    <w:basedOn w:val="Normal"/>
    <w:link w:val="HeaderChar"/>
    <w:uiPriority w:val="99"/>
    <w:unhideWhenUsed/>
    <w:rsid w:val="00FB39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90C"/>
  </w:style>
  <w:style w:type="paragraph" w:styleId="Footer">
    <w:name w:val="footer"/>
    <w:basedOn w:val="Normal"/>
    <w:link w:val="FooterChar"/>
    <w:uiPriority w:val="99"/>
    <w:unhideWhenUsed/>
    <w:rsid w:val="00FB39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90C"/>
  </w:style>
  <w:style w:type="character" w:styleId="Emphasis">
    <w:name w:val="Emphasis"/>
    <w:basedOn w:val="DefaultParagraphFont"/>
    <w:uiPriority w:val="20"/>
    <w:qFormat/>
    <w:rsid w:val="00E62E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ymol.org/" TargetMode="External"/><Relationship Id="rId13" Type="http://schemas.openxmlformats.org/officeDocument/2006/relationships/hyperlink" Target="https://github.com/xucongs/ConfG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lip-tool.biotec.tu-dresden.de/plip-web/plip/inde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thub.com/gnina/gnin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07/s13277-015-3682-x" TargetMode="External"/><Relationship Id="rId4" Type="http://schemas.openxmlformats.org/officeDocument/2006/relationships/settings" Target="settings.xml"/><Relationship Id="rId9" Type="http://schemas.openxmlformats.org/officeDocument/2006/relationships/hyperlink" Target="https://salilab.org/modell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42A49-703B-4A30-BCB0-3D41D3C45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729</TotalTime>
  <Pages>15</Pages>
  <Words>4625</Words>
  <Characters>26366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Khushboo Sharma</dc:creator>
  <cp:keywords/>
  <dc:description/>
  <cp:lastModifiedBy>Khushboo Sharma</cp:lastModifiedBy>
  <cp:revision>97</cp:revision>
  <dcterms:created xsi:type="dcterms:W3CDTF">2025-10-27T06:57:00Z</dcterms:created>
  <dcterms:modified xsi:type="dcterms:W3CDTF">2026-05-22T04:33:00Z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73821eae-837a-4c61-98ac-dd04bee2b023</vt:lpwstr>
  </property>
  <property fmtid="{D5CDD505-2E9C-101B-9397-08002B2CF9AE}" pid="3" name="ZOTERO_PREF_1">
    <vt:lpwstr>&lt;data data-version="3" zotero-version="7.0.32"&gt;&lt;session id="gTfZQ7oT"/&gt;&lt;style id="http://www.zotero.org/styles/nlm-citation-sequence" locale="en-US" hasBibliography="1" bibliographyStyleHasBeenSet="1"/&gt;&lt;prefs&gt;&lt;pref name="fieldType" value="Field"/&gt;&lt;pref na</vt:lpwstr>
  </property>
  <property fmtid="{D5CDD505-2E9C-101B-9397-08002B2CF9AE}" pid="4" name="ZOTERO_PREF_2">
    <vt:lpwstr>me="delayCitationUpdates" value="true"/&gt;&lt;pref name="dontAskDelayCitationUpdates" value="true"/&gt;&lt;/prefs&gt;&lt;/data&gt;</vt:lpwstr>
  </property>
</Properties>
</file>