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F7C426" w14:textId="77777777" w:rsidR="005A164E" w:rsidRDefault="00000000">
      <w:pPr>
        <w:widowControl w:val="0"/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21ABC0A" wp14:editId="26AC8AB9">
            <wp:extent cx="5943600" cy="46228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2CD860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S1: Supplementary figure for Figure 1</w:t>
      </w:r>
    </w:p>
    <w:p w14:paraId="007583F1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Manhattan plots (left) and quantile–quantile (QQ) plots (right) of GWAS summary statistics. (Continued on the next page)</w:t>
      </w:r>
    </w:p>
    <w:p w14:paraId="37535658" w14:textId="77777777" w:rsidR="005A164E" w:rsidRDefault="005A164E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444BD" w14:textId="77777777" w:rsidR="005A164E" w:rsidRDefault="00000000">
      <w:pPr>
        <w:widowControl w:val="0"/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452B2CC" wp14:editId="33A222E9">
            <wp:extent cx="5943600" cy="4622800"/>
            <wp:effectExtent l="0" t="0" r="0" b="0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6DD2A2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Figure S1 (continued): </w:t>
      </w:r>
    </w:p>
    <w:p w14:paraId="1D369819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Manhattan plots and quantile–quantile (QQ) plots of GWAS summary statistics.</w:t>
      </w:r>
    </w:p>
    <w:p w14:paraId="5275CBAD" w14:textId="77777777" w:rsidR="005A164E" w:rsidRDefault="005A164E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138876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E222693" wp14:editId="2F2EBEC1">
            <wp:extent cx="5738813" cy="5656041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8813" cy="56560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66DDD3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S2: Supplementary figure for Figure 1</w:t>
      </w:r>
    </w:p>
    <w:p w14:paraId="5958C204" w14:textId="77777777" w:rsidR="005A164E" w:rsidRPr="004B0464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64">
        <w:rPr>
          <w:rFonts w:ascii="Times New Roman" w:eastAsia="Gungsuh" w:hAnsi="Times New Roman" w:cs="Times New Roman"/>
          <w:sz w:val="24"/>
          <w:szCs w:val="24"/>
        </w:rPr>
        <w:t>Scatter plots illustrating MAGMA gene-based association results for RMP genes. The y-axis represents −log₁₀(FDR), and the x-axis corresponds to genes ranked by −log₁₀(FDR). Annotated dark blue dots represent significantly associated RMR genes; light blue dots represent significantly associated genes (FDR&lt;0.05); gray dots represent non-significant genes (FDR&gt;0.05). Total sample sizes of the GWAS summary statistics (No. sample) and the counts of significantly associated RMP genes and total genes (No. gene) are indicated for each cohort.</w:t>
      </w:r>
    </w:p>
    <w:p w14:paraId="3D17EF8A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2F58B46D" wp14:editId="790E89EB">
            <wp:extent cx="5943600" cy="5854700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4D6409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S3: Supplementary figure for Figure 1</w:t>
      </w:r>
    </w:p>
    <w:p w14:paraId="6603A47A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Scatter plots illustrating H-MAGMA gene-based association results for RMP genes. </w:t>
      </w:r>
    </w:p>
    <w:p w14:paraId="34C9DC26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3DCDF1C9" wp14:editId="20C177C6">
            <wp:extent cx="5943600" cy="5892800"/>
            <wp:effectExtent l="0" t="0" r="0" b="0"/>
            <wp:docPr id="1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9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0F7300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S4: Supplementary figure for Figure 1</w:t>
      </w:r>
    </w:p>
    <w:p w14:paraId="4EBB8EA2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Scatter plots illustrating FUSION-based TWAS results based on DLPFC reference panels.</w:t>
      </w:r>
    </w:p>
    <w:p w14:paraId="0C5BA935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391CB2E8" wp14:editId="1D084F2A">
            <wp:extent cx="5943600" cy="5892800"/>
            <wp:effectExtent l="0" t="0" r="0" b="0"/>
            <wp:docPr id="1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9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770D41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S5: Supplementary figure for Figure 1</w:t>
      </w:r>
    </w:p>
    <w:p w14:paraId="79443686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Scatter plots illustrating FUSION-based TWAS results based on Blood reference panels.</w:t>
      </w:r>
    </w:p>
    <w:p w14:paraId="48ECB08F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2D1D2C6" wp14:editId="268FF1F0">
            <wp:extent cx="5943600" cy="4495800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3E3DC8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S6: Supplementary figure for Figure 1</w:t>
      </w:r>
    </w:p>
    <w:p w14:paraId="5DD507B5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Scatter plots illustrating SMR results based on DLPFC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eQTL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reference panels.</w:t>
      </w:r>
    </w:p>
    <w:p w14:paraId="509593BA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B414F43" wp14:editId="138ABDB2">
            <wp:extent cx="5943600" cy="6553200"/>
            <wp:effectExtent l="0" t="0" r="0" b="0"/>
            <wp:docPr id="1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5132C5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S7: Supplementary figure for Figure 1</w:t>
      </w:r>
    </w:p>
    <w:p w14:paraId="67156E21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SMR analysis results based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eQTLs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different brain regions as references. The score is calculated as -sign(beta)*log10(FDR). Asterisks indicate significant associations with FDR &lt; 0.05.</w:t>
      </w:r>
    </w:p>
    <w:p w14:paraId="3C2EDB87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C9C0EFC" wp14:editId="19F7B1AA">
            <wp:extent cx="5943600" cy="4127500"/>
            <wp:effectExtent l="0" t="0" r="0" b="0"/>
            <wp:docPr id="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A8A754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S8: Supplementary figure for Figure 1</w:t>
      </w:r>
    </w:p>
    <w:p w14:paraId="1D2820D4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SMR analysis results based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eQTLs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different cell types as references. The score is calculated as -sign(beta)*log10(FDR). Asterisks indicate significant associations with FDR &lt; 0.05.</w:t>
      </w:r>
    </w:p>
    <w:p w14:paraId="27801A4B" w14:textId="77777777" w:rsidR="005A164E" w:rsidRDefault="005A164E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7D6857" w14:textId="77777777" w:rsidR="005A164E" w:rsidRDefault="005A164E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18BB2D" w14:textId="77777777" w:rsidR="005A164E" w:rsidRDefault="005A164E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D1AB01" w14:textId="77777777" w:rsidR="005A164E" w:rsidRDefault="005A164E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9A105E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E67919C" wp14:editId="7649F91E">
            <wp:extent cx="5943600" cy="4419600"/>
            <wp:effectExtent l="0" t="0" r="0" b="0"/>
            <wp:docPr id="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72B92B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S9: Supplementary figure for Figure 1</w:t>
      </w:r>
    </w:p>
    <w:p w14:paraId="38368A5A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Scatter plots illustrating SMR results based on DLPFC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sQTL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reference panels.</w:t>
      </w:r>
    </w:p>
    <w:p w14:paraId="1F666F78" w14:textId="77777777" w:rsidR="005A164E" w:rsidRDefault="00000000">
      <w:pPr>
        <w:widowControl w:val="0"/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EE6DFE0" wp14:editId="4A273E1C">
            <wp:extent cx="5943600" cy="5791200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CF2117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S10: Supplementary figure for Figure 4</w:t>
      </w:r>
    </w:p>
    <w:p w14:paraId="203548AC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Stacked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LocusZoom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plots provide a regional view of GWAS signals and fine-mapping posterior inclusion probabilities (PIPs) for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NSUN2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(BIPI),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QTRT1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(BIPI),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MRM1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(BIPI),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TYW5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(SCZ),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NSUN6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(SCZ), and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TRMT61A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(SCZ). For each region, a ±500 kb genomic region centered on the gene locus is shown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LocusZoom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plots. Gray rectangles indicate the gene body and promoter regions within the genomic locus.</w:t>
      </w:r>
    </w:p>
    <w:p w14:paraId="3731B5BE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E8698AE" wp14:editId="6C9C2340">
            <wp:extent cx="5186363" cy="6591002"/>
            <wp:effectExtent l="0" t="0" r="0" b="0"/>
            <wp:docPr id="1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6363" cy="65910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1609E7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S11: Supplementary figure for Figure 4</w:t>
      </w:r>
    </w:p>
    <w:p w14:paraId="2D868829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Two-sample Mendelian randomization and colocalization analyses for prioritized RMP genes in BIPI. Results are shown for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NSUN2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TYW5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TRMT61A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NSUN6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Left panels: scatter plots depicting GWAS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eQTL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effect sizes for individual SNPs, with regression lines for each MR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method; the slope represents the estimated causal effect. Middle panels: forest plots summarizing the estimated causal effects from different MR methods. Right panels: colocalization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LocusZoom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plots with corresponding scatter plots of GWAS versus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eQTL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association P-values.</w:t>
      </w:r>
    </w:p>
    <w:p w14:paraId="7899B708" w14:textId="77777777" w:rsidR="004B0464" w:rsidRDefault="004B0464">
      <w:pPr>
        <w:widowControl w:val="0"/>
        <w:spacing w:line="480" w:lineRule="auto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</w:p>
    <w:p w14:paraId="1D224AF0" w14:textId="77777777" w:rsidR="005A164E" w:rsidRDefault="005A164E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A19BF3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3D013880" wp14:editId="72E14FB4">
            <wp:extent cx="5398982" cy="6826597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8982" cy="68265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E88D0D" w14:textId="77777777" w:rsidR="005A164E" w:rsidRDefault="00000000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S12: Supplementary figure for Figure 4</w:t>
      </w:r>
    </w:p>
    <w:p w14:paraId="7D77E20B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Two-sample Mendelian randomization and colocalization analyses for prioritized RMP genes in SCZ.</w:t>
      </w:r>
    </w:p>
    <w:p w14:paraId="7B27B448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8BB97FD" wp14:editId="5FC29874">
            <wp:extent cx="5943600" cy="4064000"/>
            <wp:effectExtent l="0" t="0" r="0" b="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3C2AC3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S13: Supplementary figure for Figure 5</w:t>
      </w:r>
    </w:p>
    <w:p w14:paraId="48415760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analysis results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xQTL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–trait associations for the candidate genes</w:t>
      </w:r>
    </w:p>
    <w:p w14:paraId="0DC1E43B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75F8849" wp14:editId="36FC32CF">
            <wp:extent cx="4805363" cy="7093630"/>
            <wp:effectExtent l="0" t="0" r="0" b="0"/>
            <wp:docPr id="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363" cy="7093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5D638E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S14: Supplementary figure for Figure 6</w:t>
      </w:r>
    </w:p>
    <w:p w14:paraId="33C11A4D" w14:textId="77777777" w:rsidR="005A164E" w:rsidRDefault="0000000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Logistic regression analysis of isoform expression-trait associations. Forest plots present the Beta values and 95% confidence intervals (CI) derived from logistic regression models evaluating the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association between transcript expression and BIP or SCZ status (*, FDR &lt; 0.05).</w:t>
      </w:r>
    </w:p>
    <w:sectPr w:rsidR="005A16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8E6BB29-0715-BC4D-860E-71EA2598F9FB}"/>
    <w:embedItalic r:id="rId2" w:fontKey="{59C7A564-AFCC-3641-A29A-9037B4C4C141}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902146C-9CF5-3A42-875F-D161F49B9C52}"/>
    <w:embedItalic r:id="rId4" w:fontKey="{B061D7D4-0EB5-ED42-8CD6-98254FE3649E}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FE142907-4A23-6248-B006-2F3CC033B7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8EE969A-5667-4041-9BA8-B5E24DE81895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64E"/>
    <w:rsid w:val="004B0464"/>
    <w:rsid w:val="00591D91"/>
    <w:rsid w:val="005A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C17C06"/>
  <w15:docId w15:val="{9A366382-05C5-C24A-820C-51E52211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SimSun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bw li</cp:lastModifiedBy>
  <cp:revision>2</cp:revision>
  <dcterms:created xsi:type="dcterms:W3CDTF">2026-07-17T10:59:00Z</dcterms:created>
  <dcterms:modified xsi:type="dcterms:W3CDTF">2026-07-17T10:59:00Z</dcterms:modified>
</cp:coreProperties>
</file>