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25970" w14:textId="77777777" w:rsidR="00776CF7" w:rsidRPr="00536AEC" w:rsidRDefault="00776CF7" w:rsidP="00776CF7">
      <w:pPr>
        <w:spacing w:before="80" w:after="80" w:line="480" w:lineRule="auto"/>
        <w:ind w:left="720"/>
        <w:jc w:val="both"/>
        <w:rPr>
          <w:b/>
          <w:bCs/>
        </w:rPr>
      </w:pPr>
      <w:r w:rsidRPr="00536AEC">
        <w:rPr>
          <w:rFonts w:eastAsia="Calibri"/>
          <w:b/>
          <w:bCs/>
          <w:lang w:eastAsia="en-US"/>
        </w:rPr>
        <w:t xml:space="preserve">Table S1: Crude Association Between Nutritional Indicators and Early Childhood Developmental On-Track Status </w:t>
      </w:r>
    </w:p>
    <w:tbl>
      <w:tblPr>
        <w:tblStyle w:val="TableGrid"/>
        <w:tblW w:w="9823" w:type="dxa"/>
        <w:tblInd w:w="72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4"/>
        <w:gridCol w:w="1909"/>
        <w:gridCol w:w="2268"/>
        <w:gridCol w:w="2268"/>
        <w:gridCol w:w="1034"/>
      </w:tblGrid>
      <w:tr w:rsidR="00776CF7" w:rsidRPr="00536AEC" w14:paraId="4DF426AF" w14:textId="77777777" w:rsidTr="005625DA">
        <w:trPr>
          <w:trHeight w:val="551"/>
        </w:trPr>
        <w:tc>
          <w:tcPr>
            <w:tcW w:w="0" w:type="auto"/>
            <w:vMerge w:val="restart"/>
            <w:tcBorders>
              <w:top w:val="single" w:sz="4" w:space="0" w:color="auto"/>
            </w:tcBorders>
          </w:tcPr>
          <w:p w14:paraId="598E2036" w14:textId="77777777" w:rsidR="00776CF7" w:rsidRPr="007C37DB" w:rsidRDefault="00776CF7" w:rsidP="005625DA">
            <w:pPr>
              <w:keepNext/>
              <w:spacing w:before="120" w:after="240" w:line="480" w:lineRule="auto"/>
              <w:rPr>
                <w:rFonts w:eastAsia="Calibri"/>
                <w:b/>
                <w:bCs/>
                <w:color w:val="000000" w:themeColor="text1"/>
                <w:lang w:eastAsia="en-US"/>
              </w:rPr>
            </w:pPr>
            <w:r w:rsidRPr="007C37DB">
              <w:rPr>
                <w:rFonts w:eastAsia="Calibri"/>
                <w:b/>
                <w:bCs/>
                <w:color w:val="000000" w:themeColor="text1"/>
                <w:lang w:eastAsia="en-US"/>
              </w:rPr>
              <w:t>Nutritional Indicator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</w:tcBorders>
          </w:tcPr>
          <w:p w14:paraId="3C76A1A4" w14:textId="77777777" w:rsidR="00776CF7" w:rsidRPr="007C37DB" w:rsidRDefault="00776CF7" w:rsidP="005625DA">
            <w:pPr>
              <w:keepNext/>
              <w:spacing w:before="120" w:after="240" w:line="480" w:lineRule="auto"/>
              <w:rPr>
                <w:rFonts w:eastAsia="Calibri"/>
                <w:b/>
                <w:bCs/>
                <w:color w:val="000000" w:themeColor="text1"/>
                <w:lang w:eastAsia="en-US"/>
              </w:rPr>
            </w:pPr>
            <w:r w:rsidRPr="007C37DB">
              <w:rPr>
                <w:rFonts w:eastAsia="Calibri"/>
                <w:b/>
                <w:bCs/>
                <w:color w:val="000000" w:themeColor="text1"/>
                <w:lang w:eastAsia="en-US"/>
              </w:rPr>
              <w:t>Category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23EB3E" w14:textId="77777777" w:rsidR="00776CF7" w:rsidRPr="007C37DB" w:rsidRDefault="00776CF7" w:rsidP="005625DA">
            <w:pPr>
              <w:keepNext/>
              <w:spacing w:before="120" w:after="240" w:line="480" w:lineRule="auto"/>
              <w:jc w:val="center"/>
              <w:rPr>
                <w:rFonts w:eastAsia="Calibri"/>
                <w:b/>
                <w:bCs/>
                <w:color w:val="000000" w:themeColor="text1"/>
                <w:lang w:eastAsia="en-US"/>
              </w:rPr>
            </w:pPr>
            <w:r w:rsidRPr="007C37DB">
              <w:rPr>
                <w:rFonts w:eastAsia="Calibri"/>
                <w:b/>
                <w:bCs/>
                <w:color w:val="000000" w:themeColor="text1"/>
                <w:lang w:eastAsia="en-US"/>
              </w:rPr>
              <w:t>Developmental Status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</w:tcBorders>
          </w:tcPr>
          <w:p w14:paraId="33047B1F" w14:textId="77777777" w:rsidR="00776CF7" w:rsidRPr="007C37DB" w:rsidRDefault="00776CF7" w:rsidP="005625DA">
            <w:pPr>
              <w:keepNext/>
              <w:spacing w:before="120" w:after="240" w:line="480" w:lineRule="auto"/>
              <w:rPr>
                <w:rFonts w:eastAsia="Calibri"/>
                <w:b/>
                <w:bCs/>
                <w:color w:val="000000" w:themeColor="text1"/>
                <w:lang w:eastAsia="en-US"/>
              </w:rPr>
            </w:pPr>
            <w:r w:rsidRPr="007C37DB">
              <w:rPr>
                <w:rFonts w:eastAsia="Calibri"/>
                <w:b/>
                <w:bCs/>
                <w:color w:val="000000" w:themeColor="text1"/>
                <w:lang w:eastAsia="en-US"/>
              </w:rPr>
              <w:t>p-value</w:t>
            </w:r>
          </w:p>
        </w:tc>
      </w:tr>
      <w:tr w:rsidR="00776CF7" w:rsidRPr="00536AEC" w14:paraId="409C597E" w14:textId="77777777" w:rsidTr="005625DA">
        <w:trPr>
          <w:trHeight w:val="551"/>
        </w:trPr>
        <w:tc>
          <w:tcPr>
            <w:tcW w:w="0" w:type="auto"/>
            <w:vMerge/>
            <w:tcBorders>
              <w:bottom w:val="single" w:sz="4" w:space="0" w:color="auto"/>
            </w:tcBorders>
            <w:hideMark/>
          </w:tcPr>
          <w:p w14:paraId="2A7CD9EC" w14:textId="77777777" w:rsidR="00776CF7" w:rsidRPr="007C37DB" w:rsidRDefault="00776CF7" w:rsidP="005625DA">
            <w:pPr>
              <w:keepNext/>
              <w:spacing w:before="120" w:after="240" w:line="480" w:lineRule="auto"/>
              <w:rPr>
                <w:rFonts w:eastAsia="Calibri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1909" w:type="dxa"/>
            <w:vMerge/>
            <w:tcBorders>
              <w:bottom w:val="single" w:sz="4" w:space="0" w:color="auto"/>
            </w:tcBorders>
            <w:hideMark/>
          </w:tcPr>
          <w:p w14:paraId="12C0FE1E" w14:textId="77777777" w:rsidR="00776CF7" w:rsidRPr="007C37DB" w:rsidRDefault="00776CF7" w:rsidP="005625DA">
            <w:pPr>
              <w:keepNext/>
              <w:spacing w:before="120" w:after="240" w:line="480" w:lineRule="auto"/>
              <w:rPr>
                <w:rFonts w:eastAsia="Calibri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0E16E0A" w14:textId="77777777" w:rsidR="00776CF7" w:rsidRPr="007C37DB" w:rsidRDefault="00776CF7" w:rsidP="005625DA">
            <w:pPr>
              <w:keepNext/>
              <w:spacing w:before="120" w:after="240" w:line="480" w:lineRule="auto"/>
              <w:rPr>
                <w:rFonts w:eastAsia="Calibri"/>
                <w:b/>
                <w:bCs/>
                <w:color w:val="000000" w:themeColor="text1"/>
                <w:lang w:eastAsia="en-US"/>
              </w:rPr>
            </w:pPr>
            <w:r w:rsidRPr="007C37DB">
              <w:rPr>
                <w:rFonts w:eastAsia="Calibri"/>
                <w:b/>
                <w:bCs/>
                <w:color w:val="000000" w:themeColor="text1"/>
                <w:lang w:eastAsia="en-US"/>
              </w:rPr>
              <w:t>Not on Track n (%)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3471E65" w14:textId="77777777" w:rsidR="00776CF7" w:rsidRPr="007C37DB" w:rsidRDefault="00776CF7" w:rsidP="005625DA">
            <w:pPr>
              <w:keepNext/>
              <w:spacing w:before="120" w:after="240" w:line="480" w:lineRule="auto"/>
              <w:rPr>
                <w:rFonts w:eastAsia="Calibri"/>
                <w:b/>
                <w:bCs/>
                <w:color w:val="000000" w:themeColor="text1"/>
                <w:lang w:eastAsia="en-US"/>
              </w:rPr>
            </w:pPr>
            <w:r w:rsidRPr="007C37DB">
              <w:rPr>
                <w:rFonts w:eastAsia="Calibri"/>
                <w:b/>
                <w:bCs/>
                <w:color w:val="000000" w:themeColor="text1"/>
                <w:lang w:eastAsia="en-US"/>
              </w:rPr>
              <w:t xml:space="preserve"> On Track n (%)</w:t>
            </w:r>
          </w:p>
        </w:tc>
        <w:tc>
          <w:tcPr>
            <w:tcW w:w="1034" w:type="dxa"/>
            <w:vMerge/>
            <w:tcBorders>
              <w:bottom w:val="single" w:sz="4" w:space="0" w:color="auto"/>
            </w:tcBorders>
            <w:hideMark/>
          </w:tcPr>
          <w:p w14:paraId="4A65DB56" w14:textId="77777777" w:rsidR="00776CF7" w:rsidRPr="007C37DB" w:rsidRDefault="00776CF7" w:rsidP="005625DA">
            <w:pPr>
              <w:keepNext/>
              <w:spacing w:before="120" w:after="240" w:line="480" w:lineRule="auto"/>
              <w:rPr>
                <w:rFonts w:eastAsia="Calibri"/>
                <w:b/>
                <w:bCs/>
                <w:color w:val="000000" w:themeColor="text1"/>
                <w:lang w:eastAsia="en-US"/>
              </w:rPr>
            </w:pPr>
          </w:p>
        </w:tc>
      </w:tr>
      <w:tr w:rsidR="00776CF7" w:rsidRPr="00536AEC" w14:paraId="4B52E1F2" w14:textId="77777777" w:rsidTr="005625DA">
        <w:trPr>
          <w:trHeight w:val="544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hideMark/>
          </w:tcPr>
          <w:p w14:paraId="49221C27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b/>
                <w:bCs/>
                <w:lang w:eastAsia="en-US"/>
              </w:rPr>
            </w:pPr>
            <w:r w:rsidRPr="00536AEC">
              <w:rPr>
                <w:rFonts w:eastAsia="Calibri"/>
                <w:b/>
                <w:bCs/>
                <w:lang w:eastAsia="en-US"/>
              </w:rPr>
              <w:t>Acute Malnutrition</w:t>
            </w:r>
          </w:p>
        </w:tc>
        <w:tc>
          <w:tcPr>
            <w:tcW w:w="1909" w:type="dxa"/>
            <w:tcBorders>
              <w:top w:val="single" w:sz="4" w:space="0" w:color="auto"/>
            </w:tcBorders>
          </w:tcPr>
          <w:p w14:paraId="3C9ED4CB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Malnutrition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3456344E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240 (38.2%)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6A2175E4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388 (61.8%)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</w:tcBorders>
          </w:tcPr>
          <w:p w14:paraId="20B498B3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&lt;0.001</w:t>
            </w:r>
          </w:p>
        </w:tc>
      </w:tr>
      <w:tr w:rsidR="00776CF7" w:rsidRPr="00536AEC" w14:paraId="5E52E5CA" w14:textId="77777777" w:rsidTr="005625DA">
        <w:trPr>
          <w:trHeight w:val="109"/>
        </w:trPr>
        <w:tc>
          <w:tcPr>
            <w:tcW w:w="0" w:type="auto"/>
            <w:vMerge/>
            <w:hideMark/>
          </w:tcPr>
          <w:p w14:paraId="45B2CF5D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1909" w:type="dxa"/>
          </w:tcPr>
          <w:p w14:paraId="77CA0371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Normal</w:t>
            </w:r>
          </w:p>
        </w:tc>
        <w:tc>
          <w:tcPr>
            <w:tcW w:w="2268" w:type="dxa"/>
          </w:tcPr>
          <w:p w14:paraId="1BF2EC08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336 (21.7%)</w:t>
            </w:r>
          </w:p>
        </w:tc>
        <w:tc>
          <w:tcPr>
            <w:tcW w:w="2268" w:type="dxa"/>
          </w:tcPr>
          <w:p w14:paraId="5155AAA0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1,211 (78.3%)</w:t>
            </w:r>
          </w:p>
        </w:tc>
        <w:tc>
          <w:tcPr>
            <w:tcW w:w="1034" w:type="dxa"/>
            <w:vMerge/>
          </w:tcPr>
          <w:p w14:paraId="5E7F8D0C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</w:p>
        </w:tc>
      </w:tr>
      <w:tr w:rsidR="00776CF7" w:rsidRPr="00536AEC" w14:paraId="2357CA1E" w14:textId="77777777" w:rsidTr="005625DA">
        <w:trPr>
          <w:trHeight w:val="544"/>
        </w:trPr>
        <w:tc>
          <w:tcPr>
            <w:tcW w:w="0" w:type="auto"/>
            <w:vMerge w:val="restart"/>
            <w:hideMark/>
          </w:tcPr>
          <w:p w14:paraId="2D466DD2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b/>
                <w:bCs/>
                <w:lang w:eastAsia="en-US"/>
              </w:rPr>
            </w:pPr>
            <w:r w:rsidRPr="00536AEC">
              <w:rPr>
                <w:rFonts w:eastAsia="Calibri"/>
                <w:b/>
                <w:bCs/>
                <w:lang w:eastAsia="en-US"/>
              </w:rPr>
              <w:t>Stunting</w:t>
            </w:r>
          </w:p>
        </w:tc>
        <w:tc>
          <w:tcPr>
            <w:tcW w:w="1909" w:type="dxa"/>
            <w:hideMark/>
          </w:tcPr>
          <w:p w14:paraId="01EFD94D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Stunted</w:t>
            </w:r>
          </w:p>
        </w:tc>
        <w:tc>
          <w:tcPr>
            <w:tcW w:w="2268" w:type="dxa"/>
            <w:hideMark/>
          </w:tcPr>
          <w:p w14:paraId="69700170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254 (29.6%)</w:t>
            </w:r>
          </w:p>
        </w:tc>
        <w:tc>
          <w:tcPr>
            <w:tcW w:w="2268" w:type="dxa"/>
            <w:hideMark/>
          </w:tcPr>
          <w:p w14:paraId="08F414D0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603 (70.3%)</w:t>
            </w:r>
          </w:p>
        </w:tc>
        <w:tc>
          <w:tcPr>
            <w:tcW w:w="1034" w:type="dxa"/>
            <w:vMerge w:val="restart"/>
            <w:hideMark/>
          </w:tcPr>
          <w:p w14:paraId="16CF21FE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0.007</w:t>
            </w:r>
          </w:p>
        </w:tc>
      </w:tr>
      <w:tr w:rsidR="00776CF7" w:rsidRPr="00536AEC" w14:paraId="2F7B4EC9" w14:textId="77777777" w:rsidTr="005625DA">
        <w:trPr>
          <w:trHeight w:val="109"/>
        </w:trPr>
        <w:tc>
          <w:tcPr>
            <w:tcW w:w="0" w:type="auto"/>
            <w:vMerge/>
            <w:hideMark/>
          </w:tcPr>
          <w:p w14:paraId="79F1A741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1909" w:type="dxa"/>
          </w:tcPr>
          <w:p w14:paraId="46AA57F5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Non-Stunted</w:t>
            </w:r>
          </w:p>
        </w:tc>
        <w:tc>
          <w:tcPr>
            <w:tcW w:w="2268" w:type="dxa"/>
          </w:tcPr>
          <w:p w14:paraId="0FFD28D9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322 (24.5%)</w:t>
            </w:r>
          </w:p>
        </w:tc>
        <w:tc>
          <w:tcPr>
            <w:tcW w:w="2268" w:type="dxa"/>
          </w:tcPr>
          <w:p w14:paraId="7E14D44F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996 (75.5%)</w:t>
            </w:r>
          </w:p>
        </w:tc>
        <w:tc>
          <w:tcPr>
            <w:tcW w:w="1034" w:type="dxa"/>
            <w:vMerge/>
          </w:tcPr>
          <w:p w14:paraId="0021E5D8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</w:p>
        </w:tc>
      </w:tr>
      <w:tr w:rsidR="00776CF7" w:rsidRPr="00536AEC" w14:paraId="046B5122" w14:textId="77777777" w:rsidTr="005625DA">
        <w:trPr>
          <w:trHeight w:val="551"/>
        </w:trPr>
        <w:tc>
          <w:tcPr>
            <w:tcW w:w="0" w:type="auto"/>
            <w:hideMark/>
          </w:tcPr>
          <w:p w14:paraId="288A3B28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b/>
                <w:bCs/>
                <w:lang w:eastAsia="en-US"/>
              </w:rPr>
            </w:pPr>
            <w:r w:rsidRPr="00536AEC">
              <w:rPr>
                <w:rFonts w:eastAsia="Calibri"/>
                <w:b/>
                <w:bCs/>
                <w:lang w:eastAsia="en-US"/>
              </w:rPr>
              <w:t>Underweight</w:t>
            </w:r>
          </w:p>
        </w:tc>
        <w:tc>
          <w:tcPr>
            <w:tcW w:w="1909" w:type="dxa"/>
            <w:hideMark/>
          </w:tcPr>
          <w:p w14:paraId="5A0C2FFE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Underweight</w:t>
            </w:r>
          </w:p>
        </w:tc>
        <w:tc>
          <w:tcPr>
            <w:tcW w:w="2268" w:type="dxa"/>
            <w:hideMark/>
          </w:tcPr>
          <w:p w14:paraId="209A0189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t>465 (40.6)</w:t>
            </w:r>
          </w:p>
        </w:tc>
        <w:tc>
          <w:tcPr>
            <w:tcW w:w="2268" w:type="dxa"/>
            <w:hideMark/>
          </w:tcPr>
          <w:p w14:paraId="4F39AB93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t>681 (59.4)</w:t>
            </w:r>
          </w:p>
        </w:tc>
        <w:tc>
          <w:tcPr>
            <w:tcW w:w="1034" w:type="dxa"/>
            <w:vMerge w:val="restart"/>
            <w:hideMark/>
          </w:tcPr>
          <w:p w14:paraId="72781931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&lt;0.001</w:t>
            </w:r>
          </w:p>
        </w:tc>
      </w:tr>
      <w:tr w:rsidR="00776CF7" w:rsidRPr="00536AEC" w14:paraId="3EA586CB" w14:textId="77777777" w:rsidTr="005625DA">
        <w:trPr>
          <w:trHeight w:val="551"/>
        </w:trPr>
        <w:tc>
          <w:tcPr>
            <w:tcW w:w="0" w:type="auto"/>
            <w:hideMark/>
          </w:tcPr>
          <w:p w14:paraId="24144139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1909" w:type="dxa"/>
            <w:hideMark/>
          </w:tcPr>
          <w:p w14:paraId="3816E034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Normal Weight</w:t>
            </w:r>
          </w:p>
        </w:tc>
        <w:tc>
          <w:tcPr>
            <w:tcW w:w="2268" w:type="dxa"/>
            <w:hideMark/>
          </w:tcPr>
          <w:p w14:paraId="60A40314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t>111 (10.8)</w:t>
            </w:r>
          </w:p>
        </w:tc>
        <w:tc>
          <w:tcPr>
            <w:tcW w:w="2268" w:type="dxa"/>
            <w:hideMark/>
          </w:tcPr>
          <w:p w14:paraId="0F170E74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t>918(89.2)</w:t>
            </w:r>
          </w:p>
        </w:tc>
        <w:tc>
          <w:tcPr>
            <w:tcW w:w="1034" w:type="dxa"/>
            <w:vMerge/>
            <w:hideMark/>
          </w:tcPr>
          <w:p w14:paraId="0292391C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</w:p>
        </w:tc>
      </w:tr>
      <w:tr w:rsidR="00776CF7" w:rsidRPr="00536AEC" w14:paraId="0597B004" w14:textId="77777777" w:rsidTr="005625DA">
        <w:trPr>
          <w:trHeight w:val="544"/>
        </w:trPr>
        <w:tc>
          <w:tcPr>
            <w:tcW w:w="0" w:type="auto"/>
            <w:vMerge w:val="restart"/>
            <w:hideMark/>
          </w:tcPr>
          <w:p w14:paraId="6F30E63F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b/>
                <w:bCs/>
                <w:lang w:eastAsia="en-US"/>
              </w:rPr>
            </w:pPr>
            <w:r w:rsidRPr="00536AEC">
              <w:rPr>
                <w:rFonts w:eastAsia="Calibri"/>
                <w:b/>
                <w:bCs/>
                <w:lang w:eastAsia="en-US"/>
              </w:rPr>
              <w:t>Anemia</w:t>
            </w:r>
          </w:p>
        </w:tc>
        <w:tc>
          <w:tcPr>
            <w:tcW w:w="1909" w:type="dxa"/>
            <w:hideMark/>
          </w:tcPr>
          <w:p w14:paraId="41FE0130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Anemic</w:t>
            </w:r>
          </w:p>
        </w:tc>
        <w:tc>
          <w:tcPr>
            <w:tcW w:w="2268" w:type="dxa"/>
            <w:hideMark/>
          </w:tcPr>
          <w:p w14:paraId="4880637B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380 (28.6%)</w:t>
            </w:r>
          </w:p>
        </w:tc>
        <w:tc>
          <w:tcPr>
            <w:tcW w:w="2268" w:type="dxa"/>
            <w:hideMark/>
          </w:tcPr>
          <w:p w14:paraId="007545BF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947 (71.3%)</w:t>
            </w:r>
          </w:p>
        </w:tc>
        <w:tc>
          <w:tcPr>
            <w:tcW w:w="1034" w:type="dxa"/>
            <w:vMerge w:val="restart"/>
            <w:hideMark/>
          </w:tcPr>
          <w:p w14:paraId="2E015E9E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0.004</w:t>
            </w:r>
          </w:p>
        </w:tc>
      </w:tr>
      <w:tr w:rsidR="00776CF7" w:rsidRPr="00536AEC" w14:paraId="44666718" w14:textId="77777777" w:rsidTr="005625DA">
        <w:trPr>
          <w:trHeight w:val="340"/>
        </w:trPr>
        <w:tc>
          <w:tcPr>
            <w:tcW w:w="0" w:type="auto"/>
            <w:vMerge/>
            <w:hideMark/>
          </w:tcPr>
          <w:p w14:paraId="2748358D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1909" w:type="dxa"/>
            <w:hideMark/>
          </w:tcPr>
          <w:p w14:paraId="183B24E0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Non-Anemic</w:t>
            </w:r>
          </w:p>
        </w:tc>
        <w:tc>
          <w:tcPr>
            <w:tcW w:w="2268" w:type="dxa"/>
            <w:hideMark/>
          </w:tcPr>
          <w:p w14:paraId="30025B83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196 (23.1%)</w:t>
            </w:r>
          </w:p>
        </w:tc>
        <w:tc>
          <w:tcPr>
            <w:tcW w:w="2268" w:type="dxa"/>
            <w:hideMark/>
          </w:tcPr>
          <w:p w14:paraId="657D8046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  <w:r w:rsidRPr="00536AEC">
              <w:rPr>
                <w:rFonts w:eastAsia="Calibri"/>
                <w:lang w:eastAsia="en-US"/>
              </w:rPr>
              <w:t>652 (76.9%)</w:t>
            </w:r>
          </w:p>
        </w:tc>
        <w:tc>
          <w:tcPr>
            <w:tcW w:w="1034" w:type="dxa"/>
            <w:vMerge/>
            <w:hideMark/>
          </w:tcPr>
          <w:p w14:paraId="1AAEF129" w14:textId="77777777" w:rsidR="00776CF7" w:rsidRPr="00536AEC" w:rsidRDefault="00776CF7" w:rsidP="005625DA">
            <w:pPr>
              <w:keepNext/>
              <w:spacing w:before="120" w:after="240" w:line="480" w:lineRule="auto"/>
              <w:rPr>
                <w:rFonts w:eastAsia="Calibri"/>
                <w:lang w:eastAsia="en-US"/>
              </w:rPr>
            </w:pPr>
          </w:p>
        </w:tc>
      </w:tr>
    </w:tbl>
    <w:p w14:paraId="278DDC36" w14:textId="77777777" w:rsidR="00776CF7" w:rsidRDefault="00776CF7" w:rsidP="00776CF7">
      <w:pPr>
        <w:spacing w:after="160" w:line="480" w:lineRule="auto"/>
        <w:ind w:left="720"/>
        <w:jc w:val="both"/>
      </w:pPr>
    </w:p>
    <w:p w14:paraId="125CB977" w14:textId="4EC4D313" w:rsidR="00E023F9" w:rsidRDefault="00E023F9"/>
    <w:sectPr w:rsidR="00E023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873"/>
    <w:rsid w:val="000C4033"/>
    <w:rsid w:val="00173ED8"/>
    <w:rsid w:val="002F50B1"/>
    <w:rsid w:val="003B3702"/>
    <w:rsid w:val="004B42CB"/>
    <w:rsid w:val="005F2B46"/>
    <w:rsid w:val="006E1731"/>
    <w:rsid w:val="00776CF7"/>
    <w:rsid w:val="00866D74"/>
    <w:rsid w:val="00882A73"/>
    <w:rsid w:val="00906905"/>
    <w:rsid w:val="0095305D"/>
    <w:rsid w:val="00975873"/>
    <w:rsid w:val="00B10170"/>
    <w:rsid w:val="00B260B7"/>
    <w:rsid w:val="00B85331"/>
    <w:rsid w:val="00C94D66"/>
    <w:rsid w:val="00DE7E69"/>
    <w:rsid w:val="00E02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C14E9"/>
  <w15:chartTrackingRefBased/>
  <w15:docId w15:val="{2EB3C8D6-DC05-45EC-B472-F2083DDC6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6CF7"/>
    <w:pPr>
      <w:spacing w:after="0" w:line="240" w:lineRule="auto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587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IN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587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IN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587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IN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587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IN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587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IN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587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IN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587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IN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587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IN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587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IN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58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58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58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58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58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58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58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58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58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58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IN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758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587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IN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758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587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IN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758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587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IN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758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58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n-IN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58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587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76CF7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Trupti Sudge</dc:creator>
  <cp:keywords/>
  <dc:description/>
  <cp:lastModifiedBy>Trupti Sudge</cp:lastModifiedBy>
  <cp:revision>2</cp:revision>
  <dcterms:created xsi:type="dcterms:W3CDTF">2026-08-30T11:09:00Z</dcterms:created>
  <dcterms:modified xsi:type="dcterms:W3CDTF">2026-08-30T11:10:00Z</dcterms:modified>
</cp:coreProperties>
</file>