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pPr>
      <w:bookmarkStart w:id="0" w:name="_GoBack"/>
      <w:r>
        <w:rPr>
          <w:rFonts w:hint="default" w:ascii="Times New Roman" w:hAnsi="Times New Roman" w:eastAsia="宋体" w:cs="Times New Roman"/>
          <w:b/>
          <w:bCs/>
          <w:color w:val="auto"/>
          <w:kern w:val="0"/>
          <w:sz w:val="21"/>
          <w:szCs w:val="22"/>
          <w:u w:val="none"/>
          <w:lang w:val="en-US" w:eastAsia="zh-CN" w:bidi="ar"/>
        </w:rPr>
        <w:t>Supplementary</w:t>
      </w:r>
    </w:p>
    <w:bookmarkEnd w:id="0"/>
    <w:p>
      <w:pPr>
        <w:spacing w:line="240" w:lineRule="auto"/>
        <w:ind w:left="0" w:leftChars="0" w:firstLine="0" w:firstLineChars="0"/>
        <w:jc w:val="center"/>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1</w:t>
      </w:r>
      <w:r>
        <w:rPr>
          <w:rFonts w:hint="default" w:ascii="Times New Roman" w:hAnsi="Times New Roman" w:eastAsia="宋体" w:cs="Times New Roman"/>
          <w:b/>
          <w:bCs/>
          <w:color w:val="auto"/>
          <w:kern w:val="0"/>
          <w:sz w:val="21"/>
          <w:szCs w:val="22"/>
          <w:u w:val="none"/>
          <w:lang w:val="en-US" w:eastAsia="zh-CN" w:bidi="ar"/>
        </w:rPr>
        <w:t xml:space="preserve">. Missingness and multiple-imputation diagnostics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965"/>
        <w:gridCol w:w="1412"/>
        <w:gridCol w:w="1412"/>
        <w:gridCol w:w="1464"/>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Variable</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Missing n</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Missing %</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Imputation method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Complete-case mean / proportion</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Imputed mean / proportion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JCAI (course-level; n = 4)</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Coverage (Cov; course-level; n = 4)</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Depth (Dep; course-level; n = 4)</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0.64</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Freshness (Fre; course-level; n = 4)</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0.59</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Engagement total</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18</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2.9</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Behavioral engagement</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15</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2.4</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0.03</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Emotional engagement</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17</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2.7</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Cognitive engagement</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20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3.2</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Competency score</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12</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1.9</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78.4</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Binary attainment</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12</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1.9</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Logistic imputation</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0.74</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Prior academic achievement</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9</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1.5</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Predictive mean matching</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76.8</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Instructor teaching experience</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7.6</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7"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Class size</w:t>
            </w:r>
          </w:p>
        </w:tc>
        <w:tc>
          <w:tcPr>
            <w:tcW w:w="965"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Not imputed</w:t>
            </w:r>
          </w:p>
        </w:tc>
        <w:tc>
          <w:tcPr>
            <w:tcW w:w="1464"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19.4</w:t>
            </w:r>
          </w:p>
        </w:tc>
        <w:tc>
          <w:tcPr>
            <w:tcW w:w="1412" w:type="dxa"/>
            <w:vAlign w:val="center"/>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19.4</w:t>
            </w:r>
          </w:p>
        </w:tc>
      </w:tr>
    </w:tbl>
    <w:p>
      <w:pPr>
        <w:spacing w:line="240" w:lineRule="auto"/>
        <w:ind w:left="0" w:leftChars="0" w:firstLine="0" w:firstLineChars="0"/>
        <w:jc w:val="both"/>
        <w:rPr>
          <w:rFonts w:hint="default" w:ascii="Times New Roman" w:hAnsi="Times New Roman" w:eastAsia="宋体" w:cs="Times New Roman"/>
          <w:b w:val="0"/>
          <w:bCs w:val="0"/>
          <w:color w:val="auto"/>
          <w:kern w:val="0"/>
          <w:sz w:val="21"/>
          <w:szCs w:val="22"/>
          <w:u w:val="none"/>
          <w:lang w:val="en-US" w:eastAsia="zh-CN" w:bidi="ar"/>
        </w:rPr>
      </w:pPr>
      <w:r>
        <w:rPr>
          <w:rFonts w:hint="default" w:ascii="Times New Roman" w:hAnsi="Times New Roman" w:eastAsia="宋体" w:cs="Times New Roman"/>
          <w:b w:val="0"/>
          <w:bCs w:val="0"/>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ascii="Times New Roman" w:hAnsi="Times New Roman"/>
          <w:sz w:val="21"/>
          <w:u w:val="none"/>
        </w:rPr>
        <w:t>Missing data were handled using multiple imputation by chained equations (MICE). Continuous variables were imputed using predictive mean matching, and binary variables were imputed using logistic regression. The imputation model included student-level covariates, course-level indicators, program group, semester, engagement indicators, competency outcomes, and course-level JCAI components. The analytic hierarchy was fixed as follows: JCAI level = course (n = 4); validation level = student (N = 620); clustering units = instructional sections (n = 32) and instructors (n = 19). JCAI, Cov, Dep, and Fre were assigned at the course level and inherited by students according to enrolled course. They were not imputed, and no section-, instructor-, or student-specific JCAI values were calculated. Pooled estimates were computed according to Rubin's rules. Complete-case and imputed means/proportions were similar, indicating limited sensitivity to missing-data handling.</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2</w:t>
      </w:r>
      <w:r>
        <w:rPr>
          <w:rFonts w:hint="default" w:ascii="Times New Roman" w:hAnsi="Times New Roman" w:eastAsia="宋体" w:cs="Times New Roman"/>
          <w:b/>
          <w:bCs/>
          <w:color w:val="auto"/>
          <w:kern w:val="0"/>
          <w:sz w:val="21"/>
          <w:szCs w:val="22"/>
          <w:u w:val="none"/>
          <w:lang w:val="en-US" w:eastAsia="zh-CN" w:bidi="ar"/>
        </w:rPr>
        <w:t>. Edge-level mapping diagnostics by course</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
        <w:gridCol w:w="1464"/>
        <w:gridCol w:w="1275"/>
        <w:gridCol w:w="1293"/>
        <w:gridCol w:w="1628"/>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Course</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Program group</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Retained edges</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Mean cosine similarity</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High-confidence links, n</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High-confidence links,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DS_C1</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Data Science</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230</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0.783</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101</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DS_C2</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Data Science</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208</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0.779</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84</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IM_C1</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Intelligent Manufacturing</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196</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0.774</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75</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IM_C2</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Intelligent Manufacturing</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216</w:t>
            </w:r>
          </w:p>
        </w:tc>
        <w:tc>
          <w:tcPr>
            <w:tcW w:w="1420"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0.781</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91</w:t>
            </w:r>
          </w:p>
        </w:tc>
        <w:tc>
          <w:tcPr>
            <w:tcW w:w="1421"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pPr>
            <w:r>
              <w:rPr>
                <w:rFonts w:hint="default" w:ascii="Times New Roman" w:hAnsi="Times New Roman" w:eastAsia="宋体" w:cs="Times New Roman"/>
                <w:color w:val="auto"/>
                <w:kern w:val="0"/>
                <w:sz w:val="21"/>
                <w:szCs w:val="22"/>
                <w:u w:val="none"/>
                <w:lang w:val="en-US" w:eastAsia="zh-CN" w:bidi="ar"/>
              </w:rPr>
              <w:t>42.1</w:t>
            </w:r>
          </w:p>
        </w:tc>
      </w:tr>
    </w:tbl>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Retained edges refer to valid skill–ability mappings after threshold-based pre-screening, constrained matching, and Top-k expansion.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Mean cosine similarity was computed across retained edges within each course.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High-confidence links were defined as retained mappings with cosine similarity values of at least 0.80.</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3</w:t>
      </w:r>
      <w:r>
        <w:rPr>
          <w:rFonts w:hint="default" w:ascii="Times New Roman" w:hAnsi="Times New Roman" w:eastAsia="宋体" w:cs="Times New Roman"/>
          <w:b/>
          <w:bCs/>
          <w:color w:val="auto"/>
          <w:kern w:val="0"/>
          <w:sz w:val="21"/>
          <w:szCs w:val="22"/>
          <w:u w:val="none"/>
          <w:lang w:val="en-US" w:eastAsia="zh-CN" w:bidi="ar"/>
        </w:rPr>
        <w:t>. Course-level coverage structure and concentration indices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1464"/>
        <w:gridCol w:w="1120"/>
        <w:gridCol w:w="1067"/>
        <w:gridCol w:w="1171"/>
        <w:gridCol w:w="1094"/>
        <w:gridCol w:w="1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Course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Program group</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Unique skills covered</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Valid edges</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Core-skill coverage (%)</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Core weight share (%)</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Effective-skills index (1/HHI)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DS_C1</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Data Science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109</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230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34.0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85.5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DS_C2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Data Science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107</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208</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34.0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IM_C1</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Intelligent Manufacturing</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95</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196</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31.9</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75.9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IM_C2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Intelligent Manufacturing</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216</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100</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31.9</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sz w:val="21"/>
                <w:szCs w:val="21"/>
              </w:rPr>
            </w:pPr>
            <w:r>
              <w:rPr>
                <w:rFonts w:hint="default" w:ascii="Times New Roman" w:hAnsi="Times New Roman" w:eastAsia="宋体" w:cs="Times New Roman"/>
                <w:color w:val="auto"/>
                <w:kern w:val="0"/>
                <w:sz w:val="21"/>
                <w:szCs w:val="21"/>
                <w:u w:val="none"/>
                <w:lang w:val="en-US" w:eastAsia="zh-CN" w:bidi="ar"/>
              </w:rPr>
              <w:t>84.5</w:t>
            </w:r>
          </w:p>
        </w:tc>
      </w:tr>
    </w:tbl>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 xml:space="preserve">Note. </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Course-level statistics were computed from the final skill–ability edge table after Top-k expansion and skill-level aggregation.</w:t>
      </w:r>
    </w:p>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both"/>
        <w:textAlignment w:val="auto"/>
        <w:rPr>
          <w:rStyle w:val="23"/>
          <w:rFonts w:hint="default"/>
          <w:lang w:val="en-US" w:eastAsia="zh-CN"/>
        </w:rPr>
      </w:pPr>
      <w:r>
        <w:rPr>
          <w:rFonts w:hint="default" w:ascii="Times New Roman" w:hAnsi="Times New Roman" w:eastAsia="宋体" w:cs="Times New Roman"/>
          <w:color w:val="auto"/>
          <w:kern w:val="0"/>
          <w:sz w:val="21"/>
          <w:szCs w:val="21"/>
          <w:u w:val="none"/>
          <w:lang w:val="en-US" w:eastAsia="zh-CN" w:bidi="ar"/>
        </w:rPr>
        <w:t xml:space="preserve">The effective-skills index was computed as </w:t>
      </w:r>
      <w:r>
        <w:rPr>
          <w:rFonts w:hint="default" w:ascii="Times New Roman" w:hAnsi="Times New Roman" w:eastAsia="宋体" w:cs="Times New Roman"/>
          <w:i/>
          <w:iCs/>
          <w:color w:val="auto"/>
          <w:kern w:val="0"/>
          <w:sz w:val="21"/>
          <w:szCs w:val="21"/>
          <w:u w:val="none"/>
          <w:lang w:val="en-US" w:eastAsia="zh-CN" w:bidi="ar"/>
        </w:rPr>
        <w:t>1/HHI1</w:t>
      </w:r>
      <w:r>
        <w:rPr>
          <w:rFonts w:hint="default" w:ascii="Times New Roman" w:hAnsi="Times New Roman" w:eastAsia="宋体" w:cs="Times New Roman"/>
          <w:color w:val="auto"/>
          <w:kern w:val="0"/>
          <w:sz w:val="21"/>
          <w:szCs w:val="21"/>
          <w:u w:val="none"/>
          <w:lang w:val="en-US" w:eastAsia="zh-CN" w:bidi="ar"/>
        </w:rPr>
        <w:t xml:space="preserve">, where </w:t>
      </w:r>
      <w:r>
        <w:rPr>
          <w:rFonts w:hint="default" w:ascii="Times New Roman" w:hAnsi="Times New Roman" w:eastAsia="宋体" w:cs="Times New Roman"/>
          <w:color w:val="auto"/>
          <w:kern w:val="0"/>
          <w:position w:val="-16"/>
          <w:sz w:val="21"/>
          <w:szCs w:val="21"/>
          <w:u w:val="none"/>
          <w:lang w:val="en-US" w:eastAsia="zh-CN" w:bidi="ar"/>
        </w:rPr>
        <w:object>
          <v:shape id="_x0000_i1025" o:spt="75" type="#_x0000_t75" style="height:21pt;width:63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r>
        <w:rPr>
          <w:rFonts w:hint="default" w:ascii="Times New Roman" w:hAnsi="Times New Roman" w:eastAsia="宋体" w:cs="Times New Roman"/>
          <w:color w:val="auto"/>
          <w:kern w:val="0"/>
          <w:sz w:val="21"/>
          <w:szCs w:val="21"/>
          <w:u w:val="none"/>
          <w:lang w:val="en-US" w:eastAsia="zh-CN" w:bidi="ar"/>
        </w:rPr>
        <w:t>and q</w:t>
      </w:r>
      <w:r>
        <w:rPr>
          <w:rFonts w:hint="default" w:ascii="Times New Roman" w:hAnsi="Times New Roman" w:eastAsia="宋体" w:cs="Times New Roman"/>
          <w:color w:val="auto"/>
          <w:kern w:val="0"/>
          <w:sz w:val="21"/>
          <w:szCs w:val="21"/>
          <w:u w:val="none"/>
          <w:vertAlign w:val="subscript"/>
          <w:lang w:val="en-US" w:eastAsia="zh-CN" w:bidi="ar"/>
        </w:rPr>
        <w:t>i</w:t>
      </w:r>
      <w:r>
        <w:rPr>
          <w:rFonts w:hint="eastAsia" w:ascii="Times New Roman" w:hAnsi="Times New Roman" w:cs="Times New Roman"/>
          <w:color w:val="auto"/>
          <w:kern w:val="0"/>
          <w:sz w:val="21"/>
          <w:szCs w:val="21"/>
          <w:u w:val="none"/>
          <w:vertAlign w:val="subscript"/>
          <w:lang w:val="en-US" w:eastAsia="zh-CN" w:bidi="ar"/>
        </w:rPr>
        <w:t xml:space="preserve"> </w:t>
      </w:r>
      <w:r>
        <w:rPr>
          <w:rStyle w:val="23"/>
          <w:rFonts w:hint="default"/>
          <w:lang w:val="en-US" w:eastAsia="zh-CN"/>
        </w:rPr>
        <w:t>denotes the normalized coverage contribution of skill iii within a course.</w:t>
      </w:r>
    </w:p>
    <w:p>
      <w:pPr>
        <w:spacing w:line="240" w:lineRule="auto"/>
        <w:ind w:left="0" w:leftChars="0" w:firstLine="0" w:firstLineChars="0"/>
        <w:jc w:val="center"/>
        <w:rPr>
          <w:rFonts w:hint="eastAsia"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spacing w:line="240" w:lineRule="auto"/>
        <w:ind w:left="0" w:leftChars="0" w:firstLine="0" w:firstLineChars="0"/>
        <w:jc w:val="center"/>
        <w:rPr>
          <w:rFonts w:hint="eastAsia" w:ascii="Times New Roman" w:hAnsi="Times New Roman" w:eastAsia="宋体" w:cs="Times New Roman"/>
          <w:b/>
          <w:bCs/>
          <w:color w:val="auto"/>
          <w:kern w:val="0"/>
          <w:sz w:val="21"/>
          <w:szCs w:val="22"/>
          <w:u w:val="none"/>
          <w:lang w:val="en-US" w:eastAsia="zh-CN" w:bidi="ar"/>
        </w:rPr>
      </w:pPr>
      <w:r>
        <w:rPr>
          <w:rFonts w:hint="eastAsia"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4</w:t>
      </w:r>
      <w:r>
        <w:rPr>
          <w:rFonts w:hint="eastAsia" w:ascii="Times New Roman" w:hAnsi="Times New Roman" w:eastAsia="宋体" w:cs="Times New Roman"/>
          <w:b/>
          <w:bCs/>
          <w:color w:val="auto"/>
          <w:kern w:val="0"/>
          <w:sz w:val="21"/>
          <w:szCs w:val="22"/>
          <w:u w:val="none"/>
          <w:lang w:val="en-US" w:eastAsia="zh-CN" w:bidi="ar"/>
        </w:rPr>
        <w:t>. Bootstrap uncertainty and pairwise ranking comparisons</w:t>
      </w:r>
    </w:p>
    <w:p>
      <w:pPr>
        <w:spacing w:line="240" w:lineRule="auto"/>
        <w:ind w:left="0" w:leftChars="0" w:firstLine="0" w:firstLineChars="0"/>
        <w:jc w:val="center"/>
        <w:rPr>
          <w:rFonts w:hint="eastAsia" w:ascii="Times New Roman" w:hAnsi="Times New Roman" w:eastAsia="宋体" w:cs="Times New Roman"/>
          <w:color w:val="auto"/>
          <w:kern w:val="0"/>
          <w:sz w:val="21"/>
          <w:szCs w:val="22"/>
          <w:u w:val="none"/>
          <w:lang w:val="en-US" w:eastAsia="zh-CN" w:bidi="ar"/>
        </w:rPr>
      </w:pPr>
      <w:r>
        <w:rPr>
          <w:rFonts w:hint="eastAsia" w:ascii="Times New Roman" w:hAnsi="Times New Roman" w:eastAsia="宋体" w:cs="Times New Roman"/>
          <w:color w:val="auto"/>
          <w:kern w:val="0"/>
          <w:sz w:val="21"/>
          <w:szCs w:val="22"/>
          <w:u w:val="none"/>
          <w:lang w:val="en-US" w:eastAsia="zh-CN" w:bidi="ar"/>
        </w:rPr>
        <w:t>Panel A. Bootstrap confidence intervals for course-level JCAI</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
        <w:gridCol w:w="1464"/>
        <w:gridCol w:w="1289"/>
        <w:gridCol w:w="1182"/>
        <w:gridCol w:w="1120"/>
        <w:gridCol w:w="1149"/>
        <w:gridCol w:w="1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Course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Program group</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ascii="Times New Roman" w:hAnsi="Times New Roman"/>
                <w:sz w:val="21"/>
                <w:u w:val="none"/>
              </w:rPr>
              <w:t>Course-level JCAI</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Bootstrap SE</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95% CI</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Median rank</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Top-2 inclusion 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DS_C1</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Data Science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0.018</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[0.69, 0.75]</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IM_C2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Intelligent Manufacturing</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0.70</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0.021</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[0.66, 0.74]</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2</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DS_C2</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Data Science</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0.017</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[0.62, 0.68]</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3</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IM_C1</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Intelligent Manufacturing</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0.63</w:t>
            </w:r>
          </w:p>
        </w:tc>
        <w:tc>
          <w:tcPr>
            <w:tcW w:w="1217"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0.016</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[0.60, 0.66]</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4</w:t>
            </w:r>
          </w:p>
        </w:tc>
        <w:tc>
          <w:tcPr>
            <w:tcW w:w="1218" w:type="dxa"/>
          </w:tcPr>
          <w:p>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0.03</w:t>
            </w:r>
          </w:p>
        </w:tc>
      </w:tr>
    </w:tbl>
    <w:p>
      <w:pPr>
        <w:spacing w:line="240" w:lineRule="auto"/>
        <w:ind w:left="0" w:leftChars="0" w:firstLine="0" w:firstLineChars="0"/>
        <w:jc w:val="center"/>
        <w:rPr>
          <w:rFonts w:hint="default" w:ascii="Times New Roman" w:hAnsi="Times New Roman" w:eastAsia="宋体" w:cs="Times New Roman"/>
          <w:color w:val="auto"/>
          <w:kern w:val="0"/>
          <w:sz w:val="21"/>
          <w:szCs w:val="22"/>
          <w:u w:val="none"/>
          <w:lang w:val="en-US" w:eastAsia="zh-CN" w:bidi="ar"/>
        </w:rPr>
      </w:pPr>
    </w:p>
    <w:p>
      <w:pPr>
        <w:spacing w:line="240" w:lineRule="auto"/>
        <w:ind w:left="0" w:leftChars="0" w:firstLine="0" w:firstLineChars="0"/>
        <w:jc w:val="center"/>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Panel B. Pairwise bootstrap comparisons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Pairwise comparison</w:t>
            </w:r>
          </w:p>
        </w:tc>
        <w:tc>
          <w:tcPr>
            <w:tcW w:w="1704" w:type="dxa"/>
          </w:tcPr>
          <w:p>
            <w:pPr>
              <w:spacing w:line="240" w:lineRule="auto"/>
              <w:ind w:left="0" w:leftChars="0" w:firstLine="0" w:firstLineChars="0"/>
              <w:jc w:val="center"/>
              <w:rPr>
                <w:sz w:val="21"/>
                <w:szCs w:val="21"/>
              </w:rPr>
            </w:pPr>
            <w:r>
              <w:rPr>
                <w:rFonts w:ascii="Times New Roman" w:hAnsi="Times New Roman"/>
                <w:sz w:val="21"/>
                <w:u w:val="none"/>
              </w:rPr>
              <w:t>Course-level difference ΔJCAI</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95% CI</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Two-sided bootstrap p-value</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Interpretation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DS_C1 − IM_C2</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0.02</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[-0.01, 0.05]</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.184</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Top pair not clearly separable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DS_C1 − DS_C2</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0.07</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[0.03, 0.11]</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.006</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DS_C1 higher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DS_C1 − IM_C1</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0.09</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[0.05, 0.13]</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&lt; .001</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DS_C1 higher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IM_C2 − DS_C2</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0.05</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[0.01, 0.09]</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.018</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IM_C2 higher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IM_C2 − IM_C1</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0.07</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[0.03, 0.11]</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.004</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IM_C2 higher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DS_C2 − IM_C1</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0.02</w:t>
            </w:r>
          </w:p>
        </w:tc>
        <w:tc>
          <w:tcPr>
            <w:tcW w:w="1704"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[-0.02, 0.05]</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.276</w:t>
            </w:r>
          </w:p>
        </w:tc>
        <w:tc>
          <w:tcPr>
            <w:tcW w:w="1705" w:type="dxa"/>
          </w:tcPr>
          <w:p>
            <w:pPr>
              <w:spacing w:line="240" w:lineRule="auto"/>
              <w:ind w:left="0" w:leftChars="0" w:firstLine="0" w:firstLineChars="0"/>
              <w:jc w:val="center"/>
              <w:rPr>
                <w:sz w:val="21"/>
                <w:szCs w:val="21"/>
              </w:rPr>
            </w:pPr>
            <w:r>
              <w:rPr>
                <w:rFonts w:hint="default" w:ascii="Times New Roman" w:hAnsi="Times New Roman" w:eastAsia="宋体" w:cs="Times New Roman"/>
                <w:color w:val="auto"/>
                <w:kern w:val="0"/>
                <w:sz w:val="21"/>
                <w:szCs w:val="21"/>
                <w:u w:val="none"/>
                <w:lang w:val="en-US" w:eastAsia="zh-CN" w:bidi="ar"/>
              </w:rPr>
              <w:t>Not clearly separable</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ascii="Times New Roman" w:hAnsi="Times New Roman"/>
          <w:sz w:val="21"/>
          <w:u w:val="none"/>
        </w:rPr>
        <w:t>Bootstrap uncertainty was estimated using cluster bootstrap resampling at the instructional-section level with B = 5,000 replicates. Sections were resampled as implementation clusters in the linked student-level validation dataset; this procedure assessed uncertainty in course-level ranking under clustered sampling and did not create section-level, instructor-level, or student-level JCAI values. ΔJCAI denotes the difference in JCAI between the two courses listed in each comparison. Confidence intervals are percentile bootstrap intervals. Two-sided p-values were computed from the bootstrap distribution of pairwise differences. Top-2 inclusion rate indicates the proportion of bootstrap replicates in which a course appeared among the two highest-ranked courses. DS = Data Science; IM = Intelligent Manufacturing; CI = confidence interval.</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5</w:t>
      </w:r>
      <w:r>
        <w:rPr>
          <w:rFonts w:hint="default" w:ascii="Times New Roman" w:hAnsi="Times New Roman" w:cs="Times New Roman"/>
          <w:color w:val="auto"/>
          <w:lang w:val="en-US" w:eastAsia="zh-CN"/>
        </w:rPr>
        <w:t>. Comparison of JCAI values under three weighting schemes</w:t>
      </w:r>
    </w:p>
    <w:tbl>
      <w:tblPr>
        <w:tblStyle w:val="12"/>
        <w:tblW w:w="11575" w:type="dxa"/>
        <w:jc w:val="center"/>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Layout w:type="fixed"/>
        <w:tblCellMar>
          <w:top w:w="0" w:type="dxa"/>
          <w:left w:w="0" w:type="dxa"/>
          <w:bottom w:w="0" w:type="dxa"/>
          <w:right w:w="0" w:type="dxa"/>
        </w:tblCellMar>
      </w:tblPr>
      <w:tblGrid>
        <w:gridCol w:w="858"/>
        <w:gridCol w:w="1337"/>
        <w:gridCol w:w="1402"/>
        <w:gridCol w:w="1777"/>
        <w:gridCol w:w="1418"/>
        <w:gridCol w:w="1503"/>
        <w:gridCol w:w="1875"/>
        <w:gridCol w:w="1405"/>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720" w:hRule="atLeast"/>
          <w:jc w:val="center"/>
        </w:trPr>
        <w:tc>
          <w:tcPr>
            <w:tcW w:w="858"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Course</w:t>
            </w:r>
          </w:p>
        </w:tc>
        <w:tc>
          <w:tcPr>
            <w:tcW w:w="1337"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JCAI (Equal-weight)</w:t>
            </w:r>
          </w:p>
        </w:tc>
        <w:tc>
          <w:tcPr>
            <w:tcW w:w="1402"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JCAI (Delphi-based)</w:t>
            </w:r>
          </w:p>
        </w:tc>
        <w:tc>
          <w:tcPr>
            <w:tcW w:w="1777"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JCAI (Entropy-based)</w:t>
            </w:r>
          </w:p>
        </w:tc>
        <w:tc>
          <w:tcPr>
            <w:tcW w:w="1418"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Rank (Equal-weight)</w:t>
            </w:r>
          </w:p>
        </w:tc>
        <w:tc>
          <w:tcPr>
            <w:tcW w:w="1503"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Rank (Delphi-based)</w:t>
            </w:r>
          </w:p>
        </w:tc>
        <w:tc>
          <w:tcPr>
            <w:tcW w:w="1875"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Rank (Entropy-based)</w:t>
            </w:r>
          </w:p>
        </w:tc>
        <w:tc>
          <w:tcPr>
            <w:tcW w:w="1405" w:type="dxa"/>
            <w:tcBorders>
              <w:tl2br w:val="nil"/>
              <w:tr2bl w:val="nil"/>
            </w:tcBorders>
            <w:shd w:val="clear" w:color="auto" w:fill="FFFFFF" w:themeFill="background1"/>
            <w:tcMar>
              <w:top w:w="15" w:type="dxa"/>
              <w:left w:w="15" w:type="dxa"/>
              <w:right w:w="15" w:type="dxa"/>
            </w:tcMar>
            <w:vAlign w:val="center"/>
          </w:tcPr>
          <w:p>
            <w:pPr>
              <w:pStyle w:val="22"/>
              <w:bidi w:val="0"/>
              <w:rPr>
                <w:rFonts w:hint="default"/>
                <w:color w:val="auto"/>
              </w:rPr>
            </w:pPr>
            <w:r>
              <w:rPr>
                <w:rFonts w:hint="default"/>
                <w:color w:val="auto"/>
                <w:lang w:val="en-US" w:eastAsia="zh-CN"/>
              </w:rPr>
              <w:t>Rank change summary</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300" w:hRule="atLeast"/>
          <w:jc w:val="center"/>
        </w:trPr>
        <w:tc>
          <w:tcPr>
            <w:tcW w:w="85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DS_C1</w:t>
            </w:r>
          </w:p>
        </w:tc>
        <w:tc>
          <w:tcPr>
            <w:tcW w:w="133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0.72</w:t>
            </w:r>
          </w:p>
        </w:tc>
        <w:tc>
          <w:tcPr>
            <w:tcW w:w="1402"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0.73</w:t>
            </w:r>
          </w:p>
        </w:tc>
        <w:tc>
          <w:tcPr>
            <w:tcW w:w="177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0.72</w:t>
            </w:r>
          </w:p>
        </w:tc>
        <w:tc>
          <w:tcPr>
            <w:tcW w:w="141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1</w:t>
            </w:r>
          </w:p>
        </w:tc>
        <w:tc>
          <w:tcPr>
            <w:tcW w:w="1503"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1</w:t>
            </w:r>
          </w:p>
        </w:tc>
        <w:tc>
          <w:tcPr>
            <w:tcW w:w="187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1</w:t>
            </w:r>
          </w:p>
        </w:tc>
        <w:tc>
          <w:tcPr>
            <w:tcW w:w="140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Stable</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300" w:hRule="atLeast"/>
          <w:jc w:val="center"/>
        </w:trPr>
        <w:tc>
          <w:tcPr>
            <w:tcW w:w="85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DS_C2</w:t>
            </w:r>
          </w:p>
        </w:tc>
        <w:tc>
          <w:tcPr>
            <w:tcW w:w="133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0.64</w:t>
            </w:r>
          </w:p>
        </w:tc>
        <w:tc>
          <w:tcPr>
            <w:tcW w:w="1402"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0.65</w:t>
            </w:r>
          </w:p>
        </w:tc>
        <w:tc>
          <w:tcPr>
            <w:tcW w:w="177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0.64</w:t>
            </w:r>
          </w:p>
        </w:tc>
        <w:tc>
          <w:tcPr>
            <w:tcW w:w="141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3</w:t>
            </w:r>
          </w:p>
        </w:tc>
        <w:tc>
          <w:tcPr>
            <w:tcW w:w="1503"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3</w:t>
            </w:r>
          </w:p>
        </w:tc>
        <w:tc>
          <w:tcPr>
            <w:tcW w:w="187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3</w:t>
            </w:r>
          </w:p>
        </w:tc>
        <w:tc>
          <w:tcPr>
            <w:tcW w:w="140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Stable</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300" w:hRule="atLeast"/>
          <w:jc w:val="center"/>
        </w:trPr>
        <w:tc>
          <w:tcPr>
            <w:tcW w:w="85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IM_C1</w:t>
            </w:r>
          </w:p>
        </w:tc>
        <w:tc>
          <w:tcPr>
            <w:tcW w:w="133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0.63</w:t>
            </w:r>
          </w:p>
        </w:tc>
        <w:tc>
          <w:tcPr>
            <w:tcW w:w="1402"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0.62</w:t>
            </w:r>
          </w:p>
        </w:tc>
        <w:tc>
          <w:tcPr>
            <w:tcW w:w="177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0.64</w:t>
            </w:r>
          </w:p>
        </w:tc>
        <w:tc>
          <w:tcPr>
            <w:tcW w:w="141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4</w:t>
            </w:r>
          </w:p>
        </w:tc>
        <w:tc>
          <w:tcPr>
            <w:tcW w:w="1503"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4</w:t>
            </w:r>
          </w:p>
        </w:tc>
        <w:tc>
          <w:tcPr>
            <w:tcW w:w="187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4</w:t>
            </w:r>
          </w:p>
        </w:tc>
        <w:tc>
          <w:tcPr>
            <w:tcW w:w="140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Stable</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300" w:hRule="atLeast"/>
          <w:jc w:val="center"/>
        </w:trPr>
        <w:tc>
          <w:tcPr>
            <w:tcW w:w="85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IM_C2</w:t>
            </w:r>
          </w:p>
        </w:tc>
        <w:tc>
          <w:tcPr>
            <w:tcW w:w="133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0.7</w:t>
            </w:r>
          </w:p>
        </w:tc>
        <w:tc>
          <w:tcPr>
            <w:tcW w:w="1402"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0.69</w:t>
            </w:r>
          </w:p>
        </w:tc>
        <w:tc>
          <w:tcPr>
            <w:tcW w:w="1777"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0.7</w:t>
            </w:r>
          </w:p>
        </w:tc>
        <w:tc>
          <w:tcPr>
            <w:tcW w:w="1418"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2</w:t>
            </w:r>
          </w:p>
        </w:tc>
        <w:tc>
          <w:tcPr>
            <w:tcW w:w="1503"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2</w:t>
            </w:r>
          </w:p>
        </w:tc>
        <w:tc>
          <w:tcPr>
            <w:tcW w:w="187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2</w:t>
            </w:r>
          </w:p>
        </w:tc>
        <w:tc>
          <w:tcPr>
            <w:tcW w:w="1405" w:type="dxa"/>
            <w:tcBorders>
              <w:tl2br w:val="nil"/>
              <w:tr2bl w:val="nil"/>
            </w:tcBorders>
            <w:shd w:val="clear" w:color="auto" w:fill="FFFFFF" w:themeFill="background1"/>
            <w:noWrap/>
            <w:tcMar>
              <w:top w:w="15" w:type="dxa"/>
              <w:left w:w="15" w:type="dxa"/>
              <w:right w:w="15" w:type="dxa"/>
            </w:tcMar>
            <w:vAlign w:val="center"/>
          </w:tcPr>
          <w:p>
            <w:pPr>
              <w:pStyle w:val="22"/>
              <w:bidi w:val="0"/>
              <w:rPr>
                <w:rFonts w:hint="default"/>
                <w:color w:val="auto"/>
              </w:rPr>
            </w:pPr>
            <w:r>
              <w:rPr>
                <w:rFonts w:hint="default"/>
                <w:color w:val="auto"/>
                <w:lang w:val="en-US" w:eastAsia="zh-CN"/>
              </w:rPr>
              <w:t>Stable</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Equal-weight assigns identical weights to Cov, Dep, and Fre. Delphi-based weights are derived from expert judgment, whereas entropy-based weights are derived from the information contribution of each dimension. Rank change summary indicates whether course ordering changed across weighting schemes.</w:t>
      </w:r>
    </w:p>
    <w:p>
      <w:pPr>
        <w:spacing w:line="240" w:lineRule="auto"/>
        <w:ind w:left="0" w:leftChars="0" w:firstLine="0" w:firstLineChars="0"/>
        <w:jc w:val="center"/>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r>
        <w:rPr>
          <w:rFonts w:hint="default" w:ascii="Times New Roman" w:hAnsi="Times New Roman" w:eastAsia="宋体" w:cs="Times New Roman"/>
          <w:b/>
          <w:bCs/>
          <w:color w:val="auto"/>
          <w:kern w:val="0"/>
          <w:sz w:val="21"/>
          <w:szCs w:val="22"/>
          <w:u w:val="none"/>
          <w:lang w:val="en-US" w:eastAsia="zh-CN" w:bidi="ar"/>
        </w:rPr>
        <w:t xml:space="preserve"> </w:t>
      </w:r>
    </w:p>
    <w:p>
      <w:pPr>
        <w:spacing w:line="240" w:lineRule="auto"/>
        <w:ind w:left="0" w:leftChars="0" w:firstLine="0" w:firstLineChars="0"/>
        <w:jc w:val="center"/>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6</w:t>
      </w:r>
      <w:r>
        <w:rPr>
          <w:rFonts w:hint="default" w:ascii="Times New Roman" w:hAnsi="Times New Roman" w:eastAsia="宋体" w:cs="Times New Roman"/>
          <w:b/>
          <w:bCs/>
          <w:color w:val="auto"/>
          <w:kern w:val="0"/>
          <w:sz w:val="21"/>
          <w:szCs w:val="22"/>
          <w:u w:val="none"/>
          <w:lang w:val="en-US" w:eastAsia="zh-CN" w:bidi="ar"/>
        </w:rPr>
        <w:t xml:space="preserve">. Parameter perturbation and algorithmic sensitivity analyses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221"/>
        <w:gridCol w:w="690"/>
        <w:gridCol w:w="1048"/>
        <w:gridCol w:w="875"/>
        <w:gridCol w:w="840"/>
        <w:gridCol w:w="1221"/>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Sensitivity condition</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Parameter setting / algorithm</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Mean JCAI</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Spearman ρ</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Kendall τ_b</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Top-2 overlap</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Wasserstein W</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Interpretation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Reference specification</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τ = 0.62, k = 3, reference π and κ</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Reference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Similarity threshold</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τ = 0.58</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0.66</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0.91</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0.018</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Similarity threshold</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τ = 0.66</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0.63</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0.88</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0.81</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0.026</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Top-k expansion</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k = 1</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0.61</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0.89</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0.82</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0.024</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Top-k expansion</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k = 5</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0.67</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0.89</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0.012</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Penalty strength</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π = 0.80</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0.93</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0.87</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0.014</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Penalty strength</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π = 0.60</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0.92</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0.86</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0.016</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Freshness decay</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Lower κ</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0.90</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0.83</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0.021</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Freshness decay</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Higher κ</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0.66</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0.91</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0.019</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Matching algorithm</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Constrained greedy matching</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0.89</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0.82</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0.023</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Matching algorithm</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Hungarian matching</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0.65</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0.94</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0.89</w:t>
            </w:r>
          </w:p>
        </w:tc>
        <w:tc>
          <w:tcPr>
            <w:tcW w:w="1065"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1.00</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0.012</w:t>
            </w:r>
          </w:p>
        </w:tc>
        <w:tc>
          <w:tcPr>
            <w:tcW w:w="1066" w:type="dxa"/>
          </w:tcPr>
          <w:p>
            <w:pPr>
              <w:spacing w:line="240" w:lineRule="auto"/>
              <w:ind w:left="0" w:leftChars="0" w:firstLine="0" w:firstLineChars="0"/>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 w:val="21"/>
                <w:szCs w:val="21"/>
                <w:u w:val="none"/>
                <w:lang w:val="en-US" w:eastAsia="zh-CN" w:bidi="ar"/>
              </w:rPr>
              <w:t>Stable</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The reference specification used τ = 0.62 and Top-k expansion with k = 3. Spearman ρ and Kendall τ_b indicate rank consistency relative to the reference specification. Top-2 overlap denotes whether the two highest-ranked courses remained in the top two positions under the sensitivity condition. Wasserstein W quantifies distributional drift relative to the reference score distribution. Across perturbations, Spearman ρ ranged from 0.88 to 0.94, Kendall τ_b ranged from 0.81 to 0.89, and Wasserstein W ranged from 0.012 to 0.026, consistent with the robustness summary reported in the main text.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7</w:t>
      </w:r>
      <w:r>
        <w:rPr>
          <w:rFonts w:hint="default" w:ascii="Times New Roman" w:hAnsi="Times New Roman" w:cs="Times New Roman"/>
          <w:color w:val="auto"/>
          <w:lang w:val="en-US" w:eastAsia="zh-CN"/>
        </w:rPr>
        <w:t>. SEM results for mechanism analysis</w:t>
      </w:r>
    </w:p>
    <w:tbl>
      <w:tblPr>
        <w:tblStyle w:val="12"/>
        <w:tblW w:w="947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954"/>
        <w:gridCol w:w="1339"/>
        <w:gridCol w:w="1219"/>
        <w:gridCol w:w="1379"/>
        <w:gridCol w:w="15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Path / Indicator</w:t>
            </w:r>
          </w:p>
        </w:tc>
        <w:tc>
          <w:tcPr>
            <w:tcW w:w="133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Estimate</w:t>
            </w:r>
          </w:p>
        </w:tc>
        <w:tc>
          <w:tcPr>
            <w:tcW w:w="121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SE</w:t>
            </w:r>
          </w:p>
        </w:tc>
        <w:tc>
          <w:tcPr>
            <w:tcW w:w="137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p-value</w:t>
            </w:r>
          </w:p>
        </w:tc>
        <w:tc>
          <w:tcPr>
            <w:tcW w:w="1580"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bottom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Measurement model</w:t>
            </w:r>
          </w:p>
        </w:tc>
        <w:tc>
          <w:tcPr>
            <w:tcW w:w="5517" w:type="dxa"/>
            <w:gridSpan w:val="4"/>
            <w:tcBorders>
              <w:bottom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Behavioral</w:t>
            </w:r>
          </w:p>
        </w:tc>
        <w:tc>
          <w:tcPr>
            <w:tcW w:w="133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0.82</w:t>
            </w:r>
          </w:p>
        </w:tc>
        <w:tc>
          <w:tcPr>
            <w:tcW w:w="121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0.72, 0.90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Emotional</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0.76</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0.06</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0.64, 0.86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Cognitive</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0.79</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0.69, 0.88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val="0"/>
                <w:i w:val="0"/>
                <w:color w:val="auto"/>
                <w:kern w:val="0"/>
                <w:sz w:val="21"/>
                <w:szCs w:val="21"/>
                <w:u w:val="none"/>
                <w:lang w:val="en-US" w:eastAsia="zh-CN" w:bidi="ar"/>
              </w:rPr>
            </w:pPr>
            <w:r>
              <w:rPr>
                <w:rFonts w:hint="default" w:ascii="Times New Roman" w:hAnsi="Times New Roman" w:eastAsia="宋体" w:cs="Times New Roman"/>
                <w:b/>
                <w:bCs w:val="0"/>
                <w:i w:val="0"/>
                <w:color w:val="auto"/>
                <w:kern w:val="0"/>
                <w:sz w:val="21"/>
                <w:szCs w:val="21"/>
                <w:u w:val="none"/>
                <w:lang w:val="en-US" w:eastAsia="zh-CN" w:bidi="ar"/>
              </w:rPr>
              <w:t>Structural model</w:t>
            </w:r>
          </w:p>
        </w:tc>
        <w:tc>
          <w:tcPr>
            <w:tcW w:w="5517" w:type="dxa"/>
            <w:gridSpan w:val="4"/>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Competency ← JCAI</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0.31</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0.07</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0.18, 0.44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Competency ← Eng</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0.28</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0.06</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0.16, 0.39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Indirect effect (JCAI → Eng → Competency)</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0.22</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0.12, 0.34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val="0"/>
                <w:i w:val="0"/>
                <w:color w:val="auto"/>
                <w:kern w:val="0"/>
                <w:sz w:val="21"/>
                <w:szCs w:val="21"/>
                <w:u w:val="none"/>
                <w:lang w:val="en-US" w:eastAsia="zh-CN" w:bidi="ar"/>
              </w:rPr>
            </w:pPr>
            <w:r>
              <w:rPr>
                <w:rFonts w:hint="default" w:ascii="Times New Roman" w:hAnsi="Times New Roman" w:eastAsia="宋体" w:cs="Times New Roman"/>
                <w:b/>
                <w:bCs w:val="0"/>
                <w:i w:val="0"/>
                <w:color w:val="auto"/>
                <w:kern w:val="0"/>
                <w:sz w:val="21"/>
                <w:szCs w:val="21"/>
                <w:u w:val="none"/>
                <w:lang w:val="en-US" w:eastAsia="zh-CN" w:bidi="ar"/>
              </w:rPr>
              <w:t>Model Fit</w:t>
            </w:r>
          </w:p>
        </w:tc>
        <w:tc>
          <w:tcPr>
            <w:tcW w:w="5517" w:type="dxa"/>
            <w:gridSpan w:val="4"/>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CFI</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0.95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 xml:space="preserve">TLI </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0.93</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SRMR</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0.045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SRMR</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0.035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bl>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Note.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Eng = engagement;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CFI = comparative fit index;</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TLI = Tucker–Lewis index;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RMSEA = root mean square error of approximation;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SRMR = standardized root mean square residual. </w:t>
      </w:r>
    </w:p>
    <w:p>
      <w:pPr>
        <w:bidi w:val="0"/>
        <w:spacing w:line="240" w:lineRule="auto"/>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i/>
          <w:iCs/>
          <w:color w:val="auto"/>
          <w:sz w:val="21"/>
          <w:szCs w:val="21"/>
          <w:lang w:val="en-US" w:eastAsia="zh-CN"/>
        </w:rPr>
        <w:t>All coefficients are standardized. Indirect effects were estimated using bootstrap confidence intervals. Because JCAI varied only at the course level (n = 4), SEM estimates should be interpreted as exploratory contextual pathway evidence rather than causal individual-level mediation evidence.</w:t>
      </w:r>
    </w:p>
    <w:p>
      <w:pPr>
        <w:spacing w:line="240" w:lineRule="auto"/>
        <w:ind w:left="0" w:leftChars="0" w:firstLine="0" w:firstLineChars="0"/>
        <w:jc w:val="center"/>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spacing w:line="240" w:lineRule="auto"/>
        <w:ind w:left="0" w:leftChars="0" w:firstLine="0" w:firstLineChars="0"/>
        <w:jc w:val="center"/>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8</w:t>
      </w:r>
      <w:r>
        <w:rPr>
          <w:rFonts w:hint="default" w:ascii="Times New Roman" w:hAnsi="Times New Roman" w:eastAsia="宋体" w:cs="Times New Roman"/>
          <w:b/>
          <w:bCs/>
          <w:color w:val="auto"/>
          <w:kern w:val="0"/>
          <w:sz w:val="21"/>
          <w:szCs w:val="22"/>
          <w:u w:val="none"/>
          <w:lang w:val="en-US" w:eastAsia="zh-CN" w:bidi="ar"/>
        </w:rPr>
        <w:t>. Full cross-validated predictive performance of baseline and JCAI-augmented models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944"/>
        <w:gridCol w:w="905"/>
        <w:gridCol w:w="880"/>
        <w:gridCol w:w="880"/>
        <w:gridCol w:w="880"/>
        <w:gridCol w:w="880"/>
        <w:gridCol w:w="936"/>
        <w:gridCol w:w="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Outcome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Model</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RMSE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MAE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AUC</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F1</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Brier score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Δ relative to baseline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Relative 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Learning engagement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0.812</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0.641</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Learning engagement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 + JCAI</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0.775</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0.612</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-0.037 RMSE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Competency score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8.42</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6.31</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Competency score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 + JCAI</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7.95</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5.98</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-0.47 RMSE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Binary attainment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0.742</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0.704</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0.183</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Binary attainment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Baseline + JCAI</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0.773</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0.725</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0.174</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+0.031 AUC</w:t>
            </w:r>
          </w:p>
        </w:tc>
        <w:tc>
          <w:tcPr>
            <w:tcW w:w="94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pPr>
            <w:r>
              <w:rPr>
                <w:rFonts w:hint="default" w:ascii="Times New Roman" w:hAnsi="Times New Roman" w:eastAsia="宋体" w:cs="Times New Roman"/>
                <w:color w:val="auto"/>
                <w:kern w:val="0"/>
                <w:sz w:val="21"/>
                <w:szCs w:val="22"/>
                <w:u w:val="none"/>
                <w:lang w:val="en-US" w:eastAsia="zh-CN" w:bidi="ar"/>
              </w:rPr>
              <w:t>+4.2%</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Predictive performance was evaluated using K-fold cross-validation (K = 10). The baseline model included conventional covariates only, whereas the JCAI-augmented model additionally included the course-level Job–Curriculum Alignment Index. RMSE = root mean squared error; MAE = mean absolute error; AUC = area under the receiver operating characteristic curve; F1 = F1-score. Lower RMSE, MAE, and Brier score indicate better predictive accuracy or calibration, whereas higher AUC and F1 indicate better discrimination or classification performance. Δ relative to baseline was computed as the performance of the JCAI-augmented model minus the performance of the baseline model. Results reflect within-context validation with student-level outcomes and section/instructor clustering.</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w:t>
      </w:r>
      <w:r>
        <w:rPr>
          <w:rFonts w:hint="eastAsia" w:cs="Times New Roman"/>
          <w:b/>
          <w:bCs/>
          <w:color w:val="auto"/>
          <w:kern w:val="0"/>
          <w:sz w:val="21"/>
          <w:szCs w:val="22"/>
          <w:u w:val="none"/>
          <w:lang w:val="en-US" w:eastAsia="zh-CN" w:bidi="ar"/>
        </w:rPr>
        <w:t>9</w:t>
      </w:r>
      <w:r>
        <w:rPr>
          <w:rFonts w:hint="default" w:ascii="Times New Roman" w:hAnsi="Times New Roman" w:eastAsia="宋体" w:cs="Times New Roman"/>
          <w:b/>
          <w:bCs/>
          <w:color w:val="auto"/>
          <w:kern w:val="0"/>
          <w:sz w:val="21"/>
          <w:szCs w:val="22"/>
          <w:u w:val="none"/>
          <w:lang w:val="en-US" w:eastAsia="zh-CN" w:bidi="ar"/>
        </w:rPr>
        <w:t>. Subgroup robustness and fairness-related classification metrics</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351"/>
        <w:gridCol w:w="859"/>
        <w:gridCol w:w="743"/>
        <w:gridCol w:w="567"/>
        <w:gridCol w:w="556"/>
        <w:gridCol w:w="567"/>
        <w:gridCol w:w="1065"/>
        <w:gridCol w:w="598"/>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Subgroup variable</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Group</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ΔRMSE</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ΔAUC</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TPR</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FPR</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PPV</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95% CI for ΔAUC</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Adjusted p-value</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Interpretation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Gender</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Male</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-0.041</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0.030</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0.82</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0.18</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0.79</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[0.004, 0.056]</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.184</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No clear subgroup disadvantage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Gender</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Female</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-0.038</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0.032</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0.81</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0.17</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0.80</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[0.006, 0.058]</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.184</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No clear subgroup disadvantage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Program group</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Data Science</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-0.047</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0.035</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0.84</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0.16</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0.82</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[0.009, 0.061]</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.126</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Slightly stronger improvement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Program group</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Intelligent Manufacturing</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-0.034</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0.027</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0.79</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0.19</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0.77</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[0.002, 0.052]</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.126</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Stable improvement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Course level</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Advanced</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-0.049</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0.037</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0.85</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0.15</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0.83</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[0.011, 0.063]</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.118</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Slightly stronger improvement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Course level</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Foundation</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-0.032</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0.025</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0.78</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0.20</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0.76</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[0.000, 0.050]</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.118</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Stable improvement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Semester</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Term 1</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-0.039</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0.030</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0.81</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0.18</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0.79</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[0.004, 0.056]</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.276</w:t>
            </w: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No clear semester difference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Semester</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Term 2</w:t>
            </w:r>
          </w:p>
        </w:tc>
        <w:tc>
          <w:tcPr>
            <w:tcW w:w="85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-0.040</w:t>
            </w:r>
          </w:p>
        </w:tc>
        <w:tc>
          <w:tcPr>
            <w:tcW w:w="74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0.031</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0.82</w:t>
            </w:r>
          </w:p>
        </w:tc>
        <w:tc>
          <w:tcPr>
            <w:tcW w:w="5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0.18</w:t>
            </w:r>
          </w:p>
        </w:tc>
        <w:tc>
          <w:tcPr>
            <w:tcW w:w="56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0.80</w:t>
            </w:r>
          </w:p>
        </w:tc>
        <w:tc>
          <w:tcPr>
            <w:tcW w:w="106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r>
              <w:rPr>
                <w:rFonts w:hint="default" w:ascii="Times New Roman" w:hAnsi="Times New Roman" w:eastAsia="宋体" w:cs="Times New Roman"/>
                <w:color w:val="auto"/>
                <w:kern w:val="0"/>
                <w:sz w:val="21"/>
                <w:szCs w:val="21"/>
                <w:u w:val="none"/>
                <w:lang w:val="en-US" w:eastAsia="zh-CN" w:bidi="ar"/>
              </w:rPr>
              <w:t>[0.005, 0.057]</w:t>
            </w:r>
          </w:p>
        </w:tc>
        <w:tc>
          <w:tcPr>
            <w:tcW w:w="59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p>
        </w:tc>
        <w:tc>
          <w:tcPr>
            <w:tcW w:w="1257"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 xml:space="preserve">Note. </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color w:val="auto"/>
          <w:kern w:val="0"/>
          <w:sz w:val="21"/>
          <w:szCs w:val="22"/>
          <w:u w:val="none"/>
          <w:lang w:val="en-US" w:eastAsia="zh-CN" w:bidi="ar"/>
        </w:rPr>
        <w:t>ΔRMSE and ΔAUC denote the change in predictive performance after adding course-level JCAI to the covariates-only baseline model. Negative ΔRMSE indicates lower prediction error, whereas positive ΔAUC indicates improved discrimination. TPR = true positive rate; FPR = false positive rate; PPV = positive predictive value. Classification metrics refer to binary competency attainment. Confidence intervals were obtained using cluster-bootstrap resampling, and adjusted p-values were computed using the Benjamini–Hochberg false discovery rate procedure. Values should be interpreted as subgroup-robustness evidence rather than definitive proof of algorithmic fairness.</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2"/>
          <w:u w:val="none"/>
          <w:lang w:val="en-US" w:eastAsia="zh-CN" w:bidi="ar"/>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2"/>
          <w:u w:val="none"/>
          <w:lang w:val="en-US" w:eastAsia="zh-CN" w:bidi="ar"/>
        </w:rPr>
      </w:pPr>
      <w:r>
        <w:rPr>
          <w:rFonts w:hint="default" w:ascii="Times New Roman" w:hAnsi="Times New Roman" w:eastAsia="宋体" w:cs="Times New Roman"/>
          <w:b/>
          <w:bCs/>
          <w:color w:val="auto"/>
          <w:kern w:val="0"/>
          <w:sz w:val="21"/>
          <w:szCs w:val="22"/>
          <w:u w:val="none"/>
          <w:lang w:val="en-US" w:eastAsia="zh-CN" w:bidi="ar"/>
        </w:rPr>
        <w:t>Table S10. Additional SEM results for mechanism analysis</w:t>
      </w:r>
    </w:p>
    <w:tbl>
      <w:tblPr>
        <w:tblStyle w:val="12"/>
        <w:tblW w:w="9471"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954"/>
        <w:gridCol w:w="1339"/>
        <w:gridCol w:w="1219"/>
        <w:gridCol w:w="1379"/>
        <w:gridCol w:w="158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Path / Indicator</w:t>
            </w:r>
          </w:p>
        </w:tc>
        <w:tc>
          <w:tcPr>
            <w:tcW w:w="133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Estimate</w:t>
            </w:r>
          </w:p>
        </w:tc>
        <w:tc>
          <w:tcPr>
            <w:tcW w:w="121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SE</w:t>
            </w:r>
          </w:p>
        </w:tc>
        <w:tc>
          <w:tcPr>
            <w:tcW w:w="1379"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p-value</w:t>
            </w:r>
          </w:p>
        </w:tc>
        <w:tc>
          <w:tcPr>
            <w:tcW w:w="1580" w:type="dxa"/>
            <w:tcBorders>
              <w:bottom w:val="single" w:color="auto" w:sz="4" w:space="0"/>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95% CI</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bottom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Measurement model</w:t>
            </w:r>
          </w:p>
        </w:tc>
        <w:tc>
          <w:tcPr>
            <w:tcW w:w="5517" w:type="dxa"/>
            <w:gridSpan w:val="4"/>
            <w:tcBorders>
              <w:bottom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top"/>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Behavioral</w:t>
            </w:r>
          </w:p>
        </w:tc>
        <w:tc>
          <w:tcPr>
            <w:tcW w:w="133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0.82</w:t>
            </w:r>
          </w:p>
        </w:tc>
        <w:tc>
          <w:tcPr>
            <w:tcW w:w="121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op w:val="nil"/>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0.72, 0.90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Emotional</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0.76</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0.06</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0.64, 0.86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Eng ← Cognitive</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0.79</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0.69, 0.88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val="0"/>
                <w:i w:val="0"/>
                <w:color w:val="auto"/>
                <w:kern w:val="0"/>
                <w:sz w:val="21"/>
                <w:szCs w:val="21"/>
                <w:u w:val="none"/>
                <w:lang w:val="en-US" w:eastAsia="zh-CN" w:bidi="ar"/>
              </w:rPr>
            </w:pPr>
            <w:r>
              <w:rPr>
                <w:rFonts w:hint="default" w:ascii="Times New Roman" w:hAnsi="Times New Roman" w:eastAsia="宋体" w:cs="Times New Roman"/>
                <w:b/>
                <w:bCs w:val="0"/>
                <w:i w:val="0"/>
                <w:color w:val="auto"/>
                <w:kern w:val="0"/>
                <w:sz w:val="21"/>
                <w:szCs w:val="21"/>
                <w:u w:val="none"/>
                <w:lang w:val="en-US" w:eastAsia="zh-CN" w:bidi="ar"/>
              </w:rPr>
              <w:t>Structural model</w:t>
            </w:r>
          </w:p>
        </w:tc>
        <w:tc>
          <w:tcPr>
            <w:tcW w:w="5517" w:type="dxa"/>
            <w:gridSpan w:val="4"/>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Competency ← JCAI</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0.31</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0.07</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0.18, 0.44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Competency ← Eng</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0.28</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0.06</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0.16, 0.39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Indirect effect (JCAI → Eng → Competency)</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0.22</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0.05</w:t>
            </w: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&lt;.01</w:t>
            </w: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sz w:val="21"/>
                <w:szCs w:val="21"/>
                <w:u w:val="none"/>
              </w:rPr>
            </w:pPr>
            <w:r>
              <w:rPr>
                <w:rFonts w:hint="default" w:ascii="Times New Roman" w:hAnsi="Times New Roman" w:eastAsia="宋体" w:cs="Times New Roman"/>
                <w:b w:val="0"/>
                <w:bCs/>
                <w:i w:val="0"/>
                <w:color w:val="auto"/>
                <w:kern w:val="0"/>
                <w:sz w:val="21"/>
                <w:szCs w:val="21"/>
                <w:u w:val="none"/>
                <w:lang w:val="en-US" w:eastAsia="zh-CN" w:bidi="ar"/>
              </w:rPr>
              <w:t>0.12, 0.34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bCs w:val="0"/>
                <w:i w:val="0"/>
                <w:color w:val="auto"/>
                <w:kern w:val="0"/>
                <w:sz w:val="21"/>
                <w:szCs w:val="21"/>
                <w:u w:val="none"/>
                <w:lang w:val="en-US" w:eastAsia="zh-CN" w:bidi="ar"/>
              </w:rPr>
            </w:pPr>
            <w:r>
              <w:rPr>
                <w:rFonts w:hint="default" w:ascii="Times New Roman" w:hAnsi="Times New Roman" w:eastAsia="宋体" w:cs="Times New Roman"/>
                <w:b/>
                <w:bCs w:val="0"/>
                <w:i w:val="0"/>
                <w:color w:val="auto"/>
                <w:kern w:val="0"/>
                <w:sz w:val="21"/>
                <w:szCs w:val="21"/>
                <w:u w:val="none"/>
                <w:lang w:val="en-US" w:eastAsia="zh-CN" w:bidi="ar"/>
              </w:rPr>
              <w:t>Model Fit</w:t>
            </w:r>
          </w:p>
        </w:tc>
        <w:tc>
          <w:tcPr>
            <w:tcW w:w="5517" w:type="dxa"/>
            <w:gridSpan w:val="4"/>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CFI</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0.95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 xml:space="preserve">TLI </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0.93</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SRMR</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0.045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2" w:hRule="atLeast"/>
          <w:jc w:val="center"/>
        </w:trPr>
        <w:tc>
          <w:tcPr>
            <w:tcW w:w="3954"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SRMR</w:t>
            </w:r>
          </w:p>
        </w:tc>
        <w:tc>
          <w:tcPr>
            <w:tcW w:w="133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r>
              <w:rPr>
                <w:rFonts w:hint="default" w:ascii="Times New Roman" w:hAnsi="Times New Roman" w:eastAsia="宋体" w:cs="Times New Roman"/>
                <w:b w:val="0"/>
                <w:bCs/>
                <w:i w:val="0"/>
                <w:color w:val="auto"/>
                <w:kern w:val="0"/>
                <w:sz w:val="21"/>
                <w:szCs w:val="21"/>
                <w:u w:val="none"/>
                <w:lang w:val="en-US" w:eastAsia="zh-CN" w:bidi="ar"/>
              </w:rPr>
              <w:t>0.035</w:t>
            </w:r>
          </w:p>
        </w:tc>
        <w:tc>
          <w:tcPr>
            <w:tcW w:w="121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379"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c>
          <w:tcPr>
            <w:tcW w:w="1580" w:type="dxa"/>
            <w:tcBorders>
              <w:tl2br w:val="nil"/>
              <w:tr2bl w:val="nil"/>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i w:val="0"/>
                <w:color w:val="auto"/>
                <w:kern w:val="0"/>
                <w:sz w:val="21"/>
                <w:szCs w:val="21"/>
                <w:u w:val="none"/>
                <w:lang w:val="en-US" w:eastAsia="zh-CN" w:bidi="ar"/>
              </w:rPr>
            </w:pPr>
          </w:p>
        </w:tc>
      </w:tr>
    </w:tbl>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Note.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Eng = engagement;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CFI = comparative fit index;</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TLI = Tucker–Lewis index;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RMSEA = root mean square error of approximation; </w:t>
      </w:r>
    </w:p>
    <w:p>
      <w:pPr>
        <w:bidi w:val="0"/>
        <w:spacing w:line="240" w:lineRule="auto"/>
        <w:ind w:left="0" w:leftChars="0" w:firstLine="0" w:firstLineChars="0"/>
        <w:jc w:val="both"/>
        <w:rPr>
          <w:rFonts w:hint="default" w:ascii="Times New Roman" w:hAnsi="Times New Roman" w:cs="Times New Roman"/>
          <w:i/>
          <w:iCs/>
          <w:color w:val="auto"/>
          <w:sz w:val="21"/>
          <w:szCs w:val="21"/>
          <w:lang w:val="en-US" w:eastAsia="zh-CN"/>
        </w:rPr>
      </w:pPr>
      <w:r>
        <w:rPr>
          <w:rFonts w:hint="default" w:ascii="Times New Roman" w:hAnsi="Times New Roman" w:cs="Times New Roman"/>
          <w:i/>
          <w:iCs/>
          <w:color w:val="auto"/>
          <w:sz w:val="21"/>
          <w:szCs w:val="21"/>
          <w:lang w:val="en-US" w:eastAsia="zh-CN"/>
        </w:rPr>
        <w:t xml:space="preserve">SRMR = standardized root mean square residual. </w:t>
      </w:r>
    </w:p>
    <w:p>
      <w:pPr>
        <w:bidi w:val="0"/>
        <w:spacing w:line="240" w:lineRule="auto"/>
        <w:ind w:left="0" w:leftChars="0" w:firstLine="0" w:firstLineChars="0"/>
        <w:jc w:val="both"/>
        <w:rPr>
          <w:rFonts w:hint="default" w:ascii="Times New Roman" w:hAnsi="Times New Roman" w:cs="Times New Roman"/>
          <w:color w:val="auto"/>
          <w:sz w:val="21"/>
          <w:szCs w:val="21"/>
          <w:lang w:val="en-US" w:eastAsia="zh-CN"/>
        </w:rPr>
      </w:pPr>
      <w:r>
        <w:rPr>
          <w:rFonts w:hint="default" w:ascii="Times New Roman" w:hAnsi="Times New Roman" w:cs="Times New Roman"/>
          <w:i/>
          <w:iCs/>
          <w:color w:val="auto"/>
          <w:sz w:val="21"/>
          <w:szCs w:val="21"/>
          <w:lang w:val="en-US" w:eastAsia="zh-CN"/>
        </w:rPr>
        <w:t>All coefficients are standardized. Indirect effects were estimated using bootstrap confidence intervals. Estimates use student-level validation records with course-level JCAI and section/instructor clustering.</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auto"/>
          <w:kern w:val="0"/>
          <w:sz w:val="21"/>
          <w:szCs w:val="22"/>
          <w:u w:val="none"/>
          <w:lang w:val="en-US" w:eastAsia="zh-CN" w:bidi="ar"/>
        </w:rPr>
      </w:pPr>
    </w:p>
    <w:p>
      <w:pPr>
        <w:rPr>
          <w:color w:val="auto"/>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6D4753"/>
    <w:rsid w:val="00C338F5"/>
    <w:rsid w:val="02DE7F3B"/>
    <w:rsid w:val="0B1E3B57"/>
    <w:rsid w:val="0E6B42E1"/>
    <w:rsid w:val="10B16529"/>
    <w:rsid w:val="118E168E"/>
    <w:rsid w:val="166A71C4"/>
    <w:rsid w:val="18C17A5D"/>
    <w:rsid w:val="18FB121D"/>
    <w:rsid w:val="19A17474"/>
    <w:rsid w:val="1C2E46CE"/>
    <w:rsid w:val="1FE76A2F"/>
    <w:rsid w:val="218B762A"/>
    <w:rsid w:val="244E2F0E"/>
    <w:rsid w:val="27260BE6"/>
    <w:rsid w:val="2A0D79C9"/>
    <w:rsid w:val="308152A3"/>
    <w:rsid w:val="30BE4F82"/>
    <w:rsid w:val="31497E58"/>
    <w:rsid w:val="32515F12"/>
    <w:rsid w:val="355855E1"/>
    <w:rsid w:val="3A3D6FCF"/>
    <w:rsid w:val="3B1A6DA8"/>
    <w:rsid w:val="3C475855"/>
    <w:rsid w:val="3F1C6C69"/>
    <w:rsid w:val="540C60D1"/>
    <w:rsid w:val="5A8F424F"/>
    <w:rsid w:val="5CF75179"/>
    <w:rsid w:val="61A10F58"/>
    <w:rsid w:val="61D5454F"/>
    <w:rsid w:val="668F2220"/>
    <w:rsid w:val="6703716A"/>
    <w:rsid w:val="6E6D4753"/>
    <w:rsid w:val="73C67381"/>
    <w:rsid w:val="745F4CED"/>
    <w:rsid w:val="7D747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00" w:firstLineChars="200"/>
      <w:jc w:val="both"/>
    </w:pPr>
    <w:rPr>
      <w:rFonts w:ascii="Times New Roman" w:hAnsi="Times New Roman" w:eastAsia="宋体" w:cstheme="minorBidi"/>
      <w:kern w:val="2"/>
      <w:sz w:val="24"/>
      <w:szCs w:val="24"/>
      <w:lang w:val="en-US" w:eastAsia="zh-CN" w:bidi="ar-SA"/>
    </w:rPr>
  </w:style>
  <w:style w:type="paragraph" w:styleId="2">
    <w:name w:val="heading 1"/>
    <w:basedOn w:val="1"/>
    <w:next w:val="1"/>
    <w:link w:val="18"/>
    <w:qFormat/>
    <w:uiPriority w:val="0"/>
    <w:pPr>
      <w:keepLines/>
      <w:pageBreakBefore/>
      <w:spacing w:before="100" w:beforeLines="100" w:after="100" w:afterLines="100" w:line="440" w:lineRule="exact"/>
      <w:jc w:val="center"/>
      <w:outlineLvl w:val="0"/>
    </w:pPr>
    <w:rPr>
      <w:rFonts w:ascii="Times New Roman" w:hAnsi="Times New Roman" w:eastAsia="黑体"/>
      <w:b/>
      <w:kern w:val="44"/>
      <w:sz w:val="36"/>
      <w:szCs w:val="32"/>
    </w:rPr>
  </w:style>
  <w:style w:type="paragraph" w:styleId="3">
    <w:name w:val="heading 2"/>
    <w:basedOn w:val="1"/>
    <w:next w:val="1"/>
    <w:link w:val="17"/>
    <w:semiHidden/>
    <w:unhideWhenUsed/>
    <w:qFormat/>
    <w:uiPriority w:val="0"/>
    <w:pPr>
      <w:keepNext/>
      <w:keepLines/>
      <w:spacing w:line="400" w:lineRule="exact"/>
      <w:ind w:firstLine="420" w:firstLineChars="200"/>
      <w:jc w:val="left"/>
      <w:outlineLvl w:val="1"/>
    </w:pPr>
    <w:rPr>
      <w:rFonts w:ascii="Times New Roman" w:hAnsi="Times New Roman" w:eastAsia="宋体" w:cstheme="majorBidi"/>
      <w:b/>
      <w:bCs/>
      <w:snapToGrid w:val="0"/>
      <w:color w:val="000000"/>
      <w:sz w:val="28"/>
      <w:szCs w:val="32"/>
      <w:lang w:eastAsia="en-US"/>
    </w:rPr>
  </w:style>
  <w:style w:type="paragraph" w:styleId="4">
    <w:name w:val="heading 3"/>
    <w:basedOn w:val="1"/>
    <w:next w:val="1"/>
    <w:link w:val="21"/>
    <w:semiHidden/>
    <w:unhideWhenUsed/>
    <w:qFormat/>
    <w:uiPriority w:val="0"/>
    <w:pPr>
      <w:keepNext/>
      <w:keepLines/>
      <w:spacing w:after="0" w:line="360" w:lineRule="auto"/>
      <w:outlineLvl w:val="2"/>
    </w:pPr>
    <w:rPr>
      <w:rFonts w:ascii="Times New Roman" w:hAnsi="Times New Roman" w:eastAsia="黑体" w:cstheme="majorBidi"/>
      <w:bCs/>
      <w:color w:val="5B9BD5" w:themeColor="accent1"/>
      <w:sz w:val="24"/>
      <w:szCs w:val="22"/>
      <w:lang w:eastAsia="en-US"/>
      <w14:textFill>
        <w14:solidFill>
          <w14:schemeClr w14:val="accent1"/>
        </w14:solidFill>
      </w14:textFill>
    </w:rPr>
  </w:style>
  <w:style w:type="character" w:default="1" w:styleId="14">
    <w:name w:val="Default Paragraph Font"/>
    <w:semiHidden/>
    <w:unhideWhenUsed/>
    <w:uiPriority w:val="1"/>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afterLines="0" w:afterAutospacing="0"/>
    </w:pPr>
  </w:style>
  <w:style w:type="paragraph" w:styleId="6">
    <w:name w:val="Body Text Indent 2"/>
    <w:basedOn w:val="1"/>
    <w:link w:val="19"/>
    <w:qFormat/>
    <w:uiPriority w:val="0"/>
    <w:pPr>
      <w:widowControl w:val="0"/>
      <w:spacing w:line="360" w:lineRule="auto"/>
      <w:ind w:left="0" w:leftChars="0" w:firstLine="643" w:firstLineChars="200"/>
    </w:pPr>
    <w:rPr>
      <w:rFonts w:ascii="Times New Roman" w:hAnsi="Times New Roman" w:eastAsia="宋体" w:cs="Times New Roman"/>
    </w:rPr>
  </w:style>
  <w:style w:type="paragraph" w:styleId="7">
    <w:name w:val="header"/>
    <w:basedOn w:val="1"/>
    <w:link w:val="16"/>
    <w:qFormat/>
    <w:uiPriority w:val="0"/>
    <w:pPr>
      <w:pBdr>
        <w:top w:val="none" w:color="auto" w:sz="0" w:space="1"/>
        <w:left w:val="none" w:color="auto" w:sz="0" w:space="4"/>
        <w:bottom w:val="single" w:color="000000" w:themeColor="text1" w:sz="4" w:space="0"/>
        <w:right w:val="none" w:color="auto" w:sz="0" w:space="4"/>
      </w:pBdr>
      <w:tabs>
        <w:tab w:val="center" w:pos="4153"/>
        <w:tab w:val="right" w:pos="8306"/>
      </w:tabs>
      <w:snapToGrid w:val="0"/>
      <w:jc w:val="center"/>
    </w:pPr>
    <w:rPr>
      <w:rFonts w:ascii="Times New Roman" w:hAnsi="Times New Roman" w:eastAsia="宋体" w:cs="Times New Roman"/>
      <w:b/>
      <w:sz w:val="28"/>
      <w:szCs w:val="18"/>
    </w:rPr>
  </w:style>
  <w:style w:type="paragraph" w:styleId="8">
    <w:name w:val="footnote text"/>
    <w:basedOn w:val="1"/>
    <w:qFormat/>
    <w:uiPriority w:val="0"/>
    <w:pPr>
      <w:tabs>
        <w:tab w:val="left" w:pos="377"/>
      </w:tabs>
      <w:snapToGrid w:val="0"/>
      <w:ind w:left="402" w:hanging="402" w:hangingChars="200"/>
      <w:jc w:val="both"/>
    </w:pPr>
    <w:rPr>
      <w:rFonts w:ascii="Times New Roman" w:hAnsi="Times New Roman"/>
      <w:sz w:val="18"/>
    </w:rPr>
  </w:style>
  <w:style w:type="paragraph" w:styleId="9">
    <w:name w:val="Normal (Web)"/>
    <w:basedOn w:val="1"/>
    <w:uiPriority w:val="0"/>
    <w:pPr>
      <w:spacing w:before="0" w:beforeAutospacing="1" w:after="0" w:afterAutospacing="1"/>
      <w:ind w:left="0" w:right="0"/>
      <w:jc w:val="left"/>
    </w:pPr>
    <w:rPr>
      <w:kern w:val="0"/>
      <w:sz w:val="24"/>
      <w:lang w:val="en-US" w:eastAsia="zh-CN" w:bidi="ar"/>
    </w:rPr>
  </w:style>
  <w:style w:type="paragraph" w:styleId="10">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1">
    <w:name w:val="Body Text First Indent"/>
    <w:basedOn w:val="5"/>
    <w:qFormat/>
    <w:uiPriority w:val="0"/>
    <w:pPr>
      <w:spacing w:line="360" w:lineRule="auto"/>
      <w:ind w:firstLine="1040" w:firstLineChars="200"/>
    </w:pPr>
    <w:rPr>
      <w:rFonts w:ascii="Times New Roman" w:hAnsi="Times New Roman" w:eastAsia="宋体"/>
      <w:sz w:val="24"/>
    </w:rPr>
  </w:style>
  <w:style w:type="table" w:styleId="13">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页眉 字符"/>
    <w:basedOn w:val="14"/>
    <w:link w:val="7"/>
    <w:qFormat/>
    <w:uiPriority w:val="99"/>
    <w:rPr>
      <w:rFonts w:ascii="Times New Roman" w:hAnsi="Times New Roman" w:eastAsia="宋体" w:cs="Times New Roman"/>
      <w:b/>
      <w:kern w:val="2"/>
      <w:sz w:val="28"/>
      <w:szCs w:val="18"/>
    </w:rPr>
  </w:style>
  <w:style w:type="character" w:customStyle="1" w:styleId="17">
    <w:name w:val="标题 2 Char"/>
    <w:basedOn w:val="14"/>
    <w:link w:val="3"/>
    <w:qFormat/>
    <w:uiPriority w:val="9"/>
    <w:rPr>
      <w:rFonts w:ascii="Times New Roman" w:hAnsi="Times New Roman" w:eastAsia="宋体" w:cstheme="majorBidi"/>
      <w:bCs/>
      <w:snapToGrid w:val="0"/>
      <w:color w:val="000000"/>
      <w:kern w:val="0"/>
      <w:sz w:val="28"/>
      <w:szCs w:val="32"/>
      <w:lang w:eastAsia="en-US"/>
    </w:rPr>
  </w:style>
  <w:style w:type="character" w:customStyle="1" w:styleId="18">
    <w:name w:val="标题 1 字符"/>
    <w:basedOn w:val="14"/>
    <w:link w:val="2"/>
    <w:qFormat/>
    <w:uiPriority w:val="9"/>
    <w:rPr>
      <w:rFonts w:hint="eastAsia" w:ascii="Times New Roman" w:hAnsi="Times New Roman" w:eastAsia="黑体" w:cs="Times New Roman"/>
      <w:bCs/>
      <w:kern w:val="44"/>
      <w:sz w:val="36"/>
      <w:szCs w:val="48"/>
      <w:lang w:val="en-US" w:eastAsia="zh-CN" w:bidi="ar-SA"/>
    </w:rPr>
  </w:style>
  <w:style w:type="character" w:customStyle="1" w:styleId="19">
    <w:name w:val="正文文本缩进 2 Char"/>
    <w:basedOn w:val="14"/>
    <w:link w:val="6"/>
    <w:qFormat/>
    <w:uiPriority w:val="0"/>
    <w:rPr>
      <w:rFonts w:ascii="Times New Roman" w:hAnsi="Times New Roman" w:eastAsia="宋体" w:cs="Times New Roman"/>
      <w:sz w:val="24"/>
      <w:szCs w:val="24"/>
    </w:rPr>
  </w:style>
  <w:style w:type="paragraph" w:customStyle="1" w:styleId="20">
    <w:name w:val="样式1"/>
    <w:basedOn w:val="1"/>
    <w:next w:val="1"/>
    <w:qFormat/>
    <w:uiPriority w:val="0"/>
    <w:pPr>
      <w:keepNext w:val="0"/>
      <w:keepLines w:val="0"/>
      <w:spacing w:line="360" w:lineRule="auto"/>
      <w:ind w:left="0" w:firstLine="883" w:firstLineChars="200"/>
      <w:jc w:val="both"/>
      <w:outlineLvl w:val="1"/>
    </w:pPr>
    <w:rPr>
      <w:rFonts w:hint="eastAsia" w:ascii="Times New Roman" w:hAnsi="Times New Roman" w:eastAsia="宋体" w:cstheme="majorBidi"/>
      <w:bCs/>
      <w:snapToGrid w:val="0"/>
      <w:color w:val="000000"/>
      <w:sz w:val="28"/>
      <w:szCs w:val="32"/>
    </w:rPr>
  </w:style>
  <w:style w:type="character" w:customStyle="1" w:styleId="21">
    <w:name w:val="Heading 3 Char"/>
    <w:basedOn w:val="14"/>
    <w:link w:val="4"/>
    <w:uiPriority w:val="9"/>
    <w:rPr>
      <w:rFonts w:ascii="Times New Roman" w:hAnsi="Times New Roman" w:eastAsia="黑体" w:cstheme="majorBidi"/>
      <w:bCs/>
      <w:color w:val="5B9BD5" w:themeColor="accent1"/>
      <w:sz w:val="24"/>
      <w:szCs w:val="22"/>
      <w:lang w:eastAsia="en-US"/>
      <w14:textFill>
        <w14:solidFill>
          <w14:schemeClr w14:val="accent1"/>
        </w14:solidFill>
      </w14:textFill>
    </w:rPr>
  </w:style>
  <w:style w:type="paragraph" w:customStyle="1" w:styleId="22">
    <w:name w:val="样式3"/>
    <w:basedOn w:val="1"/>
    <w:link w:val="23"/>
    <w:qFormat/>
    <w:uiPriority w:val="0"/>
    <w:pPr>
      <w:widowControl/>
      <w:spacing w:line="240" w:lineRule="auto"/>
      <w:ind w:firstLine="0" w:firstLineChars="0"/>
      <w:jc w:val="center"/>
      <w:textAlignment w:val="center"/>
    </w:pPr>
    <w:rPr>
      <w:rFonts w:ascii="Times New Roman" w:hAnsi="Times New Roman" w:eastAsia="宋体" w:cs="Times New Roman"/>
      <w:color w:val="auto"/>
      <w:kern w:val="0"/>
      <w:sz w:val="21"/>
      <w:szCs w:val="22"/>
      <w:u w:val="none"/>
      <w:lang w:bidi="ar"/>
    </w:rPr>
  </w:style>
  <w:style w:type="character" w:customStyle="1" w:styleId="23">
    <w:name w:val="样式3 Char"/>
    <w:link w:val="22"/>
    <w:qFormat/>
    <w:uiPriority w:val="0"/>
    <w:rPr>
      <w:rFonts w:ascii="Times New Roman" w:hAnsi="Times New Roman" w:eastAsia="宋体" w:cs="Times New Roman"/>
      <w:color w:val="auto"/>
      <w:kern w:val="0"/>
      <w:sz w:val="21"/>
      <w:szCs w:val="22"/>
      <w:u w:val="none"/>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2026-04-26T04:46:00Z</dcterms:created>
  <dc:creator>admin</dc:creator>
  <cp:lastModifiedBy>admin</cp:lastModifiedBy>
  <dcterms:modified xsi:type="dcterms:W3CDTF">2026-07-15T06:45:13Z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5E5FCE4DC8764D599531D740F5754B5E</vt:lpwstr>
  </property>
</Properties>
</file>