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7ECCBB">
      <w:pPr>
        <w:pStyle w:val="11"/>
        <w:spacing w:before="0" w:after="240" w:line="240" w:lineRule="auto"/>
        <w:jc w:val="center"/>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32"/>
          <w:szCs w:val="22"/>
          <w:lang w:val="en-US" w:eastAsia="zh-CN"/>
        </w:rPr>
        <w:t>Supplementary Appendix</w:t>
      </w:r>
    </w:p>
    <w:p w14:paraId="231E776B">
      <w:pPr>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This appendix contains the Supplementary Methods, Supplementary Results, and Supplementary Tables accompanying the main manuscript.</w:t>
      </w:r>
    </w:p>
    <w:p w14:paraId="3381F7F8">
      <w:pPr>
        <w:spacing w:before="0" w:after="0" w:line="240" w:lineRule="auto"/>
        <w:jc w:val="center"/>
        <w:rPr>
          <w:rFonts w:hint="default" w:ascii="Times New Roman Regular" w:hAnsi="Times New Roman Regular" w:cs="Times New Roman Regular"/>
          <w:b/>
          <w:bCs/>
          <w:color w:val="auto"/>
          <w:sz w:val="22"/>
          <w:szCs w:val="22"/>
          <w:lang w:val="en-US" w:eastAsia="zh-CN"/>
        </w:rPr>
      </w:pPr>
    </w:p>
    <w:p w14:paraId="70A8F6A4">
      <w:pPr>
        <w:spacing w:before="0" w:after="0" w:line="240" w:lineRule="auto"/>
        <w:jc w:val="center"/>
        <w:rPr>
          <w:rFonts w:hint="default" w:ascii="Times New Roman Regular" w:hAnsi="Times New Roman Regular" w:cs="Times New Roman Regular"/>
          <w:b/>
          <w:bCs/>
          <w:color w:val="auto"/>
          <w:sz w:val="22"/>
          <w:szCs w:val="22"/>
          <w:lang w:val="en-US" w:eastAsia="zh-CN"/>
        </w:rPr>
      </w:pPr>
    </w:p>
    <w:p w14:paraId="1A119732">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6DB388BE">
      <w:pPr>
        <w:pStyle w:val="9"/>
        <w:keepNext/>
        <w:spacing w:before="0" w:after="120" w:line="240" w:lineRule="auto"/>
        <w:jc w:val="left"/>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6"/>
          <w:szCs w:val="22"/>
          <w:lang w:val="en-US" w:eastAsia="zh-CN"/>
        </w:rPr>
        <w:t>Supplementary Methods</w:t>
      </w:r>
    </w:p>
    <w:p w14:paraId="54782375">
      <w:pPr>
        <w:pStyle w:val="10"/>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2"/>
          <w:szCs w:val="22"/>
          <w:lang w:val="en-US" w:eastAsia="zh-CN"/>
        </w:rPr>
        <w:t>SM1. Medication initiation/escalation proxy outcome</w:t>
      </w:r>
    </w:p>
    <w:p w14:paraId="3D45A64F">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val="0"/>
          <w:bCs w:val="0"/>
          <w:color w:val="auto"/>
          <w:sz w:val="20"/>
          <w:szCs w:val="22"/>
          <w:lang w:val="en-US" w:eastAsia="zh-CN"/>
        </w:rPr>
        <w:t>In the baseline asthma cohort, a medication initiation/escalation proxy event was additionally defined as transition from no asthma medication use at the previous wave to medication use at the current wave, to examine whether lower iron status was associated with subsequent treatment intensification. The primary analysis used logistic regression within the risk set of participants not using asthma medication at the previous wave to assess the association between previous-wave log2 ferritin and subsequent medication initiation/escalation risk. Models were adjusted for previous-wave symptom burden, age, sex, smoking status, body mass index (BMI), heart disease, diabetes, and log2-transformed C-reactive protein (CRP). Additional models further adjusted for hemoglobin to assess independence from anemia, and ferritin×smoking interaction models were used to assess heterogeneity by smoking status. Discrete-time survival analysis was conducted as a supplementary approach.</w:t>
      </w:r>
    </w:p>
    <w:p w14:paraId="2309AE5E">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0D8F0BB">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522334BB">
      <w:pPr>
        <w:pStyle w:val="10"/>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2"/>
          <w:szCs w:val="22"/>
          <w:lang w:val="en-US" w:eastAsia="zh-CN"/>
        </w:rPr>
        <w:t>SM2. Item-specific symptom analyses</w:t>
      </w:r>
    </w:p>
    <w:p w14:paraId="2ADAEE6F">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val="0"/>
          <w:bCs w:val="0"/>
          <w:color w:val="auto"/>
          <w:sz w:val="20"/>
          <w:szCs w:val="22"/>
          <w:lang w:val="en-US" w:eastAsia="zh-CN"/>
        </w:rPr>
        <w:t>In addition to the composite outcome of any asthma-like symptom, we further examined individual symptom items, including wheeze, night waking, and asthma attack. All item-specific symptom models used the same generalized estimating equation (GEE) framework as in the main text, with a logit link and an exchangeable working correlation structure. Models were uniformly adjusted for follow-up time, age, sex, smoking status, body mass index (BMI), log-transformed C-reactive protein (CRP), and hemoglobin (Hb). Alongside the IFI models, ferritin coefficient of variation (CV), ferritin slope, and the cumulative number of ferritin measurements &lt;30 μg/L were also examined in separate parallel models.</w:t>
      </w:r>
    </w:p>
    <w:p w14:paraId="1EAE2DE4">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0EFFD86E">
      <w:pPr>
        <w:pStyle w:val="10"/>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2"/>
          <w:szCs w:val="22"/>
          <w:lang w:val="en-US" w:eastAsia="zh-CN"/>
        </w:rPr>
        <w:t>SM3. Detailed subgroup analyses by grip strength and functional status</w:t>
      </w:r>
    </w:p>
    <w:p w14:paraId="1139E9AB">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val="0"/>
          <w:bCs w:val="0"/>
          <w:color w:val="auto"/>
          <w:sz w:val="20"/>
          <w:szCs w:val="22"/>
          <w:lang w:val="en-US" w:eastAsia="zh-CN"/>
        </w:rPr>
        <w:t xml:space="preserve">To further characterize heterogeneity in the association between ferritin coefficient of variation (CV) and repeated FEV₁, we conducted subgroup analyses according to grip strength and functional status. Grip-strength-related analyses used linear mixed-effects models to examine subgroup-specific associations between ferritin CV and repeated </w:t>
      </w:r>
      <w:r>
        <w:rPr>
          <w:rFonts w:hint="default" w:ascii="Times New Roman" w:hAnsi="Times New Roman" w:eastAsia="Times New Roman" w:cs="Times New Roman Regular"/>
          <w:sz w:val="20"/>
          <w:szCs w:val="22"/>
          <w:lang w:val="en-US" w:eastAsia="zh-CN"/>
        </w:rPr>
        <w:t>FEV₁</w:t>
      </w:r>
      <w:r>
        <w:rPr>
          <w:rFonts w:hint="default" w:ascii="Times New Roman" w:hAnsi="Times New Roman" w:eastAsia="Times New Roman" w:cs="Times New Roman Regular"/>
          <w:b w:val="0"/>
          <w:bCs w:val="0"/>
          <w:color w:val="auto"/>
          <w:sz w:val="20"/>
          <w:szCs w:val="22"/>
          <w:lang w:val="en-US" w:eastAsia="zh-CN"/>
        </w:rPr>
        <w:t xml:space="preserve"> and to formally test ferritin CV×grip interaction terms in both the full sample and participants aged 60 years or older. Models were then refitted within grip-defined strata to estimate the direction and magnitude of associations separately in the strong-grip and weak-grip groups.</w:t>
      </w:r>
    </w:p>
    <w:p w14:paraId="3AD0AD91">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val="0"/>
          <w:bCs w:val="0"/>
          <w:color w:val="auto"/>
          <w:sz w:val="20"/>
          <w:szCs w:val="22"/>
          <w:lang w:val="en-US" w:eastAsia="zh-CN"/>
        </w:rPr>
        <w:t>To examine whether the broader ferritin CV–muscle strength–lung function pattern differed across functional-status subgroups, supplementary structural equation models were fitted within prespecified ADL and IADL limitation groups. These models were used as supportive analyses to assess whether the relationships among ferritin CV, grip strength, and FEV₁ were directionally similar across functional-status strata. All subgroup analyses used the same covariate-adjustment framework as in the main text, including age, sex, smoking status, body mass index (BMI), log-transformed C-reactive protein (CRP), and hemoglobin (Hb), as applicable.</w:t>
      </w:r>
    </w:p>
    <w:p w14:paraId="2A0F5273">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319C8BB">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6E003B1F">
      <w:pPr>
        <w:pStyle w:val="10"/>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2"/>
          <w:szCs w:val="22"/>
          <w:lang w:val="en-US" w:eastAsia="zh-CN"/>
        </w:rPr>
        <w:t>SM4. Iron–muscle phenotype construction and extended analyses</w:t>
      </w:r>
    </w:p>
    <w:p w14:paraId="1BA9747B">
      <w:pPr>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val="0"/>
          <w:bCs w:val="0"/>
          <w:color w:val="auto"/>
          <w:sz w:val="20"/>
          <w:szCs w:val="22"/>
          <w:lang w:val="en-US" w:eastAsia="zh-CN"/>
        </w:rPr>
        <w:t xml:space="preserve">This section examined iron–muscle phenotype analyses and related grip-strength extensions. First, we constructed four iron–muscle phenotype groups based on ferritin coefficient of variation (CV) and mean grip strength and compared mean forced expiratory volume in 1 second (FEV₁) and related clinical characteristics across phenotype groups. Second, using participant-level summary data, we fitted structural equation models to assess whether the association between ferritin CV and mean FEV₁ was partly mediated by mean grip strength and to estimate the direct, indirect, and total effects, together with the proportion mediated. Additional analyses were conducted across functional-status subgroups defined by ADL and IADL limitation status. For functional-status-stratified analyses of repeated FEV₁, linear mixed-effects models were fitted separately within ADL- and IADL-defined strata using the same covariate-adjustment framework as in the main text. Formal interaction models were also used to assess whether the associations between dynamic iron-related measures and repeated FEV₁ differed according to ADL or IADL limitation status. </w:t>
      </w:r>
      <w:r>
        <w:rPr>
          <w:rFonts w:hint="default" w:ascii="Times New Roman" w:hAnsi="Times New Roman" w:eastAsia="Times New Roman" w:cs="Times New Roman Regular"/>
          <w:b/>
          <w:bCs/>
          <w:color w:val="auto"/>
          <w:sz w:val="20"/>
          <w:szCs w:val="22"/>
          <w:lang w:val="en-US" w:eastAsia="zh-CN"/>
        </w:rPr>
        <w:br w:type="page"/>
      </w:r>
    </w:p>
    <w:p w14:paraId="5FD539B2">
      <w:pPr>
        <w:pStyle w:val="10"/>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2"/>
          <w:szCs w:val="22"/>
          <w:lang w:val="en-US" w:eastAsia="zh-CN"/>
        </w:rPr>
        <w:t>SM5. Domain-specific ADL and gross/fine motor analyses</w:t>
      </w:r>
    </w:p>
    <w:p w14:paraId="392D21CC">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val="0"/>
          <w:bCs w:val="0"/>
          <w:color w:val="auto"/>
          <w:sz w:val="20"/>
          <w:szCs w:val="22"/>
          <w:lang w:val="en-US" w:eastAsia="zh-CN"/>
        </w:rPr>
        <w:t>This section further characterized the domain-specific pattern of severe activities of daily living deterioration (severe ADL deterioration). Time-to-first-event datasets were constructed for individual ADL items, which were further classified into gross motor/power domains and fine motor/low-energy domains. Cox proportional hazards models were then used to examine the associations of ferritin coefficient of variation (CV), ferritin slope, the cumulative number of ferritin measurements &lt;30 μg/L, the iron fragility index (IFI), and iron–muscle phenotype with the risk of first events across specific ADL domains and gross/fine motor functional clusters. All models were adjusted for baseline age, sex, smoking status, body mass index (BMI), log-transformed C-reactive protein (CRP), and baseline hemoglobin (Hb). Additional analyses examined selected domain-specific associations according to grip strength, formal grip interaction terms for motor-related ADL domains, and phenotype-specific risk patterns for first severe ADL deterioration. Proportional hazards assumptions were also assessed for the corresponding Cox models.</w:t>
      </w:r>
    </w:p>
    <w:p w14:paraId="12B61978">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0C888F5">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209BFF16">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0112059B">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165D9A58">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4F5733AB">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129AF006">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5B456B9D">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5E4C33A4">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087F74AF">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6B4BD87B">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65AFDD5A">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6048DEE0">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0F90E4C1">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27C1CF72">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3A56AD9A">
      <w:pPr>
        <w:pStyle w:val="10"/>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2"/>
          <w:szCs w:val="22"/>
          <w:lang w:val="en-US" w:eastAsia="zh-CN"/>
        </w:rPr>
        <w:t>SM6. Time-varying and lagged analyses for FEV₁ and binary decline outcomes</w:t>
      </w:r>
    </w:p>
    <w:p w14:paraId="55974373">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val="0"/>
          <w:bCs w:val="0"/>
          <w:color w:val="auto"/>
          <w:sz w:val="20"/>
          <w:szCs w:val="22"/>
          <w:lang w:val="en-US" w:eastAsia="zh-CN"/>
        </w:rPr>
        <w:t>This section examined whether current ferritin status and recent ferritin change were associated with concurrent or subsequent lung function outcomes. Time-varying exposure measures included current ferritin level, recent change in ferritin between adjacent waves, current low ferritin status, and cumulative ferritin coefficient of variation (CV), as applicable. For continuous outcomes, linear mixed-effects models were used to evaluate the associations of these measures with current forced expiratory volume in 1 second (FEV₁), and lagged models were further used to assess their associations with next-wave FEV₁. Additional lagged analyses further adjusted for current FEV₁ to examine whether any observed associations with subsequent FEV₁ were independent of contemporaneous lung function status.</w:t>
      </w:r>
    </w:p>
    <w:p w14:paraId="4AA0BFE9">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val="0"/>
          <w:bCs w:val="0"/>
          <w:color w:val="auto"/>
          <w:sz w:val="20"/>
          <w:szCs w:val="22"/>
          <w:lang w:val="en-US" w:eastAsia="zh-CN"/>
        </w:rPr>
        <w:t xml:space="preserve">For binary lung-function outcomes, generalized linear mixed models (GLMMs) or lagged logistic regression models were used to examine associations with current or next-wave marked FEV₁ decline and low FEV20, as applicable. Additional models further adjusted for current FEV₁ or included joint sets of current ferritin-related measures to assess the robustness of these findings. All models were adjusted for follow-up time, age, sex, smoking status, body mass index (BMI), log-transformed C-reactive protein (CRP), and hemoglobin (Hb). </w:t>
      </w:r>
    </w:p>
    <w:p w14:paraId="623FE5D8">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F868C61">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4AA0950E">
      <w:pPr>
        <w:pStyle w:val="10"/>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2"/>
          <w:szCs w:val="22"/>
          <w:lang w:val="en-US" w:eastAsia="zh-CN"/>
        </w:rPr>
        <w:t>SM7. Time-dependent Cox analyses</w:t>
      </w:r>
    </w:p>
    <w:p w14:paraId="55890CDD">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val="0"/>
          <w:bCs w:val="0"/>
          <w:color w:val="auto"/>
          <w:sz w:val="20"/>
          <w:szCs w:val="22"/>
          <w:lang w:val="en-US" w:eastAsia="zh-CN"/>
        </w:rPr>
        <w:t xml:space="preserve">Using the same time-varying exposure definitions as in SM6, we further examined the associations between ferritin-related time-varying measures and the risk of proximal adverse lung-function events. Time-dependent Cox datasets were constructed in start–stop counting-process format. The primary event outcomes were decline in forced expiratory volume in 1 second (FEV₁) by at least 10% relative to baseline FEV₁ and incident low FEV. Separate time-dependent Cox models were used to evaluate the associations of current ferritin level, recent ferritin change, cumulative ferritin variability, current low ferritin status, and high-variability intervals with proximal event risk. All models were adjusted for current age, sex, smoking status, body mass index (BMI), log-transformed C-reactive protein (CRP), and hemoglobin (Hb). </w:t>
      </w:r>
    </w:p>
    <w:p w14:paraId="7B38321D">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2758523">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1CC8400E">
      <w:pPr>
        <w:pStyle w:val="10"/>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2"/>
          <w:szCs w:val="22"/>
          <w:lang w:val="en-US" w:eastAsia="zh-CN"/>
        </w:rPr>
        <w:t>SM8. All-cause mortality analyses</w:t>
      </w:r>
    </w:p>
    <w:p w14:paraId="4D88C9DE">
      <w:pPr>
        <w:spacing w:before="0" w:after="120" w:line="240" w:lineRule="auto"/>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val="0"/>
          <w:bCs w:val="0"/>
          <w:color w:val="auto"/>
          <w:sz w:val="20"/>
          <w:szCs w:val="22"/>
          <w:lang w:val="en-US" w:eastAsia="zh-CN"/>
        </w:rPr>
        <w:t>This section examined whether dynamic iron dysregulation was associated with the risk of all-cause mortality. Participant-level survival follow-up data were constructed using year-of-death information. Cox proportional hazards models were then fitted using ferritin coefficient of variation (CV), ferritin slope, the cumulative number of ferritin measurements &lt;30 μg/L, the iron fragility index (IFI), and iron–muscle phenotype as the primary exposure variables. All models were adjusted for baseline age, sex, smoking status, body mass index (BMI), log-transformed C-reactive protein (CRP), and baseline hemoglobin (Hb). Because the number of mortality events was limited, formal inference was not emphasized when model estimation was unstable, and descriptive results were used to summarize the overall pattern.</w:t>
      </w:r>
    </w:p>
    <w:p w14:paraId="40469A68">
      <w:pPr>
        <w:spacing w:before="0" w:after="0" w:line="240" w:lineRule="auto"/>
        <w:rPr>
          <w:rFonts w:hint="default" w:ascii="Times New Roman Regular" w:hAnsi="Times New Roman Regular" w:cs="Times New Roman Regular"/>
          <w:b w:val="0"/>
          <w:bCs w:val="0"/>
          <w:color w:val="auto"/>
          <w:sz w:val="22"/>
          <w:szCs w:val="22"/>
          <w:lang w:val="en-US" w:eastAsia="zh-CN"/>
        </w:rPr>
      </w:pPr>
      <w:r>
        <w:rPr>
          <w:rFonts w:hint="default" w:ascii="Times New Roman Regular" w:hAnsi="Times New Roman Regular" w:cs="Times New Roman Regular"/>
          <w:b w:val="0"/>
          <w:bCs w:val="0"/>
          <w:color w:val="auto"/>
          <w:sz w:val="22"/>
          <w:szCs w:val="22"/>
          <w:lang w:val="en-US" w:eastAsia="zh-CN"/>
        </w:rPr>
        <w:br w:type="page"/>
      </w:r>
    </w:p>
    <w:p w14:paraId="7E0DD7D8">
      <w:pPr>
        <w:pStyle w:val="10"/>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2"/>
          <w:szCs w:val="22"/>
          <w:lang w:val="en-US" w:eastAsia="zh-CN"/>
        </w:rPr>
        <w:t>SM9. CLPM, RI-CLPM, and parallel-process growth models</w:t>
      </w:r>
    </w:p>
    <w:p w14:paraId="4FE37FB0">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val="0"/>
          <w:bCs w:val="0"/>
          <w:color w:val="auto"/>
          <w:sz w:val="20"/>
          <w:szCs w:val="22"/>
          <w:lang w:val="en-US" w:eastAsia="zh-CN"/>
        </w:rPr>
        <w:t>This section examined directional relationships and shared trajectories between ferritin and forced expiratory volume in 1 second (FEV₁). Traditional cross-lagged panel models (CLPMs) and random-intercept cross-lagged panel models (RI-CLPMs) were used to evaluate cross-temporal paths and potential within-person directional relationships between ferritin and FEV₁. Parallel-process growth models were further used to assess whether long-term ferritin and FEV₁ trajectories showed coordinated change over time.</w:t>
      </w:r>
    </w:p>
    <w:p w14:paraId="298102D0">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val="0"/>
          <w:bCs w:val="0"/>
          <w:color w:val="auto"/>
          <w:sz w:val="20"/>
          <w:szCs w:val="22"/>
          <w:lang w:val="en-US" w:eastAsia="zh-CN"/>
        </w:rPr>
        <w:t>All structural equation and growth models were estimated using full information maximum likelihood to account for missing data and robust maximum likelihood estimation. Model fit was evaluated using χ², comparative fit index (CFI), Tucker–Lewis index (TLI), root mean square error of approximation (RMSEA), standardized root mean square residual (SRMR), Akaike information criterion (AIC), and Bayesian information criterion (BIC), as applicable. Additional adjusted RI-CLPM and growth-model analyses were used to assess whether the overall directional pattern remained consistent after incorporation of baseline covariates and hemoglobin.</w:t>
      </w:r>
    </w:p>
    <w:p w14:paraId="18BDB9A1">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EA8E114">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A6D4A60">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7FC02FF3">
      <w:pPr>
        <w:pStyle w:val="10"/>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2"/>
          <w:szCs w:val="22"/>
          <w:lang w:val="en-US" w:eastAsia="zh-CN"/>
        </w:rPr>
        <w:t>SM10. Robustness of IFI construction under alternative weighting schemes</w:t>
      </w:r>
    </w:p>
    <w:p w14:paraId="01C40262">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val="0"/>
          <w:bCs w:val="0"/>
          <w:color w:val="auto"/>
          <w:sz w:val="20"/>
          <w:szCs w:val="22"/>
          <w:lang w:val="en-US" w:eastAsia="zh-CN"/>
        </w:rPr>
        <w:t>This section evaluated whether the iron fragility index (IFI) depended materially on a specific weighting scheme. In addition to the equal-weight IFI used in the main analyses, alternative IFI constructions were generated using principal component analysis (PCA) weighting, leave-one-out formulations, and β-based weighting schemes. Each derived IFI variant was re-standardized and then entered into the same analytic framework as the main analyses. Associations with repeated forced expiratory volume in 1 second (FEV₁) and with any asthma-like symptom were examined separately to assess whether the primary IFI-related findings were robust to alternative weighting strategies.</w:t>
      </w:r>
    </w:p>
    <w:p w14:paraId="0F64DEB8">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3F86BFF">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4A9B5B8A">
      <w:pPr>
        <w:pStyle w:val="10"/>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2"/>
          <w:szCs w:val="22"/>
          <w:lang w:val="en-US" w:eastAsia="zh-CN"/>
        </w:rPr>
        <w:t>SM11. Missingness and inverse probability weighting analyses</w:t>
      </w:r>
    </w:p>
    <w:p w14:paraId="5BE0FF1B">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val="0"/>
          <w:bCs w:val="0"/>
          <w:color w:val="auto"/>
          <w:sz w:val="20"/>
          <w:szCs w:val="22"/>
          <w:lang w:val="en-US" w:eastAsia="zh-CN"/>
        </w:rPr>
        <w:t xml:space="preserve">This section details the complete-case analyses and inverse probability weighting (IPW) sensitivity analyses. For the principal analytic pathways, including IFI→FEV₁, ferritin CV→FEV₁, and IFI→symptom, separate complete-case datasets were constructed together with inclusion-versus-exclusion comparison tables and probability models for entering the complete-case sample. Stabilized inverse probability weights were calculated using baseline information and were truncated at the 1st and 99th percentiles. Weighted repeated-measures analyses were then performed using the same analytic framework as in the primary models to evaluate whether the principal findings remained robust after accounting for potential selection related to complete-case inclusion. Weight-distribution diagnostics were additionally examined to assess the practical performance of the IPW models. </w:t>
      </w:r>
    </w:p>
    <w:p w14:paraId="4EB79F9C">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1622DB4">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7CC593D4">
      <w:pPr>
        <w:pStyle w:val="10"/>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2"/>
          <w:szCs w:val="22"/>
          <w:lang w:val="en-US" w:eastAsia="zh-CN"/>
        </w:rPr>
        <w:t>SM12. Family-wise false discovery rate correction</w:t>
      </w:r>
    </w:p>
    <w:p w14:paraId="489DC317">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val="0"/>
          <w:bCs w:val="0"/>
          <w:color w:val="auto"/>
          <w:sz w:val="20"/>
          <w:szCs w:val="22"/>
          <w:lang w:val="en-US" w:eastAsia="zh-CN"/>
        </w:rPr>
        <w:t>This section details the multiple-comparison correction strategy. A single overall false discovery rate (FDR) correction was not applied across all analyses in the manuscript. Instead, analyses were prespecified into separate analysis families according to the underlying research question, and Benjamini–Hochberg family-wise FDR correction was applied within each family. Symptom outcomes, lung-function outcomes, age-modification analyses, mediation analyses, sex-by-age heterogeneity analyses, smoking-related analyses, and hemoglobin- or inflammation-related extension analyses were assigned to separate families. Both raw P values and family-specific q values were retained in the corresponding main and supplementary result tables.</w:t>
      </w:r>
    </w:p>
    <w:p w14:paraId="3770A28A">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6083B5D">
      <w:pPr>
        <w:spacing w:before="0" w:after="0" w:line="240" w:lineRule="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br w:type="page"/>
      </w:r>
    </w:p>
    <w:p w14:paraId="7367C493">
      <w:pPr>
        <w:pStyle w:val="9"/>
        <w:keepNext/>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6"/>
          <w:szCs w:val="22"/>
          <w:lang w:val="en-US" w:eastAsia="zh-CN"/>
        </w:rPr>
        <w:t>Supplementary Results</w:t>
      </w:r>
    </w:p>
    <w:p w14:paraId="21AFF51D">
      <w:pPr>
        <w:pStyle w:val="10"/>
        <w:keepNext/>
        <w:spacing w:before="0" w:after="120" w:line="240" w:lineRule="auto"/>
        <w:rPr>
          <w:rFonts w:hint="default" w:ascii="Times New Roman Regular" w:hAnsi="Times New Roman Regular" w:cs="Times New Roman Regular"/>
          <w:b/>
          <w:bCs/>
          <w:sz w:val="22"/>
          <w:szCs w:val="22"/>
        </w:rPr>
      </w:pPr>
      <w:r>
        <w:rPr>
          <w:rFonts w:hint="default" w:ascii="Times New Roman" w:hAnsi="Times New Roman" w:eastAsia="Times New Roman" w:cs="Times New Roman Regular"/>
          <w:b/>
          <w:bCs/>
          <w:sz w:val="22"/>
          <w:szCs w:val="22"/>
        </w:rPr>
        <w:t>SR1. Medication initiation/escalation proxy outcome</w:t>
      </w:r>
    </w:p>
    <w:p w14:paraId="10B1DC67">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 xml:space="preserve">In the baseline asthma cohort, previous-wave ferritin was not clearly associated with subsequent medication initiation/escalation proxy events. In the primary adjusted logistic model, previous-wave log2 ferritin showed no clear association with subsequent medication initiation/escalation risk (Supplementary Table S1). </w:t>
      </w:r>
    </w:p>
    <w:p w14:paraId="4549179B">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 xml:space="preserve">Results from the Hb-adjusted model and the ferritin×smoking interaction model were consistent with the primary analysis. Additional adjustment for hemoglobin did not materially alter the ferritin estimate, hemoglobin itself was not clearly associated with the proxy outcome, and there was no clear evidence that the association differed by smoking status (Supplementary Tables S2–S3). Discrete-time survival analyses were directionally similar and likewise did not support a clear association between previous-wave ferritin and subsequent treatment intensification (Supplementary Table S4). </w:t>
      </w:r>
    </w:p>
    <w:p w14:paraId="56AA4E6D">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Overall, these proxy-outcome analyses provided only limited support for an association between lower iron status and subsequent treatment intensification and are best interpreted as supplementary evidence.</w:t>
      </w:r>
    </w:p>
    <w:p w14:paraId="255562A7">
      <w:pPr>
        <w:spacing w:before="0" w:after="0" w:line="240" w:lineRule="auto"/>
        <w:rPr>
          <w:rFonts w:hint="default" w:ascii="Times New Roman Regular" w:hAnsi="Times New Roman Regular" w:cs="Times New Roman Regular"/>
          <w:sz w:val="22"/>
          <w:szCs w:val="22"/>
        </w:rPr>
      </w:pPr>
    </w:p>
    <w:p w14:paraId="29C2CEDC">
      <w:pPr>
        <w:spacing w:before="0" w:after="0" w:line="240" w:lineRule="auto"/>
        <w:rPr>
          <w:rFonts w:hint="default" w:ascii="Times New Roman Regular" w:hAnsi="Times New Roman Regular" w:cs="Times New Roman Regular"/>
          <w:b/>
          <w:bCs/>
          <w:sz w:val="22"/>
          <w:szCs w:val="22"/>
        </w:rPr>
      </w:pPr>
      <w:r>
        <w:rPr>
          <w:rFonts w:hint="default" w:ascii="Times New Roman Regular" w:hAnsi="Times New Roman Regular" w:cs="Times New Roman Regular"/>
          <w:b/>
          <w:bCs/>
          <w:sz w:val="22"/>
          <w:szCs w:val="22"/>
        </w:rPr>
        <w:br w:type="page"/>
      </w:r>
    </w:p>
    <w:p w14:paraId="0630EDA7">
      <w:pPr>
        <w:pStyle w:val="10"/>
        <w:keepNext/>
        <w:spacing w:before="0" w:after="120" w:line="240" w:lineRule="auto"/>
        <w:rPr>
          <w:rFonts w:hint="default" w:ascii="Times New Roman Regular" w:hAnsi="Times New Roman Regular" w:cs="Times New Roman Regular"/>
          <w:b/>
          <w:bCs/>
          <w:sz w:val="22"/>
          <w:szCs w:val="22"/>
        </w:rPr>
      </w:pPr>
      <w:r>
        <w:rPr>
          <w:rFonts w:hint="default" w:ascii="Times New Roman" w:hAnsi="Times New Roman" w:eastAsia="Times New Roman" w:cs="Times New Roman Regular"/>
          <w:b/>
          <w:bCs/>
          <w:sz w:val="22"/>
          <w:szCs w:val="22"/>
        </w:rPr>
        <w:t>SR2. Item-specific symptom analyses</w:t>
      </w:r>
    </w:p>
    <w:p w14:paraId="136988F9">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 xml:space="preserve">Associations between dynamic iron-related measures and respiratory symptom outcomes were not uniform. For the composite outcome of any asthma-like symptom, overall associations were limited across the different dynamic iron-related measures (Supplementary Table S5). By contrast, clearer signals in the item-specific analyses were concentrated in asthma attack, whereas results for wheeze and night waking were generally weak (Supplementary Table S6). </w:t>
      </w:r>
    </w:p>
    <w:p w14:paraId="563E5ACC">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 xml:space="preserve">Among the dynamic iron-related measures, higher IFI was associated with a higher risk of asthma attack, and a greater cumulative number of ferritin measurements &lt;30 μg/L showed a similar positive association. Ferritin CV, however, did not show a comparably clear association with asthma attack, and ferritin slope did not demonstrate a stable pattern. For wheeze and night waking, no consistent pattern was observed across the different iron-related measures (Supplementary Table S6). </w:t>
      </w:r>
    </w:p>
    <w:p w14:paraId="22CDBCF4">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 xml:space="preserve">Descriptive symptom frequencies according to repeated low-ferritin exposure categories were broadly consistent with this pattern, with asthma attack showing a less favorable distribution across low-ferritin exposure groups than the other symptom items (Supplementary Table S7). Overall, these findings suggest that symptom-level signals related to dynamic iron dysregulation were concentrated mainly in an acute exacerbation-related phenotype rather than in more general respiratory symptom domains. </w:t>
      </w:r>
    </w:p>
    <w:p w14:paraId="15992765">
      <w:pPr>
        <w:spacing w:before="0" w:after="0" w:line="240" w:lineRule="auto"/>
        <w:rPr>
          <w:rFonts w:hint="default" w:ascii="Times New Roman Regular" w:hAnsi="Times New Roman Regular" w:cs="Times New Roman Regular"/>
          <w:sz w:val="22"/>
          <w:szCs w:val="22"/>
        </w:rPr>
      </w:pPr>
    </w:p>
    <w:p w14:paraId="7B180FD7">
      <w:pPr>
        <w:spacing w:before="0" w:after="0" w:line="240" w:lineRule="auto"/>
        <w:rPr>
          <w:rFonts w:hint="default" w:ascii="Times New Roman Regular" w:hAnsi="Times New Roman Regular" w:cs="Times New Roman Regular"/>
          <w:b/>
          <w:bCs/>
          <w:sz w:val="22"/>
          <w:szCs w:val="22"/>
        </w:rPr>
      </w:pPr>
      <w:r>
        <w:rPr>
          <w:rFonts w:hint="default" w:ascii="Times New Roman Regular" w:hAnsi="Times New Roman Regular" w:cs="Times New Roman Regular"/>
          <w:b/>
          <w:bCs/>
          <w:sz w:val="22"/>
          <w:szCs w:val="22"/>
        </w:rPr>
        <w:br w:type="page"/>
      </w:r>
    </w:p>
    <w:p w14:paraId="616F2E5A">
      <w:pPr>
        <w:pStyle w:val="10"/>
        <w:keepNext/>
        <w:spacing w:before="0" w:after="120" w:line="240" w:lineRule="auto"/>
        <w:rPr>
          <w:rFonts w:hint="default" w:ascii="Times New Roman Regular" w:hAnsi="Times New Roman Regular" w:cs="Times New Roman Regular"/>
          <w:b w:val="0"/>
          <w:bCs w:val="0"/>
          <w:sz w:val="22"/>
          <w:szCs w:val="22"/>
        </w:rPr>
      </w:pPr>
      <w:r>
        <w:rPr>
          <w:rFonts w:hint="default" w:ascii="Times New Roman" w:hAnsi="Times New Roman" w:eastAsia="Times New Roman" w:cs="Times New Roman Regular"/>
          <w:b/>
          <w:bCs/>
          <w:sz w:val="22"/>
          <w:szCs w:val="22"/>
        </w:rPr>
        <w:t>SR3. Grip strength and functional-status-related subgroup analyses</w:t>
      </w:r>
    </w:p>
    <w:p w14:paraId="3229B15F">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 xml:space="preserve">In subgroup analyses by muscle strength, the association between ferritin CV and lower </w:t>
      </w:r>
      <w:r>
        <w:rPr>
          <w:rFonts w:hint="default" w:ascii="Times New Roman" w:hAnsi="Times New Roman" w:eastAsia="Times New Roman" w:cs="Times New Roman Regular"/>
          <w:b w:val="0"/>
          <w:bCs w:val="0"/>
          <w:color w:val="auto"/>
          <w:sz w:val="20"/>
          <w:szCs w:val="22"/>
          <w:lang w:val="en-US" w:eastAsia="zh-CN"/>
        </w:rPr>
        <w:t>FEV₁</w:t>
      </w:r>
      <w:r>
        <w:rPr>
          <w:rFonts w:hint="default" w:ascii="Times New Roman" w:hAnsi="Times New Roman" w:eastAsia="Times New Roman" w:cs="Times New Roman Regular"/>
          <w:sz w:val="20"/>
          <w:szCs w:val="22"/>
        </w:rPr>
        <w:t xml:space="preserve"> was more evident among individuals with weak grip strength, particularly in analyses restricted to participants aged 60 years or older. In that subgroup, higher ferritin CV was associated with lower </w:t>
      </w:r>
      <w:r>
        <w:rPr>
          <w:rFonts w:hint="default" w:ascii="Times New Roman" w:hAnsi="Times New Roman" w:eastAsia="Times New Roman" w:cs="Times New Roman Regular"/>
          <w:b w:val="0"/>
          <w:bCs w:val="0"/>
          <w:color w:val="auto"/>
          <w:sz w:val="20"/>
          <w:szCs w:val="22"/>
          <w:lang w:val="en-US" w:eastAsia="zh-CN"/>
        </w:rPr>
        <w:t>FEV₁</w:t>
      </w:r>
      <w:r>
        <w:rPr>
          <w:rFonts w:hint="default" w:ascii="Times New Roman" w:hAnsi="Times New Roman" w:eastAsia="Times New Roman" w:cs="Times New Roman Regular"/>
          <w:sz w:val="20"/>
          <w:szCs w:val="22"/>
        </w:rPr>
        <w:t xml:space="preserve"> in the weak-grip stratum, whereas the corresponding association in the strong-grip stratum was weaker and of borderline statistical support (Supplementary Table S14). Formal ferritin CV×grip interaction analyses, however, provided only limited statistical support in both the full sample and the older subgroup (Supplementary Tables S15–S16).</w:t>
      </w:r>
    </w:p>
    <w:p w14:paraId="0FAD2516">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 xml:space="preserve">Functional-status-related analyses showed a broadly similar pattern but were more limited in scope. In structural equation models stratified by ADL and IADL limitation groups, the overall pattern linking ferritin CV, grip strength, and </w:t>
      </w:r>
      <w:r>
        <w:rPr>
          <w:rFonts w:hint="default" w:ascii="Times New Roman" w:hAnsi="Times New Roman" w:eastAsia="Times New Roman" w:cs="Times New Roman Regular"/>
          <w:b w:val="0"/>
          <w:bCs w:val="0"/>
          <w:color w:val="auto"/>
          <w:sz w:val="20"/>
          <w:szCs w:val="22"/>
          <w:lang w:val="en-US" w:eastAsia="zh-CN"/>
        </w:rPr>
        <w:t>FEV₁</w:t>
      </w:r>
      <w:r>
        <w:rPr>
          <w:rFonts w:hint="default" w:ascii="Times New Roman" w:hAnsi="Times New Roman" w:eastAsia="Times New Roman" w:cs="Times New Roman Regular"/>
          <w:sz w:val="20"/>
          <w:szCs w:val="22"/>
        </w:rPr>
        <w:t xml:space="preserve"> remained broadly similar across functional-status strata, although most path estimates were imprecise and statistical support was generally limited (Supplementary Table S17).</w:t>
      </w:r>
    </w:p>
    <w:p w14:paraId="611FD0E2">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Overall, these subgroup analyses provide supportive evidence that the ferritin CV–</w:t>
      </w:r>
      <w:r>
        <w:rPr>
          <w:rFonts w:hint="default" w:ascii="Times New Roman" w:hAnsi="Times New Roman" w:eastAsia="Times New Roman" w:cs="Times New Roman Regular"/>
          <w:b w:val="0"/>
          <w:bCs w:val="0"/>
          <w:color w:val="auto"/>
          <w:sz w:val="20"/>
          <w:szCs w:val="22"/>
          <w:lang w:val="en-US" w:eastAsia="zh-CN"/>
        </w:rPr>
        <w:t>FEV₁</w:t>
      </w:r>
      <w:r>
        <w:rPr>
          <w:rFonts w:hint="default" w:ascii="Times New Roman" w:hAnsi="Times New Roman" w:eastAsia="Times New Roman" w:cs="Times New Roman Regular"/>
          <w:sz w:val="20"/>
          <w:szCs w:val="22"/>
        </w:rPr>
        <w:t xml:space="preserve"> association may be more apparent in selected vulnerable subgroups, particularly those with weaker muscle strength, although formal evidence for effect modification remained limited.</w:t>
      </w:r>
    </w:p>
    <w:p w14:paraId="7871DD3A">
      <w:pPr>
        <w:spacing w:before="0" w:after="0" w:line="240" w:lineRule="auto"/>
        <w:rPr>
          <w:rFonts w:hint="default" w:ascii="Times New Roman Regular" w:hAnsi="Times New Roman Regular" w:cs="Times New Roman Regular"/>
          <w:sz w:val="22"/>
          <w:szCs w:val="22"/>
        </w:rPr>
      </w:pPr>
    </w:p>
    <w:p w14:paraId="5845EA98">
      <w:pPr>
        <w:spacing w:before="0" w:after="0" w:line="240" w:lineRule="auto"/>
        <w:rPr>
          <w:rFonts w:hint="default" w:ascii="Times New Roman Regular" w:hAnsi="Times New Roman Regular" w:cs="Times New Roman Regular"/>
          <w:b/>
          <w:bCs/>
          <w:sz w:val="22"/>
          <w:szCs w:val="22"/>
        </w:rPr>
      </w:pPr>
      <w:r>
        <w:rPr>
          <w:rFonts w:hint="default" w:ascii="Times New Roman Regular" w:hAnsi="Times New Roman Regular" w:cs="Times New Roman Regular"/>
          <w:b/>
          <w:bCs/>
          <w:sz w:val="22"/>
          <w:szCs w:val="22"/>
        </w:rPr>
        <w:br w:type="page"/>
      </w:r>
    </w:p>
    <w:p w14:paraId="54C2B6FF">
      <w:pPr>
        <w:pStyle w:val="10"/>
        <w:keepNext/>
        <w:spacing w:before="0" w:after="120" w:line="240" w:lineRule="auto"/>
        <w:rPr>
          <w:rFonts w:hint="default" w:ascii="Times New Roman Regular" w:hAnsi="Times New Roman Regular" w:cs="Times New Roman Regular"/>
          <w:b/>
          <w:bCs/>
          <w:sz w:val="22"/>
          <w:szCs w:val="22"/>
        </w:rPr>
      </w:pPr>
      <w:r>
        <w:rPr>
          <w:rFonts w:hint="default" w:ascii="Times New Roman" w:hAnsi="Times New Roman" w:eastAsia="Times New Roman" w:cs="Times New Roman Regular"/>
          <w:b/>
          <w:bCs/>
          <w:sz w:val="22"/>
          <w:szCs w:val="22"/>
        </w:rPr>
        <w:t>SR4. Iron–muscle phenotype construction and extended analyses</w:t>
      </w:r>
    </w:p>
    <w:p w14:paraId="134229D3">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 xml:space="preserve">Across the four iron–muscle phenotype groups defined by ferritin CV and grip strength, the group characterized by high instability and weak grip strength showed the lowest </w:t>
      </w:r>
      <w:r>
        <w:rPr>
          <w:rFonts w:hint="default" w:ascii="Times New Roman" w:hAnsi="Times New Roman" w:eastAsia="Times New Roman" w:cs="Times New Roman Regular"/>
          <w:b w:val="0"/>
          <w:bCs w:val="0"/>
          <w:color w:val="auto"/>
          <w:sz w:val="20"/>
          <w:szCs w:val="22"/>
          <w:lang w:val="en-US" w:eastAsia="zh-CN"/>
        </w:rPr>
        <w:t>FEV₁</w:t>
      </w:r>
      <w:r>
        <w:rPr>
          <w:rFonts w:hint="default" w:ascii="Times New Roman" w:hAnsi="Times New Roman" w:eastAsia="Times New Roman" w:cs="Times New Roman Regular"/>
          <w:sz w:val="20"/>
          <w:szCs w:val="22"/>
        </w:rPr>
        <w:t>, whereas the group with low instability and strong grip strength showed the most favorable lung function pattern (Supplementary Table S18). These findings support a joint pattern linking dynamic iron dysregulation, reduced muscle strength, and lower lung function.</w:t>
      </w:r>
    </w:p>
    <w:p w14:paraId="4B677EB2">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 xml:space="preserve">Structural equation modeling showed a directionally similar pattern. Higher ferritin CV was associated with weaker grip strength, and weaker grip strength was in turn related to lower </w:t>
      </w:r>
      <w:r>
        <w:rPr>
          <w:rFonts w:hint="default" w:ascii="Times New Roman" w:hAnsi="Times New Roman" w:eastAsia="Times New Roman" w:cs="Times New Roman Regular"/>
          <w:b w:val="0"/>
          <w:bCs w:val="0"/>
          <w:color w:val="auto"/>
          <w:sz w:val="20"/>
          <w:szCs w:val="22"/>
          <w:lang w:val="en-US" w:eastAsia="zh-CN"/>
        </w:rPr>
        <w:t>FEV₁</w:t>
      </w:r>
      <w:r>
        <w:rPr>
          <w:rFonts w:hint="default" w:ascii="Times New Roman" w:hAnsi="Times New Roman" w:eastAsia="Times New Roman" w:cs="Times New Roman Regular"/>
          <w:sz w:val="20"/>
          <w:szCs w:val="22"/>
        </w:rPr>
        <w:t>, although statistical support for indirect mediation was limited overall (Supplementary Table S19). Taken together, these findings are more consistent with a supportive joint-pattern interpretation than with definitive mediation.</w:t>
      </w:r>
    </w:p>
    <w:p w14:paraId="7D8B1547">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In analyses stratified by functional status, the ferritin CV–</w:t>
      </w:r>
      <w:r>
        <w:rPr>
          <w:rFonts w:hint="default" w:ascii="Times New Roman" w:hAnsi="Times New Roman" w:eastAsia="Times New Roman" w:cs="Times New Roman Regular"/>
          <w:b w:val="0"/>
          <w:bCs w:val="0"/>
          <w:color w:val="auto"/>
          <w:sz w:val="20"/>
          <w:szCs w:val="22"/>
          <w:lang w:val="en-US" w:eastAsia="zh-CN"/>
        </w:rPr>
        <w:t>FEV₁</w:t>
      </w:r>
      <w:r>
        <w:rPr>
          <w:rFonts w:hint="default" w:ascii="Times New Roman" w:hAnsi="Times New Roman" w:eastAsia="Times New Roman" w:cs="Times New Roman Regular"/>
          <w:sz w:val="20"/>
          <w:szCs w:val="22"/>
        </w:rPr>
        <w:t xml:space="preserve"> association was more evident among participants with fewer ADL or IADL limitations, whereas the corresponding associations were weaker in those with more advanced functional limitation (Supplementary Tables S20–S21). Formal interaction analyses by ADL and IADL limitation status, however, provided only limited statistical support (Supplementary Table S22).</w:t>
      </w:r>
    </w:p>
    <w:p w14:paraId="05C874ED">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Overall, these extended analyses provide supportive evidence for an interrelated pattern linking dynamic iron dysregulation, weaker muscle strength, and lower lung function, while suggesting that this relationship may be more detectable before functional limitation becomes more advanced.</w:t>
      </w:r>
    </w:p>
    <w:p w14:paraId="5D9AFAC1">
      <w:pPr>
        <w:spacing w:before="0" w:after="0" w:line="240" w:lineRule="auto"/>
        <w:rPr>
          <w:rFonts w:hint="default" w:ascii="Times New Roman Regular" w:hAnsi="Times New Roman Regular" w:cs="Times New Roman Regular"/>
          <w:sz w:val="22"/>
          <w:szCs w:val="22"/>
        </w:rPr>
      </w:pPr>
    </w:p>
    <w:p w14:paraId="5B8EF449">
      <w:pPr>
        <w:spacing w:before="0" w:after="0" w:line="240" w:lineRule="auto"/>
        <w:rPr>
          <w:rFonts w:hint="default" w:ascii="Times New Roman Regular" w:hAnsi="Times New Roman Regular" w:cs="Times New Roman Regular"/>
          <w:sz w:val="22"/>
          <w:szCs w:val="22"/>
        </w:rPr>
      </w:pPr>
    </w:p>
    <w:p w14:paraId="43CDFE04">
      <w:pPr>
        <w:spacing w:before="0" w:after="0" w:line="240" w:lineRule="auto"/>
        <w:rPr>
          <w:rFonts w:hint="default" w:ascii="Times New Roman Regular" w:hAnsi="Times New Roman Regular" w:cs="Times New Roman Regular"/>
          <w:sz w:val="22"/>
          <w:szCs w:val="22"/>
        </w:rPr>
      </w:pPr>
    </w:p>
    <w:p w14:paraId="642B2592">
      <w:pPr>
        <w:spacing w:before="0" w:after="0" w:line="240" w:lineRule="auto"/>
        <w:rPr>
          <w:rFonts w:hint="default" w:ascii="Times New Roman Regular" w:hAnsi="Times New Roman Regular" w:cs="Times New Roman Regular"/>
          <w:sz w:val="22"/>
          <w:szCs w:val="22"/>
        </w:rPr>
      </w:pPr>
    </w:p>
    <w:p w14:paraId="06A3345A">
      <w:pPr>
        <w:spacing w:before="0" w:after="0" w:line="240" w:lineRule="auto"/>
        <w:rPr>
          <w:rFonts w:hint="default" w:ascii="Times New Roman Regular" w:hAnsi="Times New Roman Regular" w:cs="Times New Roman Regular"/>
          <w:b/>
          <w:bCs/>
          <w:sz w:val="22"/>
          <w:szCs w:val="22"/>
        </w:rPr>
      </w:pPr>
    </w:p>
    <w:p w14:paraId="73BE5B2C">
      <w:pPr>
        <w:spacing w:before="0" w:after="0" w:line="240" w:lineRule="auto"/>
        <w:rPr>
          <w:rFonts w:hint="default" w:ascii="Times New Roman Regular" w:hAnsi="Times New Roman Regular" w:cs="Times New Roman Regular"/>
          <w:b/>
          <w:bCs/>
          <w:sz w:val="22"/>
          <w:szCs w:val="22"/>
        </w:rPr>
      </w:pPr>
    </w:p>
    <w:p w14:paraId="76DD0DDC">
      <w:pPr>
        <w:spacing w:before="0" w:after="0" w:line="240" w:lineRule="auto"/>
        <w:rPr>
          <w:rFonts w:hint="default" w:ascii="Times New Roman Regular" w:hAnsi="Times New Roman Regular" w:cs="Times New Roman Regular"/>
          <w:b/>
          <w:bCs/>
          <w:sz w:val="22"/>
          <w:szCs w:val="22"/>
        </w:rPr>
      </w:pPr>
    </w:p>
    <w:p w14:paraId="09E3A388">
      <w:pPr>
        <w:spacing w:before="0" w:after="0" w:line="240" w:lineRule="auto"/>
        <w:rPr>
          <w:rFonts w:hint="default" w:ascii="Times New Roman Regular" w:hAnsi="Times New Roman Regular" w:cs="Times New Roman Regular"/>
          <w:b/>
          <w:bCs/>
          <w:sz w:val="22"/>
          <w:szCs w:val="22"/>
        </w:rPr>
      </w:pPr>
    </w:p>
    <w:p w14:paraId="2FF1BC99">
      <w:pPr>
        <w:spacing w:before="0" w:after="0" w:line="240" w:lineRule="auto"/>
        <w:rPr>
          <w:rFonts w:hint="default" w:ascii="Times New Roman Regular" w:hAnsi="Times New Roman Regular" w:cs="Times New Roman Regular"/>
          <w:b/>
          <w:bCs/>
          <w:sz w:val="22"/>
          <w:szCs w:val="22"/>
        </w:rPr>
      </w:pPr>
      <w:r>
        <w:rPr>
          <w:rFonts w:hint="default" w:ascii="Times New Roman Regular" w:hAnsi="Times New Roman Regular" w:cs="Times New Roman Regular"/>
          <w:b/>
          <w:bCs/>
          <w:sz w:val="22"/>
          <w:szCs w:val="22"/>
        </w:rPr>
        <w:br w:type="page"/>
      </w:r>
    </w:p>
    <w:p w14:paraId="2DE0F827">
      <w:pPr>
        <w:pStyle w:val="10"/>
        <w:keepNext/>
        <w:spacing w:before="0" w:after="120" w:line="240" w:lineRule="auto"/>
        <w:rPr>
          <w:rFonts w:hint="default" w:ascii="Times New Roman Regular" w:hAnsi="Times New Roman Regular" w:cs="Times New Roman Regular"/>
          <w:b/>
          <w:bCs/>
          <w:sz w:val="22"/>
          <w:szCs w:val="22"/>
        </w:rPr>
      </w:pPr>
      <w:r>
        <w:rPr>
          <w:rFonts w:hint="default" w:ascii="Times New Roman" w:hAnsi="Times New Roman" w:eastAsia="Times New Roman" w:cs="Times New Roman Regular"/>
          <w:b/>
          <w:bCs/>
          <w:sz w:val="22"/>
          <w:szCs w:val="22"/>
        </w:rPr>
        <w:t>SR5. Domain-specific ADL and gross/fine motor analyses</w:t>
      </w:r>
    </w:p>
    <w:p w14:paraId="0B76DF7D">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In domain-specific ADL analyses, risk patterns related to dynamic iron dysregulation were more evident in gross motor than in fine motor domains. Ferritin CV was associated with a higher risk of gross motor ADL deterioration, and IFI showed a similar pattern, whereas evidence for fine motor domains was weaker overall. Expanded domain-level analyses were directionally similar, and formal coefficient comparisons supported this pattern but remained supplementary in nature (Supplementary Tables S24, S26, and S27).</w:t>
      </w:r>
    </w:p>
    <w:p w14:paraId="504DDD49">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At the individual-item level, the clearest signals were observed for bathing, with additional supportive evidence for walking across a room, whereas most other items showed weaker associations overall (Supplementary Table S24). These findings suggest that the functional extension of dynamic iron dysregulation was concentrated in selected mobility- and power-related domains rather than broadly distributed across all ADL items.</w:t>
      </w:r>
    </w:p>
    <w:p w14:paraId="42EBDBB4">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Grip-stratified analyses further suggested that selected domain-specific risks, particularly for bathing, were more evident among individuals with weak grip strength. Formal interaction analyses by grip strength, however, provided only limited statistical support (Supplementary Tables S25 and S28).</w:t>
      </w:r>
    </w:p>
    <w:p w14:paraId="160013C2">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Joint phenotype analyses provided additional supportive evidence, with less favorable risk patterns for first severe ADL deterioration observed in phenotype groups characterized by greater ferritin instability together with weaker grip strength (Supplementary Table S30). Proportional hazards assumption checks did not materially alter interpretation (Supplementary Tables S29 and S31). Overall, these analyses support that the functional extension of dynamic iron dysregulation was concentrated mainly in gross motor domains rather than uniformly across all ADL items.</w:t>
      </w:r>
    </w:p>
    <w:p w14:paraId="2F0E0D92">
      <w:pPr>
        <w:spacing w:before="0" w:after="0" w:line="240" w:lineRule="auto"/>
        <w:rPr>
          <w:rFonts w:hint="default" w:ascii="Times New Roman Regular" w:hAnsi="Times New Roman Regular" w:cs="Times New Roman Regular"/>
          <w:sz w:val="22"/>
          <w:szCs w:val="22"/>
        </w:rPr>
      </w:pPr>
    </w:p>
    <w:p w14:paraId="4DFA76CC">
      <w:pPr>
        <w:spacing w:before="0" w:after="0" w:line="240" w:lineRule="auto"/>
        <w:rPr>
          <w:rFonts w:hint="default" w:ascii="Times New Roman Regular" w:hAnsi="Times New Roman Regular" w:cs="Times New Roman Regular"/>
          <w:b/>
          <w:bCs/>
          <w:sz w:val="22"/>
          <w:szCs w:val="22"/>
        </w:rPr>
      </w:pPr>
      <w:r>
        <w:rPr>
          <w:rFonts w:hint="default" w:ascii="Times New Roman Regular" w:hAnsi="Times New Roman Regular" w:cs="Times New Roman Regular"/>
          <w:b/>
          <w:bCs/>
          <w:sz w:val="22"/>
          <w:szCs w:val="22"/>
        </w:rPr>
        <w:br w:type="page"/>
      </w:r>
    </w:p>
    <w:p w14:paraId="7ED31C11">
      <w:pPr>
        <w:pStyle w:val="10"/>
        <w:keepNext/>
        <w:spacing w:before="0" w:after="120" w:line="240" w:lineRule="auto"/>
        <w:rPr>
          <w:rFonts w:hint="default" w:ascii="Times New Roman Regular" w:hAnsi="Times New Roman Regular" w:cs="Times New Roman Regular"/>
          <w:b/>
          <w:bCs/>
          <w:sz w:val="22"/>
          <w:szCs w:val="22"/>
        </w:rPr>
      </w:pPr>
      <w:r>
        <w:rPr>
          <w:rFonts w:hint="default" w:ascii="Times New Roman" w:hAnsi="Times New Roman" w:eastAsia="Times New Roman" w:cs="Times New Roman Regular"/>
          <w:b/>
          <w:bCs/>
          <w:sz w:val="22"/>
          <w:szCs w:val="22"/>
        </w:rPr>
        <w:t xml:space="preserve">SR6. Time-varying and lagged analyses for </w:t>
      </w:r>
      <w:r>
        <w:rPr>
          <w:rFonts w:hint="default" w:ascii="Times New Roman" w:hAnsi="Times New Roman" w:eastAsia="Times New Roman" w:cs="Times New Roman Regular"/>
          <w:b/>
          <w:bCs/>
          <w:sz w:val="22"/>
          <w:szCs w:val="22"/>
          <w:lang w:val="en-US" w:eastAsia="zh-CN"/>
        </w:rPr>
        <w:t>FEV₁</w:t>
      </w:r>
      <w:r>
        <w:rPr>
          <w:rFonts w:hint="default" w:ascii="Times New Roman" w:hAnsi="Times New Roman" w:eastAsia="Times New Roman" w:cs="Times New Roman Regular"/>
          <w:b/>
          <w:bCs/>
          <w:sz w:val="22"/>
          <w:szCs w:val="22"/>
        </w:rPr>
        <w:t xml:space="preserve"> and binary decline outcomes</w:t>
      </w:r>
    </w:p>
    <w:p w14:paraId="0280691B">
      <w:pPr>
        <w:spacing w:before="0" w:after="120" w:line="240" w:lineRule="auto"/>
        <w:rPr>
          <w:rFonts w:hint="default" w:ascii="Times New Roman Regular" w:hAnsi="Times New Roman Regular" w:cs="Times New Roman Regular"/>
          <w:b w:val="0"/>
          <w:bCs w:val="0"/>
          <w:sz w:val="22"/>
          <w:szCs w:val="22"/>
        </w:rPr>
      </w:pPr>
      <w:r>
        <w:rPr>
          <w:rFonts w:hint="default" w:ascii="Times New Roman" w:hAnsi="Times New Roman" w:eastAsia="Times New Roman" w:cs="Times New Roman Regular"/>
          <w:b w:val="0"/>
          <w:bCs w:val="0"/>
          <w:sz w:val="20"/>
          <w:szCs w:val="22"/>
        </w:rPr>
        <w:t xml:space="preserve">In time-varying analyses of concurrent continuous outcomes, associations between current ferritin-related measures and current </w:t>
      </w:r>
      <w:r>
        <w:rPr>
          <w:rFonts w:hint="default" w:ascii="Times New Roman" w:hAnsi="Times New Roman" w:eastAsia="Times New Roman" w:cs="Times New Roman Regular"/>
          <w:b w:val="0"/>
          <w:bCs w:val="0"/>
          <w:color w:val="auto"/>
          <w:sz w:val="20"/>
          <w:szCs w:val="22"/>
          <w:lang w:val="en-US" w:eastAsia="zh-CN"/>
        </w:rPr>
        <w:t>FEV₁</w:t>
      </w:r>
      <w:r>
        <w:rPr>
          <w:rFonts w:hint="default" w:ascii="Times New Roman" w:hAnsi="Times New Roman" w:eastAsia="Times New Roman" w:cs="Times New Roman Regular"/>
          <w:b w:val="0"/>
          <w:bCs w:val="0"/>
          <w:sz w:val="20"/>
          <w:szCs w:val="22"/>
        </w:rPr>
        <w:t xml:space="preserve"> were generally weak. Current ferritin level, recent ferritin change, current low ferritin status, and cumulative ferritin variability showed no clear or consistent associations with concurrent </w:t>
      </w:r>
      <w:r>
        <w:rPr>
          <w:rFonts w:hint="default" w:ascii="Times New Roman" w:hAnsi="Times New Roman" w:eastAsia="Times New Roman" w:cs="Times New Roman Regular"/>
          <w:b w:val="0"/>
          <w:bCs w:val="0"/>
          <w:color w:val="auto"/>
          <w:sz w:val="20"/>
          <w:szCs w:val="22"/>
          <w:lang w:val="en-US" w:eastAsia="zh-CN"/>
        </w:rPr>
        <w:t>FEV₁</w:t>
      </w:r>
      <w:r>
        <w:rPr>
          <w:rFonts w:hint="default" w:ascii="Times New Roman" w:hAnsi="Times New Roman" w:eastAsia="Times New Roman" w:cs="Times New Roman Regular"/>
          <w:b w:val="0"/>
          <w:bCs w:val="0"/>
          <w:sz w:val="20"/>
          <w:szCs w:val="22"/>
        </w:rPr>
        <w:t xml:space="preserve"> in the primary time-varying models (Supplementary Table S32). Joint-model analyses showed somewhat different patterns but are better interpreted as supplementary sensitivity analyses rather than as the main basis for inference (Supplementary Table S37). </w:t>
      </w:r>
    </w:p>
    <w:p w14:paraId="72603656">
      <w:pPr>
        <w:spacing w:before="0" w:after="120" w:line="240" w:lineRule="auto"/>
        <w:rPr>
          <w:rFonts w:hint="default" w:ascii="Times New Roman Regular" w:hAnsi="Times New Roman Regular" w:cs="Times New Roman Regular"/>
          <w:b w:val="0"/>
          <w:bCs w:val="0"/>
          <w:sz w:val="22"/>
          <w:szCs w:val="22"/>
        </w:rPr>
      </w:pPr>
      <w:r>
        <w:rPr>
          <w:rFonts w:hint="default" w:ascii="Times New Roman" w:hAnsi="Times New Roman" w:eastAsia="Times New Roman" w:cs="Times New Roman Regular"/>
          <w:b w:val="0"/>
          <w:bCs w:val="0"/>
          <w:sz w:val="20"/>
          <w:szCs w:val="22"/>
        </w:rPr>
        <w:t xml:space="preserve">In lagged analyses of subsequent continuous outcomes, current ferritin-related measures showed overall weak and inconsistent associations with next-wave </w:t>
      </w:r>
      <w:r>
        <w:rPr>
          <w:rFonts w:hint="default" w:ascii="Times New Roman" w:hAnsi="Times New Roman" w:eastAsia="Times New Roman" w:cs="Times New Roman Regular"/>
          <w:b w:val="0"/>
          <w:bCs w:val="0"/>
          <w:color w:val="auto"/>
          <w:sz w:val="20"/>
          <w:szCs w:val="22"/>
          <w:lang w:val="en-US" w:eastAsia="zh-CN"/>
        </w:rPr>
        <w:t>FEV₁</w:t>
      </w:r>
      <w:r>
        <w:rPr>
          <w:rFonts w:hint="default" w:ascii="Times New Roman" w:hAnsi="Times New Roman" w:eastAsia="Times New Roman" w:cs="Times New Roman Regular"/>
          <w:b w:val="0"/>
          <w:bCs w:val="0"/>
          <w:sz w:val="20"/>
          <w:szCs w:val="22"/>
        </w:rPr>
        <w:t xml:space="preserve">. After further adjustment for current </w:t>
      </w:r>
      <w:r>
        <w:rPr>
          <w:rFonts w:hint="default" w:ascii="Times New Roman" w:hAnsi="Times New Roman" w:eastAsia="Times New Roman" w:cs="Times New Roman Regular"/>
          <w:b w:val="0"/>
          <w:bCs w:val="0"/>
          <w:color w:val="auto"/>
          <w:sz w:val="20"/>
          <w:szCs w:val="22"/>
          <w:lang w:val="en-US" w:eastAsia="zh-CN"/>
        </w:rPr>
        <w:t>FEV₁</w:t>
      </w:r>
      <w:r>
        <w:rPr>
          <w:rFonts w:hint="default" w:ascii="Times New Roman" w:hAnsi="Times New Roman" w:eastAsia="Times New Roman" w:cs="Times New Roman Regular"/>
          <w:b w:val="0"/>
          <w:bCs w:val="0"/>
          <w:sz w:val="20"/>
          <w:szCs w:val="22"/>
        </w:rPr>
        <w:t xml:space="preserve">, most of these associations were attenuated and were no longer clearly supported, suggesting limited predictive value of current ferritin-related measures beyond contemporaneous lung function status (Supplementary Tables S33 and S35). </w:t>
      </w:r>
    </w:p>
    <w:p w14:paraId="45ACAF38">
      <w:pPr>
        <w:spacing w:before="0" w:after="120" w:line="240" w:lineRule="auto"/>
        <w:rPr>
          <w:rFonts w:hint="default" w:ascii="Times New Roman Regular" w:hAnsi="Times New Roman Regular" w:cs="Times New Roman Regular"/>
          <w:b w:val="0"/>
          <w:bCs w:val="0"/>
          <w:sz w:val="22"/>
          <w:szCs w:val="22"/>
        </w:rPr>
      </w:pPr>
      <w:r>
        <w:rPr>
          <w:rFonts w:hint="default" w:ascii="Times New Roman" w:hAnsi="Times New Roman" w:eastAsia="Times New Roman" w:cs="Times New Roman Regular"/>
          <w:b w:val="0"/>
          <w:bCs w:val="0"/>
          <w:sz w:val="20"/>
          <w:szCs w:val="22"/>
        </w:rPr>
        <w:t xml:space="preserve">For binary decline outcomes, the more suggestive short-term signals were observed for current ferritin-related status measures rather than for cumulative instability measures, although the overall pattern remained limited and not fully consistent across models. Additional adjustment for current </w:t>
      </w:r>
      <w:r>
        <w:rPr>
          <w:rFonts w:hint="default" w:ascii="Times New Roman" w:hAnsi="Times New Roman" w:eastAsia="Times New Roman" w:cs="Times New Roman Regular"/>
          <w:b w:val="0"/>
          <w:bCs w:val="0"/>
          <w:color w:val="auto"/>
          <w:sz w:val="20"/>
          <w:szCs w:val="22"/>
          <w:lang w:val="en-US" w:eastAsia="zh-CN"/>
        </w:rPr>
        <w:t>FEV₁</w:t>
      </w:r>
      <w:r>
        <w:rPr>
          <w:rFonts w:hint="default" w:ascii="Times New Roman" w:hAnsi="Times New Roman" w:eastAsia="Times New Roman" w:cs="Times New Roman Regular"/>
          <w:b w:val="0"/>
          <w:bCs w:val="0"/>
          <w:sz w:val="20"/>
          <w:szCs w:val="22"/>
        </w:rPr>
        <w:t xml:space="preserve"> further weakened most associations with subsequent marked </w:t>
      </w:r>
      <w:r>
        <w:rPr>
          <w:rFonts w:hint="default" w:ascii="Times New Roman" w:hAnsi="Times New Roman" w:eastAsia="Times New Roman" w:cs="Times New Roman Regular"/>
          <w:b w:val="0"/>
          <w:bCs w:val="0"/>
          <w:color w:val="auto"/>
          <w:sz w:val="20"/>
          <w:szCs w:val="22"/>
          <w:lang w:val="en-US" w:eastAsia="zh-CN"/>
        </w:rPr>
        <w:t>FEV₁</w:t>
      </w:r>
      <w:r>
        <w:rPr>
          <w:rFonts w:hint="default" w:ascii="Times New Roman" w:hAnsi="Times New Roman" w:eastAsia="Times New Roman" w:cs="Times New Roman Regular"/>
          <w:b w:val="0"/>
          <w:bCs w:val="0"/>
          <w:sz w:val="20"/>
          <w:szCs w:val="22"/>
        </w:rPr>
        <w:t xml:space="preserve"> decline, whereas joint-model analyses again showed somewhat different patterns and should be interpreted cautiously as supportive sensitivity analyses (Supplementary Tables S34, S36, and S38). </w:t>
      </w:r>
    </w:p>
    <w:p w14:paraId="329BEE2B">
      <w:pPr>
        <w:spacing w:before="0" w:after="120" w:line="240" w:lineRule="auto"/>
        <w:rPr>
          <w:rFonts w:hint="default" w:ascii="Times New Roman Regular" w:hAnsi="Times New Roman Regular" w:cs="Times New Roman Regular"/>
          <w:b w:val="0"/>
          <w:bCs w:val="0"/>
          <w:sz w:val="22"/>
          <w:szCs w:val="22"/>
        </w:rPr>
      </w:pPr>
      <w:r>
        <w:rPr>
          <w:rFonts w:hint="default" w:ascii="Times New Roman" w:hAnsi="Times New Roman" w:eastAsia="Times New Roman" w:cs="Times New Roman Regular"/>
          <w:b w:val="0"/>
          <w:bCs w:val="0"/>
          <w:sz w:val="20"/>
          <w:szCs w:val="22"/>
        </w:rPr>
        <w:t>Overall, these time-varying and lagged analyses suggest that short-term lung function fluctuation may be more closely related to current ferritin-related status than to the long-term instability signal emphasized in the main text, and that these two analytic frameworks may capture different dimensions of risk.</w:t>
      </w:r>
    </w:p>
    <w:p w14:paraId="01C62193">
      <w:pPr>
        <w:spacing w:before="0" w:after="0" w:line="240" w:lineRule="auto"/>
        <w:rPr>
          <w:rFonts w:hint="default" w:ascii="Times New Roman Regular" w:hAnsi="Times New Roman Regular" w:cs="Times New Roman Regular"/>
          <w:b w:val="0"/>
          <w:bCs w:val="0"/>
          <w:sz w:val="22"/>
          <w:szCs w:val="22"/>
        </w:rPr>
      </w:pPr>
      <w:r>
        <w:rPr>
          <w:rFonts w:hint="default" w:ascii="Times New Roman Regular" w:hAnsi="Times New Roman Regular" w:cs="Times New Roman Regular"/>
          <w:b w:val="0"/>
          <w:bCs w:val="0"/>
          <w:sz w:val="22"/>
          <w:szCs w:val="22"/>
        </w:rPr>
        <w:br w:type="page"/>
      </w:r>
    </w:p>
    <w:p w14:paraId="14357501">
      <w:pPr>
        <w:pStyle w:val="10"/>
        <w:keepNext/>
        <w:spacing w:before="0" w:after="120" w:line="240" w:lineRule="auto"/>
        <w:rPr>
          <w:rFonts w:hint="default" w:ascii="Times New Roman Regular" w:hAnsi="Times New Roman Regular" w:cs="Times New Roman Regular"/>
          <w:b/>
          <w:bCs/>
          <w:sz w:val="22"/>
          <w:szCs w:val="22"/>
        </w:rPr>
      </w:pPr>
      <w:r>
        <w:rPr>
          <w:rFonts w:hint="default" w:ascii="Times New Roman" w:hAnsi="Times New Roman" w:eastAsia="Times New Roman" w:cs="Times New Roman Regular"/>
          <w:b/>
          <w:bCs/>
          <w:sz w:val="22"/>
          <w:szCs w:val="22"/>
        </w:rPr>
        <w:t>SR7. Time-dependent Cox analyses</w:t>
      </w:r>
    </w:p>
    <w:p w14:paraId="5C01127B">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 xml:space="preserve">In time-dependent Cox analyses, current low ferritin status showed the clearest association with incident low FEV, whereas its association with </w:t>
      </w:r>
      <w:r>
        <w:rPr>
          <w:rFonts w:hint="default" w:ascii="Times New Roman" w:hAnsi="Times New Roman" w:eastAsia="Times New Roman" w:cs="Times New Roman Regular"/>
          <w:b w:val="0"/>
          <w:bCs w:val="0"/>
          <w:color w:val="auto"/>
          <w:sz w:val="20"/>
          <w:szCs w:val="22"/>
          <w:lang w:val="en-US" w:eastAsia="zh-CN"/>
        </w:rPr>
        <w:t>FEV₁</w:t>
      </w:r>
      <w:r>
        <w:rPr>
          <w:rFonts w:hint="default" w:ascii="Times New Roman" w:hAnsi="Times New Roman" w:eastAsia="Times New Roman" w:cs="Times New Roman Regular"/>
          <w:sz w:val="20"/>
          <w:szCs w:val="22"/>
        </w:rPr>
        <w:t xml:space="preserve"> decline ≥10% was less evident (Supplementary Tables S39–S40). Current ferritin level also showed a weaker but statistically supported association with incident low FEV, but this pattern was not mirrored by the cumulative instability measures emphasized in the main text. </w:t>
      </w:r>
    </w:p>
    <w:p w14:paraId="7233BF58">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 xml:space="preserve">By contrast, recent ferritin change, cumulative ferritin variability, and high-variability intervals showed overall weaker and less consistent associations across the proximal lung-function event outcomes. These results did not demonstrate the same stable event-prediction pattern as the long-term ferritin CV/IFI signal reported in the main longitudinal analyses (Supplementary Tables S39–S40). </w:t>
      </w:r>
    </w:p>
    <w:p w14:paraId="3CC3F22A">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Overall, these findings suggest that proximal event risk may be more closely related to current low ferritin status than to cumulative instability measures and that these time-dependent event-based analyses capture a different dimension of risk from the longer-term instability pattern emphasized in the main text.</w:t>
      </w:r>
    </w:p>
    <w:p w14:paraId="44E99AA3">
      <w:pPr>
        <w:spacing w:before="0" w:after="0" w:line="240" w:lineRule="auto"/>
        <w:rPr>
          <w:rFonts w:hint="default" w:ascii="Times New Roman Regular" w:hAnsi="Times New Roman Regular" w:cs="Times New Roman Regular"/>
          <w:sz w:val="22"/>
          <w:szCs w:val="22"/>
        </w:rPr>
      </w:pPr>
    </w:p>
    <w:p w14:paraId="33DA0027">
      <w:pPr>
        <w:spacing w:before="0" w:after="0" w:line="240" w:lineRule="auto"/>
        <w:rPr>
          <w:rFonts w:hint="default" w:ascii="Times New Roman Regular" w:hAnsi="Times New Roman Regular" w:cs="Times New Roman Regular"/>
          <w:b/>
          <w:bCs/>
          <w:sz w:val="22"/>
          <w:szCs w:val="22"/>
        </w:rPr>
      </w:pPr>
      <w:r>
        <w:rPr>
          <w:rFonts w:hint="default" w:ascii="Times New Roman Regular" w:hAnsi="Times New Roman Regular" w:cs="Times New Roman Regular"/>
          <w:b/>
          <w:bCs/>
          <w:sz w:val="22"/>
          <w:szCs w:val="22"/>
        </w:rPr>
        <w:br w:type="page"/>
      </w:r>
    </w:p>
    <w:p w14:paraId="20E55131">
      <w:pPr>
        <w:pStyle w:val="10"/>
        <w:keepNext/>
        <w:spacing w:before="0" w:after="120" w:line="240" w:lineRule="auto"/>
        <w:rPr>
          <w:rFonts w:hint="default" w:ascii="Times New Roman Regular" w:hAnsi="Times New Roman Regular" w:cs="Times New Roman Regular"/>
          <w:b/>
          <w:bCs/>
          <w:sz w:val="22"/>
          <w:szCs w:val="22"/>
        </w:rPr>
      </w:pPr>
      <w:r>
        <w:rPr>
          <w:rFonts w:hint="default" w:ascii="Times New Roman" w:hAnsi="Times New Roman" w:eastAsia="Times New Roman" w:cs="Times New Roman Regular"/>
          <w:b/>
          <w:bCs/>
          <w:sz w:val="22"/>
          <w:szCs w:val="22"/>
        </w:rPr>
        <w:t>SR8. All-cause mortality analyses</w:t>
      </w:r>
    </w:p>
    <w:p w14:paraId="4FEC5DC0">
      <w:pPr>
        <w:spacing w:before="0" w:after="120" w:line="240" w:lineRule="auto"/>
        <w:rPr>
          <w:rFonts w:hint="default" w:ascii="Times New Roman Regular" w:hAnsi="Times New Roman Regular" w:cs="Times New Roman Regular"/>
          <w:b w:val="0"/>
          <w:bCs w:val="0"/>
          <w:sz w:val="22"/>
          <w:szCs w:val="22"/>
        </w:rPr>
      </w:pPr>
      <w:r>
        <w:rPr>
          <w:rFonts w:hint="default" w:ascii="Times New Roman" w:hAnsi="Times New Roman" w:eastAsia="Times New Roman" w:cs="Times New Roman Regular"/>
          <w:b w:val="0"/>
          <w:bCs w:val="0"/>
          <w:sz w:val="20"/>
          <w:szCs w:val="22"/>
        </w:rPr>
        <w:t xml:space="preserve">In analyses of all-cause mortality, associations of ferritin CV, IFI, ferritin slope, and repeated low-ferritin exposure with mortality risk were generally weak or unstable, and most models offered limited support for formal inference because of the small number of events (Supplementary Tables S41–S42). Among the prespecified mortality models, only the cumulative low-ferritin exposure measure yielded an estimable association, and this result did not support a clear relationship with mortality. </w:t>
      </w:r>
    </w:p>
    <w:p w14:paraId="2FC8DE9D">
      <w:pPr>
        <w:spacing w:before="0" w:after="120" w:line="240" w:lineRule="auto"/>
        <w:rPr>
          <w:rFonts w:hint="default" w:ascii="Times New Roman Regular" w:hAnsi="Times New Roman Regular" w:cs="Times New Roman Regular"/>
          <w:b w:val="0"/>
          <w:bCs w:val="0"/>
          <w:sz w:val="22"/>
          <w:szCs w:val="22"/>
        </w:rPr>
      </w:pPr>
      <w:r>
        <w:rPr>
          <w:rFonts w:hint="default" w:ascii="Times New Roman" w:hAnsi="Times New Roman" w:eastAsia="Times New Roman" w:cs="Times New Roman Regular"/>
          <w:b w:val="0"/>
          <w:bCs w:val="0"/>
          <w:sz w:val="20"/>
          <w:szCs w:val="22"/>
        </w:rPr>
        <w:t xml:space="preserve">Descriptive mortality patterns across iron–muscle phenotype groups also suggested only limited differences in survival experience, with very small numbers of deaths in each stratum and no clear basis for strong comparative inference (Supplementary Table S43). Proportional hazards assumption checks are provided for completeness and did not materially alter interpretation of the estimable models (Supplementary Table S44). </w:t>
      </w:r>
    </w:p>
    <w:p w14:paraId="2B8717D3">
      <w:pPr>
        <w:spacing w:before="0" w:after="120" w:line="240" w:lineRule="auto"/>
        <w:rPr>
          <w:rFonts w:hint="default" w:ascii="Times New Roman Regular" w:hAnsi="Times New Roman Regular" w:cs="Times New Roman Regular"/>
          <w:b w:val="0"/>
          <w:bCs w:val="0"/>
          <w:sz w:val="22"/>
          <w:szCs w:val="22"/>
        </w:rPr>
      </w:pPr>
      <w:r>
        <w:rPr>
          <w:rFonts w:hint="default" w:ascii="Times New Roman" w:hAnsi="Times New Roman" w:eastAsia="Times New Roman" w:cs="Times New Roman Regular"/>
          <w:b w:val="0"/>
          <w:bCs w:val="0"/>
          <w:sz w:val="20"/>
          <w:szCs w:val="22"/>
        </w:rPr>
        <w:t>Overall, because the number of mortality events was limited, these findings should be regarded as exploratory.</w:t>
      </w:r>
    </w:p>
    <w:p w14:paraId="3C07A2D9">
      <w:pPr>
        <w:spacing w:before="0" w:after="0" w:line="240" w:lineRule="auto"/>
        <w:rPr>
          <w:rFonts w:hint="default" w:ascii="Times New Roman Regular" w:hAnsi="Times New Roman Regular" w:cs="Times New Roman Regular"/>
          <w:b/>
          <w:bCs/>
          <w:sz w:val="22"/>
          <w:szCs w:val="22"/>
        </w:rPr>
      </w:pPr>
      <w:r>
        <w:rPr>
          <w:rFonts w:hint="default" w:ascii="Times New Roman Regular" w:hAnsi="Times New Roman Regular" w:cs="Times New Roman Regular"/>
          <w:b/>
          <w:bCs/>
          <w:sz w:val="22"/>
          <w:szCs w:val="22"/>
        </w:rPr>
        <w:br w:type="page"/>
      </w:r>
    </w:p>
    <w:p w14:paraId="190291F2">
      <w:pPr>
        <w:pStyle w:val="10"/>
        <w:keepNext/>
        <w:spacing w:before="0" w:after="120" w:line="240" w:lineRule="auto"/>
        <w:rPr>
          <w:rFonts w:hint="default" w:ascii="Times New Roman Regular" w:hAnsi="Times New Roman Regular" w:cs="Times New Roman Regular"/>
          <w:b/>
          <w:bCs/>
          <w:sz w:val="22"/>
          <w:szCs w:val="22"/>
        </w:rPr>
      </w:pPr>
      <w:r>
        <w:rPr>
          <w:rFonts w:hint="default" w:ascii="Times New Roman" w:hAnsi="Times New Roman" w:eastAsia="Times New Roman" w:cs="Times New Roman Regular"/>
          <w:b/>
          <w:bCs/>
          <w:sz w:val="22"/>
          <w:szCs w:val="22"/>
        </w:rPr>
        <w:t>SR9. CLPM, RI-CLPM, and parallel-process growth models</w:t>
      </w:r>
    </w:p>
    <w:p w14:paraId="02F2BD49">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 xml:space="preserve">In traditional cross-lagged panel models, no stable or consistently supported bidirectional cross-lagged paths were observed between ferritin and </w:t>
      </w:r>
      <w:r>
        <w:rPr>
          <w:rFonts w:hint="default" w:ascii="Times New Roman" w:hAnsi="Times New Roman" w:eastAsia="Times New Roman" w:cs="Times New Roman Regular"/>
          <w:b w:val="0"/>
          <w:bCs w:val="0"/>
          <w:color w:val="auto"/>
          <w:sz w:val="20"/>
          <w:szCs w:val="22"/>
          <w:lang w:val="en-US" w:eastAsia="zh-CN"/>
        </w:rPr>
        <w:t>FEV₁</w:t>
      </w:r>
      <w:r>
        <w:rPr>
          <w:rFonts w:hint="default" w:ascii="Times New Roman" w:hAnsi="Times New Roman" w:eastAsia="Times New Roman" w:cs="Times New Roman Regular"/>
          <w:sz w:val="20"/>
          <w:szCs w:val="22"/>
        </w:rPr>
        <w:t>. Although some individual paths showed directional tendencies, the overall pattern did not support a clear and reproducible bidirectional temporal relationship (Supplementary Tables S45–S46).</w:t>
      </w:r>
    </w:p>
    <w:p w14:paraId="7A97E204">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In RI-CLPM analyses, which distinguished stable between-person differences from within-person fluctuations, the corresponding cross-lagged paths likewise remained non-significant overall. Additional adjusted RI-CLPM analyses yielded a similar conclusion, indicating that the lack of clear within-person directional support was not materially altered after incorporation of the adjusted model structure (Supplementary Table S45).</w:t>
      </w:r>
    </w:p>
    <w:p w14:paraId="36766E47">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 xml:space="preserve">In parallel-process growth models, slope correlations and related growth-factor covariances also did not provide clear support for directional or coordinated long-term coupling between ferritin and </w:t>
      </w:r>
      <w:r>
        <w:rPr>
          <w:rFonts w:hint="default" w:ascii="Times New Roman" w:hAnsi="Times New Roman" w:eastAsia="Times New Roman" w:cs="Times New Roman Regular"/>
          <w:b w:val="0"/>
          <w:bCs w:val="0"/>
          <w:color w:val="auto"/>
          <w:sz w:val="20"/>
          <w:szCs w:val="22"/>
          <w:lang w:val="en-US" w:eastAsia="zh-CN"/>
        </w:rPr>
        <w:t>FEV₁</w:t>
      </w:r>
      <w:r>
        <w:rPr>
          <w:rFonts w:hint="default" w:ascii="Times New Roman" w:hAnsi="Times New Roman" w:eastAsia="Times New Roman" w:cs="Times New Roman Regular"/>
          <w:sz w:val="20"/>
          <w:szCs w:val="22"/>
        </w:rPr>
        <w:t xml:space="preserve"> trajectories. Model-fit indices are provided for completeness, and supplementary growth-factor summaries are directionally consistent with the overall interpretation but do not alter the main conclusion (Supplementary Tables S47–S49).</w:t>
      </w:r>
    </w:p>
    <w:p w14:paraId="77A022FB">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 xml:space="preserve">Overall, these directional analyses provide only limited supportive evidence and do not support a clear within-person bidirectional pathway between ferritin and </w:t>
      </w:r>
      <w:r>
        <w:rPr>
          <w:rFonts w:hint="default" w:ascii="Times New Roman" w:hAnsi="Times New Roman" w:eastAsia="Times New Roman" w:cs="Times New Roman Regular"/>
          <w:b w:val="0"/>
          <w:bCs w:val="0"/>
          <w:color w:val="auto"/>
          <w:sz w:val="20"/>
          <w:szCs w:val="22"/>
          <w:lang w:val="en-US" w:eastAsia="zh-CN"/>
        </w:rPr>
        <w:t>FEV₁</w:t>
      </w:r>
      <w:r>
        <w:rPr>
          <w:rFonts w:hint="default" w:ascii="Times New Roman" w:hAnsi="Times New Roman" w:eastAsia="Times New Roman" w:cs="Times New Roman Regular"/>
          <w:sz w:val="20"/>
          <w:szCs w:val="22"/>
        </w:rPr>
        <w:t>.</w:t>
      </w:r>
    </w:p>
    <w:p w14:paraId="020D92C4">
      <w:pPr>
        <w:spacing w:before="0" w:after="0" w:line="240" w:lineRule="auto"/>
        <w:rPr>
          <w:rFonts w:hint="default" w:ascii="Times New Roman Regular" w:hAnsi="Times New Roman Regular" w:cs="Times New Roman Regular"/>
          <w:sz w:val="22"/>
          <w:szCs w:val="22"/>
        </w:rPr>
      </w:pPr>
    </w:p>
    <w:p w14:paraId="43AB2784">
      <w:pPr>
        <w:spacing w:before="0" w:after="0" w:line="240" w:lineRule="auto"/>
        <w:rPr>
          <w:rFonts w:hint="default" w:ascii="Times New Roman Regular" w:hAnsi="Times New Roman Regular" w:cs="Times New Roman Regular"/>
          <w:b/>
          <w:bCs/>
          <w:sz w:val="22"/>
          <w:szCs w:val="22"/>
        </w:rPr>
      </w:pPr>
    </w:p>
    <w:p w14:paraId="64BD08E6">
      <w:pPr>
        <w:spacing w:before="0" w:after="0" w:line="240" w:lineRule="auto"/>
        <w:rPr>
          <w:rFonts w:hint="default" w:ascii="Times New Roman Regular" w:hAnsi="Times New Roman Regular" w:cs="Times New Roman Regular"/>
          <w:b/>
          <w:bCs/>
          <w:sz w:val="22"/>
          <w:szCs w:val="22"/>
        </w:rPr>
      </w:pPr>
      <w:r>
        <w:rPr>
          <w:rFonts w:hint="default" w:ascii="Times New Roman Regular" w:hAnsi="Times New Roman Regular" w:cs="Times New Roman Regular"/>
          <w:b/>
          <w:bCs/>
          <w:sz w:val="22"/>
          <w:szCs w:val="22"/>
        </w:rPr>
        <w:br w:type="page"/>
      </w:r>
    </w:p>
    <w:p w14:paraId="37EC7320">
      <w:pPr>
        <w:pStyle w:val="10"/>
        <w:keepNext/>
        <w:spacing w:before="0" w:after="120" w:line="240" w:lineRule="auto"/>
        <w:rPr>
          <w:rFonts w:hint="default" w:ascii="Times New Roman Regular" w:hAnsi="Times New Roman Regular" w:cs="Times New Roman Regular"/>
          <w:b/>
          <w:bCs/>
          <w:sz w:val="22"/>
          <w:szCs w:val="22"/>
        </w:rPr>
      </w:pPr>
      <w:r>
        <w:rPr>
          <w:rFonts w:hint="default" w:ascii="Times New Roman" w:hAnsi="Times New Roman" w:eastAsia="Times New Roman" w:cs="Times New Roman Regular"/>
          <w:b/>
          <w:bCs/>
          <w:sz w:val="22"/>
          <w:szCs w:val="22"/>
        </w:rPr>
        <w:t>SR10. Robustness of IFI construction under alternative weighting schemes</w:t>
      </w:r>
    </w:p>
    <w:p w14:paraId="6629C945">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 xml:space="preserve">Across alternative IFI constructions, the overall pattern of results remained highly consistent. Different IFI variants yielded closely similar directions and magnitudes of association, indicating that the observed IFI-related findings were not driven by a single weighting scheme (Supplementary Tables S50–S51). </w:t>
      </w:r>
    </w:p>
    <w:p w14:paraId="3F307B4A">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 xml:space="preserve">In repeated </w:t>
      </w:r>
      <w:r>
        <w:rPr>
          <w:rFonts w:hint="default" w:ascii="Times New Roman" w:hAnsi="Times New Roman" w:eastAsia="Times New Roman" w:cs="Times New Roman Regular"/>
          <w:b w:val="0"/>
          <w:bCs w:val="0"/>
          <w:color w:val="auto"/>
          <w:sz w:val="20"/>
          <w:szCs w:val="22"/>
          <w:lang w:val="en-US" w:eastAsia="zh-CN"/>
        </w:rPr>
        <w:t>FEV₁</w:t>
      </w:r>
      <w:r>
        <w:rPr>
          <w:rFonts w:hint="default" w:ascii="Times New Roman" w:hAnsi="Times New Roman" w:eastAsia="Times New Roman" w:cs="Times New Roman Regular"/>
          <w:sz w:val="20"/>
          <w:szCs w:val="22"/>
        </w:rPr>
        <w:t xml:space="preserve"> models, the equal-weight IFI, PCA-weighted IFI, leave-one-out IFI, and β-weighted IFI all showed directionally consistent associations with lower </w:t>
      </w:r>
      <w:r>
        <w:rPr>
          <w:rFonts w:hint="default" w:ascii="Times New Roman" w:hAnsi="Times New Roman" w:eastAsia="Times New Roman" w:cs="Times New Roman Regular"/>
          <w:b w:val="0"/>
          <w:bCs w:val="0"/>
          <w:color w:val="auto"/>
          <w:sz w:val="20"/>
          <w:szCs w:val="22"/>
          <w:lang w:val="en-US" w:eastAsia="zh-CN"/>
        </w:rPr>
        <w:t>FEV₁</w:t>
      </w:r>
      <w:r>
        <w:rPr>
          <w:rFonts w:hint="default" w:ascii="Times New Roman" w:hAnsi="Times New Roman" w:eastAsia="Times New Roman" w:cs="Times New Roman Regular"/>
          <w:sz w:val="20"/>
          <w:szCs w:val="22"/>
        </w:rPr>
        <w:t xml:space="preserve">, and the main conclusion was not materially altered by the weighting scheme used (Supplementary Table S50). </w:t>
      </w:r>
    </w:p>
    <w:p w14:paraId="6960BAEA">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 xml:space="preserve">In symptom models, associations across IFI variants were generally weak, but the overall direction remained broadly consistent with the main analysis (Supplementary Table S51). Overall, these analyses indicate that the primary IFI–lung function findings did not depend on any single weighting strategy. </w:t>
      </w:r>
    </w:p>
    <w:p w14:paraId="44CC9D27">
      <w:pPr>
        <w:spacing w:before="0" w:after="0" w:line="240" w:lineRule="auto"/>
        <w:rPr>
          <w:rFonts w:hint="default" w:ascii="Times New Roman Regular" w:hAnsi="Times New Roman Regular" w:cs="Times New Roman Regular"/>
          <w:sz w:val="22"/>
          <w:szCs w:val="22"/>
        </w:rPr>
      </w:pPr>
    </w:p>
    <w:p w14:paraId="78450355">
      <w:pPr>
        <w:spacing w:before="0" w:after="0" w:line="240" w:lineRule="auto"/>
        <w:rPr>
          <w:rFonts w:hint="default" w:ascii="Times New Roman Regular" w:hAnsi="Times New Roman Regular" w:cs="Times New Roman Regular"/>
          <w:sz w:val="22"/>
          <w:szCs w:val="22"/>
        </w:rPr>
      </w:pPr>
    </w:p>
    <w:p w14:paraId="3144BE70">
      <w:pPr>
        <w:spacing w:before="0" w:after="0" w:line="240" w:lineRule="auto"/>
        <w:rPr>
          <w:rFonts w:hint="default" w:ascii="Times New Roman Regular" w:hAnsi="Times New Roman Regular" w:cs="Times New Roman Regular"/>
          <w:b/>
          <w:bCs/>
          <w:sz w:val="22"/>
          <w:szCs w:val="22"/>
        </w:rPr>
      </w:pPr>
      <w:r>
        <w:rPr>
          <w:rFonts w:hint="default" w:ascii="Times New Roman Regular" w:hAnsi="Times New Roman Regular" w:cs="Times New Roman Regular"/>
          <w:b/>
          <w:bCs/>
          <w:sz w:val="22"/>
          <w:szCs w:val="22"/>
        </w:rPr>
        <w:br w:type="page"/>
      </w:r>
    </w:p>
    <w:p w14:paraId="1C123043">
      <w:pPr>
        <w:pStyle w:val="10"/>
        <w:keepNext/>
        <w:spacing w:before="0" w:after="120" w:line="240" w:lineRule="auto"/>
        <w:rPr>
          <w:rFonts w:hint="default" w:ascii="Times New Roman Regular" w:hAnsi="Times New Roman Regular" w:cs="Times New Roman Regular"/>
          <w:b/>
          <w:bCs/>
          <w:sz w:val="22"/>
          <w:szCs w:val="22"/>
        </w:rPr>
      </w:pPr>
      <w:r>
        <w:rPr>
          <w:rFonts w:hint="default" w:ascii="Times New Roman" w:hAnsi="Times New Roman" w:eastAsia="Times New Roman" w:cs="Times New Roman Regular"/>
          <w:b/>
          <w:bCs/>
          <w:sz w:val="22"/>
          <w:szCs w:val="22"/>
        </w:rPr>
        <w:t>SR11. Full missingness and inverse probability weighting technical details</w:t>
      </w:r>
    </w:p>
    <w:p w14:paraId="712BA2CD">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 xml:space="preserve">The complete-case analytic samples were substantially reduced relative to the source repeated-measures panel. Compared with included participants, excluded participants were generally older, had higher C-reactive protein (CRP) levels, and had lower baseline </w:t>
      </w:r>
      <w:r>
        <w:rPr>
          <w:rFonts w:hint="default" w:ascii="Times New Roman" w:hAnsi="Times New Roman" w:eastAsia="Times New Roman" w:cs="Times New Roman Regular"/>
          <w:b w:val="0"/>
          <w:bCs w:val="0"/>
          <w:color w:val="auto"/>
          <w:sz w:val="20"/>
          <w:szCs w:val="22"/>
          <w:lang w:val="en-US" w:eastAsia="zh-CN"/>
        </w:rPr>
        <w:t>FEV₁</w:t>
      </w:r>
      <w:r>
        <w:rPr>
          <w:rFonts w:hint="default" w:ascii="Times New Roman" w:hAnsi="Times New Roman" w:eastAsia="Times New Roman" w:cs="Times New Roman Regular"/>
          <w:sz w:val="20"/>
          <w:szCs w:val="22"/>
        </w:rPr>
        <w:t xml:space="preserve">, whereas differences in the core dynamic ferritin-related measures were more limited overall (Supplementary Table S52). </w:t>
      </w:r>
    </w:p>
    <w:p w14:paraId="1BA8B9AA">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In inverse probability weighting sensitivity analyses, the principal IFI→</w:t>
      </w:r>
      <w:r>
        <w:rPr>
          <w:rFonts w:hint="default" w:ascii="Times New Roman" w:hAnsi="Times New Roman" w:eastAsia="Times New Roman" w:cs="Times New Roman Regular"/>
          <w:b w:val="0"/>
          <w:bCs w:val="0"/>
          <w:color w:val="auto"/>
          <w:sz w:val="20"/>
          <w:szCs w:val="22"/>
          <w:lang w:val="en-US" w:eastAsia="zh-CN"/>
        </w:rPr>
        <w:t>FEV₁</w:t>
      </w:r>
      <w:r>
        <w:rPr>
          <w:rFonts w:hint="default" w:ascii="Times New Roman" w:hAnsi="Times New Roman" w:eastAsia="Times New Roman" w:cs="Times New Roman Regular"/>
          <w:sz w:val="20"/>
          <w:szCs w:val="22"/>
        </w:rPr>
        <w:t xml:space="preserve"> and ferritin CV→</w:t>
      </w:r>
      <w:r>
        <w:rPr>
          <w:rFonts w:hint="default" w:ascii="Times New Roman" w:hAnsi="Times New Roman" w:eastAsia="Times New Roman" w:cs="Times New Roman Regular"/>
          <w:b w:val="0"/>
          <w:bCs w:val="0"/>
          <w:color w:val="auto"/>
          <w:sz w:val="20"/>
          <w:szCs w:val="22"/>
          <w:lang w:val="en-US" w:eastAsia="zh-CN"/>
        </w:rPr>
        <w:t>FEV₁</w:t>
      </w:r>
      <w:r>
        <w:rPr>
          <w:rFonts w:hint="default" w:ascii="Times New Roman" w:hAnsi="Times New Roman" w:eastAsia="Times New Roman" w:cs="Times New Roman Regular"/>
          <w:sz w:val="20"/>
          <w:szCs w:val="22"/>
        </w:rPr>
        <w:t xml:space="preserve"> results remained directionally stable, and the corresponding effect sizes were not materially altered. The same general pattern was observed for the IFI→symptom pathway, although support for symptom-related findings remained weaker overall than for the lung-function results (Supplementary Table S53). Probability models for complete-case inclusion are provided as technical details (Supplementary Tables S55–S57).</w:t>
      </w:r>
    </w:p>
    <w:p w14:paraId="581836F6">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Weight distributions were broadly acceptable after truncation, with limited influence of extreme values, supporting the practical implementation of the IPW framework in this setting (Supplementary Table S54). Overall, these missingness- and selection-related analyses further support the robustness of the core lung-function findings reported in the main text.</w:t>
      </w:r>
    </w:p>
    <w:p w14:paraId="4C56E2DB">
      <w:pPr>
        <w:spacing w:before="0" w:after="0" w:line="240" w:lineRule="auto"/>
        <w:rPr>
          <w:rFonts w:hint="default" w:ascii="Times New Roman Regular" w:hAnsi="Times New Roman Regular" w:cs="Times New Roman Regular"/>
          <w:sz w:val="22"/>
          <w:szCs w:val="22"/>
        </w:rPr>
      </w:pPr>
    </w:p>
    <w:p w14:paraId="7285A2EF">
      <w:pPr>
        <w:spacing w:before="0" w:after="0" w:line="240" w:lineRule="auto"/>
        <w:rPr>
          <w:rFonts w:hint="default" w:ascii="Times New Roman Regular" w:hAnsi="Times New Roman Regular" w:cs="Times New Roman Regular"/>
          <w:b/>
          <w:bCs/>
          <w:sz w:val="22"/>
          <w:szCs w:val="22"/>
        </w:rPr>
      </w:pPr>
      <w:r>
        <w:rPr>
          <w:rFonts w:hint="default" w:ascii="Times New Roman Regular" w:hAnsi="Times New Roman Regular" w:cs="Times New Roman Regular"/>
          <w:b/>
          <w:bCs/>
          <w:sz w:val="22"/>
          <w:szCs w:val="22"/>
        </w:rPr>
        <w:br w:type="page"/>
      </w:r>
    </w:p>
    <w:p w14:paraId="46C2E189">
      <w:pPr>
        <w:pStyle w:val="10"/>
        <w:keepNext/>
        <w:spacing w:before="0" w:after="120" w:line="240" w:lineRule="auto"/>
        <w:rPr>
          <w:rFonts w:hint="default" w:ascii="Times New Roman Regular" w:hAnsi="Times New Roman Regular" w:cs="Times New Roman Regular"/>
          <w:b/>
          <w:bCs/>
          <w:sz w:val="22"/>
          <w:szCs w:val="22"/>
        </w:rPr>
      </w:pPr>
      <w:r>
        <w:rPr>
          <w:rFonts w:hint="default" w:ascii="Times New Roman" w:hAnsi="Times New Roman" w:eastAsia="Times New Roman" w:cs="Times New Roman Regular"/>
          <w:b/>
          <w:bCs/>
          <w:sz w:val="22"/>
          <w:szCs w:val="22"/>
        </w:rPr>
        <w:t>SR12. Detailed family-wise false discovery rate implementation</w:t>
      </w:r>
    </w:p>
    <w:p w14:paraId="3274B522">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Across the prespecified analysis families, the lung-function family showed the most stable q-value support overall. The hemoglobin-related extension family also retained a substantial number of supported results, w</w:t>
      </w:r>
      <w:bookmarkStart w:id="0" w:name="_GoBack"/>
      <w:bookmarkEnd w:id="0"/>
      <w:r>
        <w:rPr>
          <w:rFonts w:hint="default" w:ascii="Times New Roman" w:hAnsi="Times New Roman" w:eastAsia="Times New Roman" w:cs="Times New Roman Regular"/>
          <w:sz w:val="20"/>
          <w:szCs w:val="22"/>
        </w:rPr>
        <w:t xml:space="preserve">hereas age-modification analyses retained only limited support after family-wise correction (Supplementary Table S58; Supplementary Table S59, provided as a separate spreadsheet because of table size). </w:t>
      </w:r>
    </w:p>
    <w:p w14:paraId="39B4D7A3">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 xml:space="preserve">By contrast, the symptom family, smoking-related analyses, sex-by-age heterogeneity analyses, mediation analyses, and several other interaction-related or extension families showed generally weaker FDR support, with few or no results retained after family-wise correction. The inflammation-related family likewise showed limited retention after correction despite nominally low raw P values in selected analyses (Supplementary Table S58; Supplementary Table S60, </w:t>
      </w:r>
      <w:r>
        <w:rPr>
          <w:rFonts w:hint="default" w:ascii="Times New Roman" w:hAnsi="Times New Roman" w:eastAsia="Times New Roman" w:cs="Times New Roman Regular"/>
          <w:sz w:val="20"/>
          <w:szCs w:val="22"/>
          <w:lang w:val="en-US" w:eastAsia="zh-CN"/>
        </w:rPr>
        <w:t>provided as a separate spreadsheet because of table size</w:t>
      </w:r>
      <w:r>
        <w:rPr>
          <w:rFonts w:hint="default" w:ascii="Times New Roman" w:hAnsi="Times New Roman" w:eastAsia="Times New Roman" w:cs="Times New Roman Regular"/>
          <w:sz w:val="20"/>
          <w:szCs w:val="22"/>
        </w:rPr>
        <w:t xml:space="preserve">). </w:t>
      </w:r>
    </w:p>
    <w:p w14:paraId="4E207E1F">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rPr>
        <w:t>Overall, these family-wise FDR results further indicate that the most statistically robust signals remained concentrated in the core lung-function analyses presented in the main text.</w:t>
      </w:r>
    </w:p>
    <w:p w14:paraId="7DA45495">
      <w:pPr>
        <w:spacing w:before="0" w:after="0" w:line="240" w:lineRule="auto"/>
        <w:rPr>
          <w:rFonts w:hint="default" w:ascii="Times New Roman Regular" w:hAnsi="Times New Roman Regular" w:cs="Times New Roman Regular"/>
          <w:sz w:val="22"/>
          <w:szCs w:val="22"/>
        </w:rPr>
      </w:pPr>
    </w:p>
    <w:p w14:paraId="2DBCDEEF">
      <w:pPr>
        <w:spacing w:before="0" w:after="0" w:line="240" w:lineRule="auto"/>
        <w:rPr>
          <w:rFonts w:hint="default" w:ascii="Times New Roman Regular" w:hAnsi="Times New Roman Regular" w:cs="Times New Roman Regular"/>
          <w:sz w:val="22"/>
          <w:szCs w:val="22"/>
        </w:rPr>
      </w:pPr>
    </w:p>
    <w:p w14:paraId="0BEF7B92">
      <w:pPr>
        <w:spacing w:before="0" w:after="0" w:line="240" w:lineRule="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br w:type="page"/>
      </w:r>
    </w:p>
    <w:p w14:paraId="6B0E83B8">
      <w:pPr>
        <w:pStyle w:val="9"/>
        <w:keepNext/>
        <w:keepLines w:val="0"/>
        <w:widowControl/>
        <w:suppressLineNumbers w:val="0"/>
        <w:spacing w:before="0" w:after="120" w:line="240" w:lineRule="auto"/>
        <w:jc w:val="left"/>
        <w:rPr>
          <w:rStyle w:val="6"/>
          <w:rFonts w:hint="default" w:ascii="Times New Roman Regular" w:hAnsi="Times New Roman Regular" w:eastAsia="宋体" w:cs="Times New Roman Regular"/>
          <w:b/>
          <w:bCs/>
          <w:color w:val="auto"/>
          <w:sz w:val="22"/>
          <w:szCs w:val="22"/>
          <w:highlight w:val="none"/>
          <w:lang w:val="en-US" w:eastAsia="zh-CN"/>
        </w:rPr>
      </w:pPr>
      <w:r>
        <w:rPr>
          <w:rStyle w:val="6"/>
          <w:rFonts w:hint="default" w:ascii="Times New Roman" w:hAnsi="Times New Roman" w:eastAsia="Times New Roman" w:cs="Times New Roman Regular"/>
          <w:b/>
          <w:bCs/>
          <w:color w:val="auto"/>
          <w:sz w:val="26"/>
          <w:szCs w:val="22"/>
          <w:highlight w:val="none"/>
        </w:rPr>
        <w:t xml:space="preserve">Supplementary </w:t>
      </w:r>
      <w:r>
        <w:rPr>
          <w:rStyle w:val="6"/>
          <w:rFonts w:hint="default" w:ascii="Times New Roman" w:hAnsi="Times New Roman" w:eastAsia="Times New Roman" w:cs="Times New Roman Regular"/>
          <w:b/>
          <w:bCs/>
          <w:color w:val="auto"/>
          <w:sz w:val="26"/>
          <w:szCs w:val="22"/>
          <w:highlight w:val="none"/>
          <w:lang w:val="en-US" w:eastAsia="zh-CN"/>
        </w:rPr>
        <w:t>Tables</w:t>
      </w:r>
    </w:p>
    <w:p w14:paraId="52498287">
      <w:pPr>
        <w:keepNext w:val="0"/>
        <w:keepLines w:val="0"/>
        <w:widowControl/>
        <w:suppressLineNumbers w:val="0"/>
        <w:spacing w:before="0" w:after="120" w:line="240" w:lineRule="auto"/>
        <w:jc w:val="both"/>
        <w:rPr>
          <w:rStyle w:val="6"/>
          <w:rFonts w:hint="default" w:ascii="Times New Roman Regular" w:hAnsi="Times New Roman Regular" w:cs="Times New Roman Regular"/>
          <w:b w:val="0"/>
          <w:bCs w:val="0"/>
          <w:color w:val="auto"/>
          <w:sz w:val="22"/>
          <w:szCs w:val="22"/>
          <w:highlight w:val="none"/>
        </w:rPr>
      </w:pPr>
      <w:r>
        <w:rPr>
          <w:rStyle w:val="6"/>
          <w:rFonts w:hint="default" w:ascii="Times New Roman" w:hAnsi="Times New Roman" w:eastAsia="Times New Roman" w:cs="Times New Roman Regular"/>
          <w:b w:val="0"/>
          <w:bCs w:val="0"/>
          <w:color w:val="auto"/>
          <w:sz w:val="20"/>
          <w:szCs w:val="22"/>
          <w:highlight w:val="none"/>
          <w:lang w:val="en-US" w:eastAsia="zh-CN"/>
        </w:rPr>
        <w:t>The supplementary tables supporting the analyses reported in the main manuscript and supplementary sections are provided below.</w:t>
      </w:r>
    </w:p>
    <w:p w14:paraId="5DBB998E">
      <w:pPr>
        <w:pStyle w:val="2"/>
        <w:keepNext w:val="0"/>
        <w:keepLines w:val="0"/>
        <w:widowControl/>
        <w:suppressLineNumbers w:val="0"/>
        <w:spacing w:before="0" w:after="0" w:line="240" w:lineRule="auto"/>
        <w:rPr>
          <w:rStyle w:val="6"/>
          <w:rFonts w:hint="default" w:ascii="Times New Roman Regular" w:hAnsi="Times New Roman Regular" w:cs="Times New Roman Regular"/>
          <w:b/>
          <w:bCs/>
          <w:color w:val="auto"/>
          <w:sz w:val="22"/>
          <w:szCs w:val="22"/>
          <w:highlight w:val="none"/>
        </w:rPr>
      </w:pPr>
    </w:p>
    <w:p w14:paraId="1E51B887">
      <w:pPr>
        <w:pStyle w:val="2"/>
        <w:keepNext w:val="0"/>
        <w:keepLines w:val="0"/>
        <w:widowControl/>
        <w:suppressLineNumbers w:val="0"/>
        <w:spacing w:before="0" w:after="0" w:line="240" w:lineRule="auto"/>
        <w:rPr>
          <w:rStyle w:val="6"/>
          <w:rFonts w:hint="default" w:ascii="Times New Roman Regular" w:hAnsi="Times New Roman Regular" w:cs="Times New Roman Regular"/>
          <w:b/>
          <w:bCs/>
          <w:color w:val="auto"/>
          <w:sz w:val="22"/>
          <w:szCs w:val="22"/>
          <w:highlight w:val="none"/>
        </w:rPr>
      </w:pPr>
    </w:p>
    <w:p w14:paraId="46481372">
      <w:pPr>
        <w:spacing w:before="0" w:after="0" w:line="240" w:lineRule="auto"/>
        <w:rPr>
          <w:rStyle w:val="6"/>
          <w:rFonts w:hint="default" w:ascii="Times New Roman Regular" w:hAnsi="Times New Roman Regular" w:cs="Times New Roman Regular"/>
          <w:b/>
          <w:bCs/>
          <w:color w:val="auto"/>
          <w:sz w:val="22"/>
          <w:szCs w:val="22"/>
          <w:highlight w:val="none"/>
        </w:rPr>
      </w:pPr>
      <w:r>
        <w:rPr>
          <w:rStyle w:val="6"/>
          <w:rFonts w:hint="default" w:ascii="Times New Roman Regular" w:hAnsi="Times New Roman Regular" w:cs="Times New Roman Regular"/>
          <w:b/>
          <w:bCs/>
          <w:color w:val="auto"/>
          <w:sz w:val="22"/>
          <w:szCs w:val="22"/>
          <w:highlight w:val="none"/>
        </w:rPr>
        <w:br w:type="page"/>
      </w:r>
    </w:p>
    <w:p w14:paraId="6964E501">
      <w:pPr>
        <w:pStyle w:val="2"/>
        <w:keepNext/>
        <w:keepLines w:val="0"/>
        <w:widowControl/>
        <w:suppressLineNumbers w:val="0"/>
        <w:spacing w:before="0" w:after="120" w:line="240" w:lineRule="auto"/>
        <w:rPr>
          <w:rStyle w:val="6"/>
          <w:rFonts w:hint="default" w:ascii="Times New Roman Regular" w:hAnsi="Times New Roman Regular" w:cs="Times New Roman Regular"/>
          <w:b/>
          <w:bCs/>
          <w:color w:val="auto"/>
          <w:sz w:val="22"/>
          <w:szCs w:val="22"/>
        </w:rPr>
      </w:pPr>
      <w:r>
        <w:rPr>
          <w:rStyle w:val="6"/>
          <w:rFonts w:hint="default" w:ascii="Times New Roman" w:hAnsi="Times New Roman" w:eastAsia="Times New Roman" w:cs="Times New Roman Regular"/>
          <w:b/>
          <w:bCs/>
          <w:color w:val="auto"/>
          <w:sz w:val="20"/>
          <w:szCs w:val="22"/>
          <w:highlight w:val="none"/>
        </w:rPr>
        <w:t xml:space="preserve">Supplementary Table S1. Primary logistic model for the medication </w:t>
      </w:r>
      <w:r>
        <w:rPr>
          <w:rStyle w:val="6"/>
          <w:rFonts w:hint="default" w:ascii="Times New Roman" w:hAnsi="Times New Roman" w:eastAsia="Times New Roman" w:cs="Times New Roman Regular"/>
          <w:b/>
          <w:bCs/>
          <w:color w:val="auto"/>
          <w:sz w:val="20"/>
          <w:szCs w:val="22"/>
        </w:rPr>
        <w:t>initiation/escalation proxy outcome</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52"/>
        <w:gridCol w:w="3451"/>
        <w:gridCol w:w="3363"/>
      </w:tblGrid>
      <w:tr w14:paraId="4315153C">
        <w:trPr>
          <w:trHeight w:val="193" w:hRule="atLeast"/>
          <w:tblHeader/>
          <w:jc w:val="center"/>
        </w:trPr>
        <w:tc>
          <w:tcPr>
            <w:tcW w:w="2628"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136D7EB">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Variable</w:t>
            </w:r>
          </w:p>
        </w:tc>
        <w:tc>
          <w:tcPr>
            <w:tcW w:w="1201"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62D179A1">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OR (95% CI)</w:t>
            </w:r>
          </w:p>
        </w:tc>
        <w:tc>
          <w:tcPr>
            <w:tcW w:w="117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91B731B">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05EC6741">
        <w:trPr>
          <w:trHeight w:val="193" w:hRule="atLeast"/>
          <w:jc w:val="center"/>
        </w:trPr>
        <w:tc>
          <w:tcPr>
            <w:tcW w:w="2628"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ABDD1B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Previous-wave log2 ferritin</w:t>
            </w:r>
          </w:p>
        </w:tc>
        <w:tc>
          <w:tcPr>
            <w:tcW w:w="1201"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6E90F8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1.14 (0.85, 1.52)</w:t>
            </w:r>
          </w:p>
        </w:tc>
        <w:tc>
          <w:tcPr>
            <w:tcW w:w="117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DE397F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0.393</w:t>
            </w:r>
          </w:p>
        </w:tc>
      </w:tr>
      <w:tr w14:paraId="729D213C">
        <w:trPr>
          <w:trHeight w:val="193" w:hRule="atLeast"/>
          <w:jc w:val="center"/>
        </w:trPr>
        <w:tc>
          <w:tcPr>
            <w:tcW w:w="2628" w:type="pct"/>
            <w:tcBorders>
              <w:top w:val="nil"/>
              <w:left w:val="nil"/>
              <w:bottom w:val="nil"/>
              <w:right w:val="nil"/>
            </w:tcBorders>
            <w:shd w:val="clear" w:color="auto" w:fill="FFFFFF"/>
            <w:tcMar>
              <w:top w:w="55" w:type="dxa"/>
              <w:left w:w="55" w:type="dxa"/>
              <w:bottom w:w="55" w:type="dxa"/>
              <w:right w:w="55" w:type="dxa"/>
            </w:tcMar>
            <w:vAlign w:val="center"/>
          </w:tcPr>
          <w:p w14:paraId="1E141C4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Previous-wave symptom burden</w:t>
            </w:r>
          </w:p>
        </w:tc>
        <w:tc>
          <w:tcPr>
            <w:tcW w:w="1201" w:type="pct"/>
            <w:tcBorders>
              <w:top w:val="nil"/>
              <w:left w:val="nil"/>
              <w:bottom w:val="nil"/>
              <w:right w:val="nil"/>
            </w:tcBorders>
            <w:shd w:val="clear" w:color="auto" w:fill="FFFFFF"/>
            <w:tcMar>
              <w:top w:w="55" w:type="dxa"/>
              <w:left w:w="55" w:type="dxa"/>
              <w:bottom w:w="55" w:type="dxa"/>
              <w:right w:w="55" w:type="dxa"/>
            </w:tcMar>
            <w:vAlign w:val="center"/>
          </w:tcPr>
          <w:p w14:paraId="5A134F5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1.15 (0.80, 1.66)</w:t>
            </w:r>
          </w:p>
        </w:tc>
        <w:tc>
          <w:tcPr>
            <w:tcW w:w="1170" w:type="pct"/>
            <w:tcBorders>
              <w:top w:val="nil"/>
              <w:left w:val="nil"/>
              <w:bottom w:val="nil"/>
              <w:right w:val="nil"/>
            </w:tcBorders>
            <w:shd w:val="clear" w:color="auto" w:fill="FFFFFF"/>
            <w:tcMar>
              <w:top w:w="55" w:type="dxa"/>
              <w:left w:w="55" w:type="dxa"/>
              <w:bottom w:w="55" w:type="dxa"/>
              <w:right w:w="55" w:type="dxa"/>
            </w:tcMar>
            <w:vAlign w:val="center"/>
          </w:tcPr>
          <w:p w14:paraId="2F4CD79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0.445</w:t>
            </w:r>
          </w:p>
        </w:tc>
      </w:tr>
      <w:tr w14:paraId="61BE210C">
        <w:trPr>
          <w:trHeight w:val="193" w:hRule="atLeast"/>
          <w:jc w:val="center"/>
        </w:trPr>
        <w:tc>
          <w:tcPr>
            <w:tcW w:w="2628" w:type="pct"/>
            <w:tcBorders>
              <w:top w:val="nil"/>
              <w:left w:val="nil"/>
              <w:bottom w:val="nil"/>
              <w:right w:val="nil"/>
            </w:tcBorders>
            <w:shd w:val="clear" w:color="auto" w:fill="FFFFFF"/>
            <w:tcMar>
              <w:top w:w="55" w:type="dxa"/>
              <w:left w:w="55" w:type="dxa"/>
              <w:bottom w:w="55" w:type="dxa"/>
              <w:right w:w="55" w:type="dxa"/>
            </w:tcMar>
            <w:vAlign w:val="center"/>
          </w:tcPr>
          <w:p w14:paraId="467030B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Age</w:t>
            </w:r>
          </w:p>
        </w:tc>
        <w:tc>
          <w:tcPr>
            <w:tcW w:w="1201" w:type="pct"/>
            <w:tcBorders>
              <w:top w:val="nil"/>
              <w:left w:val="nil"/>
              <w:bottom w:val="nil"/>
              <w:right w:val="nil"/>
            </w:tcBorders>
            <w:shd w:val="clear" w:color="auto" w:fill="FFFFFF"/>
            <w:tcMar>
              <w:top w:w="55" w:type="dxa"/>
              <w:left w:w="55" w:type="dxa"/>
              <w:bottom w:w="55" w:type="dxa"/>
              <w:right w:w="55" w:type="dxa"/>
            </w:tcMar>
            <w:vAlign w:val="center"/>
          </w:tcPr>
          <w:p w14:paraId="723BF01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1.03 (0.99, 1.06)</w:t>
            </w:r>
          </w:p>
        </w:tc>
        <w:tc>
          <w:tcPr>
            <w:tcW w:w="1170" w:type="pct"/>
            <w:tcBorders>
              <w:top w:val="nil"/>
              <w:left w:val="nil"/>
              <w:bottom w:val="nil"/>
              <w:right w:val="nil"/>
            </w:tcBorders>
            <w:shd w:val="clear" w:color="auto" w:fill="FFFFFF"/>
            <w:tcMar>
              <w:top w:w="55" w:type="dxa"/>
              <w:left w:w="55" w:type="dxa"/>
              <w:bottom w:w="55" w:type="dxa"/>
              <w:right w:w="55" w:type="dxa"/>
            </w:tcMar>
            <w:vAlign w:val="center"/>
          </w:tcPr>
          <w:p w14:paraId="556F0C4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0.13</w:t>
            </w:r>
          </w:p>
        </w:tc>
      </w:tr>
      <w:tr w14:paraId="627AF740">
        <w:trPr>
          <w:trHeight w:val="193" w:hRule="atLeast"/>
          <w:jc w:val="center"/>
        </w:trPr>
        <w:tc>
          <w:tcPr>
            <w:tcW w:w="2628" w:type="pct"/>
            <w:tcBorders>
              <w:top w:val="nil"/>
              <w:left w:val="nil"/>
              <w:bottom w:val="nil"/>
              <w:right w:val="nil"/>
            </w:tcBorders>
            <w:shd w:val="clear" w:color="auto" w:fill="FFFFFF"/>
            <w:tcMar>
              <w:top w:w="55" w:type="dxa"/>
              <w:left w:w="55" w:type="dxa"/>
              <w:bottom w:w="55" w:type="dxa"/>
              <w:right w:w="55" w:type="dxa"/>
            </w:tcMar>
            <w:vAlign w:val="center"/>
          </w:tcPr>
          <w:p w14:paraId="09F5EB0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Female sex</w:t>
            </w:r>
          </w:p>
        </w:tc>
        <w:tc>
          <w:tcPr>
            <w:tcW w:w="1201" w:type="pct"/>
            <w:tcBorders>
              <w:top w:val="nil"/>
              <w:left w:val="nil"/>
              <w:bottom w:val="nil"/>
              <w:right w:val="nil"/>
            </w:tcBorders>
            <w:shd w:val="clear" w:color="auto" w:fill="FFFFFF"/>
            <w:tcMar>
              <w:top w:w="55" w:type="dxa"/>
              <w:left w:w="55" w:type="dxa"/>
              <w:bottom w:w="55" w:type="dxa"/>
              <w:right w:w="55" w:type="dxa"/>
            </w:tcMar>
            <w:vAlign w:val="center"/>
          </w:tcPr>
          <w:p w14:paraId="4FC4575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1.20 (0.62, 2.32)</w:t>
            </w:r>
          </w:p>
        </w:tc>
        <w:tc>
          <w:tcPr>
            <w:tcW w:w="1170" w:type="pct"/>
            <w:tcBorders>
              <w:top w:val="nil"/>
              <w:left w:val="nil"/>
              <w:bottom w:val="nil"/>
              <w:right w:val="nil"/>
            </w:tcBorders>
            <w:shd w:val="clear" w:color="auto" w:fill="FFFFFF"/>
            <w:tcMar>
              <w:top w:w="55" w:type="dxa"/>
              <w:left w:w="55" w:type="dxa"/>
              <w:bottom w:w="55" w:type="dxa"/>
              <w:right w:w="55" w:type="dxa"/>
            </w:tcMar>
            <w:vAlign w:val="center"/>
          </w:tcPr>
          <w:p w14:paraId="4042B08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0.591</w:t>
            </w:r>
          </w:p>
        </w:tc>
      </w:tr>
      <w:tr w14:paraId="23AEF33B">
        <w:trPr>
          <w:trHeight w:val="193" w:hRule="atLeast"/>
          <w:jc w:val="center"/>
        </w:trPr>
        <w:tc>
          <w:tcPr>
            <w:tcW w:w="2628" w:type="pct"/>
            <w:tcBorders>
              <w:top w:val="nil"/>
              <w:left w:val="nil"/>
              <w:bottom w:val="nil"/>
              <w:right w:val="nil"/>
            </w:tcBorders>
            <w:shd w:val="clear" w:color="auto" w:fill="FFFFFF"/>
            <w:tcMar>
              <w:top w:w="55" w:type="dxa"/>
              <w:left w:w="55" w:type="dxa"/>
              <w:bottom w:w="55" w:type="dxa"/>
              <w:right w:w="55" w:type="dxa"/>
            </w:tcMar>
            <w:vAlign w:val="center"/>
          </w:tcPr>
          <w:p w14:paraId="2C9D00F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Current smoking</w:t>
            </w:r>
          </w:p>
        </w:tc>
        <w:tc>
          <w:tcPr>
            <w:tcW w:w="1201" w:type="pct"/>
            <w:tcBorders>
              <w:top w:val="nil"/>
              <w:left w:val="nil"/>
              <w:bottom w:val="nil"/>
              <w:right w:val="nil"/>
            </w:tcBorders>
            <w:shd w:val="clear" w:color="auto" w:fill="FFFFFF"/>
            <w:tcMar>
              <w:top w:w="55" w:type="dxa"/>
              <w:left w:w="55" w:type="dxa"/>
              <w:bottom w:w="55" w:type="dxa"/>
              <w:right w:w="55" w:type="dxa"/>
            </w:tcMar>
            <w:vAlign w:val="center"/>
          </w:tcPr>
          <w:p w14:paraId="5ACD032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1.12 (0.58, 2.16)</w:t>
            </w:r>
          </w:p>
        </w:tc>
        <w:tc>
          <w:tcPr>
            <w:tcW w:w="1170" w:type="pct"/>
            <w:tcBorders>
              <w:top w:val="nil"/>
              <w:left w:val="nil"/>
              <w:bottom w:val="nil"/>
              <w:right w:val="nil"/>
            </w:tcBorders>
            <w:shd w:val="clear" w:color="auto" w:fill="FFFFFF"/>
            <w:tcMar>
              <w:top w:w="55" w:type="dxa"/>
              <w:left w:w="55" w:type="dxa"/>
              <w:bottom w:w="55" w:type="dxa"/>
              <w:right w:w="55" w:type="dxa"/>
            </w:tcMar>
            <w:vAlign w:val="center"/>
          </w:tcPr>
          <w:p w14:paraId="0EDCABC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0.74</w:t>
            </w:r>
          </w:p>
        </w:tc>
      </w:tr>
      <w:tr w14:paraId="5B5BB79B">
        <w:trPr>
          <w:trHeight w:val="193" w:hRule="atLeast"/>
          <w:jc w:val="center"/>
        </w:trPr>
        <w:tc>
          <w:tcPr>
            <w:tcW w:w="2628" w:type="pct"/>
            <w:tcBorders>
              <w:top w:val="nil"/>
              <w:left w:val="nil"/>
              <w:bottom w:val="nil"/>
              <w:right w:val="nil"/>
            </w:tcBorders>
            <w:shd w:val="clear" w:color="auto" w:fill="FFFFFF"/>
            <w:tcMar>
              <w:top w:w="55" w:type="dxa"/>
              <w:left w:w="55" w:type="dxa"/>
              <w:bottom w:w="55" w:type="dxa"/>
              <w:right w:w="55" w:type="dxa"/>
            </w:tcMar>
            <w:vAlign w:val="center"/>
          </w:tcPr>
          <w:p w14:paraId="01836E9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Body mass index (BMI)</w:t>
            </w:r>
          </w:p>
        </w:tc>
        <w:tc>
          <w:tcPr>
            <w:tcW w:w="1201" w:type="pct"/>
            <w:tcBorders>
              <w:top w:val="nil"/>
              <w:left w:val="nil"/>
              <w:bottom w:val="nil"/>
              <w:right w:val="nil"/>
            </w:tcBorders>
            <w:shd w:val="clear" w:color="auto" w:fill="FFFFFF"/>
            <w:tcMar>
              <w:top w:w="55" w:type="dxa"/>
              <w:left w:w="55" w:type="dxa"/>
              <w:bottom w:w="55" w:type="dxa"/>
              <w:right w:w="55" w:type="dxa"/>
            </w:tcMar>
            <w:vAlign w:val="center"/>
          </w:tcPr>
          <w:p w14:paraId="6C89CE4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1.06 (0.99, 1.13)</w:t>
            </w:r>
          </w:p>
        </w:tc>
        <w:tc>
          <w:tcPr>
            <w:tcW w:w="1170" w:type="pct"/>
            <w:tcBorders>
              <w:top w:val="nil"/>
              <w:left w:val="nil"/>
              <w:bottom w:val="nil"/>
              <w:right w:val="nil"/>
            </w:tcBorders>
            <w:shd w:val="clear" w:color="auto" w:fill="FFFFFF"/>
            <w:tcMar>
              <w:top w:w="55" w:type="dxa"/>
              <w:left w:w="55" w:type="dxa"/>
              <w:bottom w:w="55" w:type="dxa"/>
              <w:right w:w="55" w:type="dxa"/>
            </w:tcMar>
            <w:vAlign w:val="center"/>
          </w:tcPr>
          <w:p w14:paraId="0ACB603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0.111</w:t>
            </w:r>
          </w:p>
        </w:tc>
      </w:tr>
      <w:tr w14:paraId="72E2C738">
        <w:trPr>
          <w:trHeight w:val="193" w:hRule="atLeast"/>
          <w:jc w:val="center"/>
        </w:trPr>
        <w:tc>
          <w:tcPr>
            <w:tcW w:w="2628" w:type="pct"/>
            <w:tcBorders>
              <w:top w:val="nil"/>
              <w:left w:val="nil"/>
              <w:bottom w:val="nil"/>
              <w:right w:val="nil"/>
            </w:tcBorders>
            <w:shd w:val="clear" w:color="auto" w:fill="FFFFFF"/>
            <w:tcMar>
              <w:top w:w="55" w:type="dxa"/>
              <w:left w:w="55" w:type="dxa"/>
              <w:bottom w:w="55" w:type="dxa"/>
              <w:right w:w="55" w:type="dxa"/>
            </w:tcMar>
            <w:vAlign w:val="center"/>
          </w:tcPr>
          <w:p w14:paraId="2B62DC6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Heart disease</w:t>
            </w:r>
          </w:p>
        </w:tc>
        <w:tc>
          <w:tcPr>
            <w:tcW w:w="1201" w:type="pct"/>
            <w:tcBorders>
              <w:top w:val="nil"/>
              <w:left w:val="nil"/>
              <w:bottom w:val="nil"/>
              <w:right w:val="nil"/>
            </w:tcBorders>
            <w:shd w:val="clear" w:color="auto" w:fill="FFFFFF"/>
            <w:tcMar>
              <w:top w:w="55" w:type="dxa"/>
              <w:left w:w="55" w:type="dxa"/>
              <w:bottom w:w="55" w:type="dxa"/>
              <w:right w:w="55" w:type="dxa"/>
            </w:tcMar>
            <w:vAlign w:val="center"/>
          </w:tcPr>
          <w:p w14:paraId="154FDBE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0.50 (0.20, 1.26)</w:t>
            </w:r>
          </w:p>
        </w:tc>
        <w:tc>
          <w:tcPr>
            <w:tcW w:w="1170" w:type="pct"/>
            <w:tcBorders>
              <w:top w:val="nil"/>
              <w:left w:val="nil"/>
              <w:bottom w:val="nil"/>
              <w:right w:val="nil"/>
            </w:tcBorders>
            <w:shd w:val="clear" w:color="auto" w:fill="FFFFFF"/>
            <w:tcMar>
              <w:top w:w="55" w:type="dxa"/>
              <w:left w:w="55" w:type="dxa"/>
              <w:bottom w:w="55" w:type="dxa"/>
              <w:right w:w="55" w:type="dxa"/>
            </w:tcMar>
            <w:vAlign w:val="center"/>
          </w:tcPr>
          <w:p w14:paraId="595B0AF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0.142</w:t>
            </w:r>
          </w:p>
        </w:tc>
      </w:tr>
      <w:tr w14:paraId="626D2EF9">
        <w:trPr>
          <w:trHeight w:val="193" w:hRule="atLeast"/>
          <w:jc w:val="center"/>
        </w:trPr>
        <w:tc>
          <w:tcPr>
            <w:tcW w:w="2628" w:type="pct"/>
            <w:tcBorders>
              <w:top w:val="nil"/>
              <w:left w:val="nil"/>
              <w:bottom w:val="nil"/>
              <w:right w:val="nil"/>
            </w:tcBorders>
            <w:shd w:val="clear" w:color="auto" w:fill="FFFFFF"/>
            <w:tcMar>
              <w:top w:w="55" w:type="dxa"/>
              <w:left w:w="55" w:type="dxa"/>
              <w:bottom w:w="55" w:type="dxa"/>
              <w:right w:w="55" w:type="dxa"/>
            </w:tcMar>
            <w:vAlign w:val="center"/>
          </w:tcPr>
          <w:p w14:paraId="0E6058C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Diabetes</w:t>
            </w:r>
          </w:p>
        </w:tc>
        <w:tc>
          <w:tcPr>
            <w:tcW w:w="1201" w:type="pct"/>
            <w:tcBorders>
              <w:top w:val="nil"/>
              <w:left w:val="nil"/>
              <w:bottom w:val="nil"/>
              <w:right w:val="nil"/>
            </w:tcBorders>
            <w:shd w:val="clear" w:color="auto" w:fill="FFFFFF"/>
            <w:tcMar>
              <w:top w:w="55" w:type="dxa"/>
              <w:left w:w="55" w:type="dxa"/>
              <w:bottom w:w="55" w:type="dxa"/>
              <w:right w:w="55" w:type="dxa"/>
            </w:tcMar>
            <w:vAlign w:val="center"/>
          </w:tcPr>
          <w:p w14:paraId="2A2827C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0.28 (0.06, 1.22)</w:t>
            </w:r>
          </w:p>
        </w:tc>
        <w:tc>
          <w:tcPr>
            <w:tcW w:w="1170" w:type="pct"/>
            <w:tcBorders>
              <w:top w:val="nil"/>
              <w:left w:val="nil"/>
              <w:bottom w:val="nil"/>
              <w:right w:val="nil"/>
            </w:tcBorders>
            <w:shd w:val="clear" w:color="auto" w:fill="FFFFFF"/>
            <w:tcMar>
              <w:top w:w="55" w:type="dxa"/>
              <w:left w:w="55" w:type="dxa"/>
              <w:bottom w:w="55" w:type="dxa"/>
              <w:right w:w="55" w:type="dxa"/>
            </w:tcMar>
            <w:vAlign w:val="center"/>
          </w:tcPr>
          <w:p w14:paraId="1F55CF1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0.089</w:t>
            </w:r>
          </w:p>
        </w:tc>
      </w:tr>
      <w:tr w14:paraId="2EB56DCE">
        <w:trPr>
          <w:trHeight w:val="193" w:hRule="atLeast"/>
          <w:jc w:val="center"/>
        </w:trPr>
        <w:tc>
          <w:tcPr>
            <w:tcW w:w="2628"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A0F573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log2(C-reactive protein)</w:t>
            </w:r>
          </w:p>
        </w:tc>
        <w:tc>
          <w:tcPr>
            <w:tcW w:w="1201"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B70D13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1.17 (0.97, 1.42)</w:t>
            </w:r>
          </w:p>
        </w:tc>
        <w:tc>
          <w:tcPr>
            <w:tcW w:w="117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0BB1A1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0.106</w:t>
            </w:r>
          </w:p>
        </w:tc>
      </w:tr>
    </w:tbl>
    <w:p w14:paraId="4EB3C403">
      <w:pPr>
        <w:keepNext w:val="0"/>
        <w:keepLines w:val="0"/>
        <w:widowControl/>
        <w:suppressLineNumbers w:val="0"/>
        <w:spacing w:before="0" w:after="120" w:line="240" w:lineRule="auto"/>
        <w:rPr>
          <w:rFonts w:hint="default" w:ascii="Times New Roman Regular" w:hAnsi="Times New Roman Regular" w:cs="Times New Roman Regular"/>
          <w:b w:val="0"/>
          <w:bCs w:val="0"/>
          <w:color w:val="auto"/>
          <w:sz w:val="22"/>
          <w:szCs w:val="22"/>
        </w:rPr>
      </w:pPr>
      <w:r>
        <w:rPr>
          <w:rStyle w:val="6"/>
          <w:rFonts w:hint="default" w:ascii="Times New Roman" w:hAnsi="Times New Roman" w:eastAsia="Times New Roman" w:cs="Times New Roman Regular"/>
          <w:b/>
          <w:bCs/>
          <w:color w:val="auto"/>
          <w:sz w:val="20"/>
          <w:szCs w:val="22"/>
        </w:rPr>
        <w:t>Footnote:</w:t>
      </w:r>
      <w:r>
        <w:rPr>
          <w:rFonts w:hint="default" w:ascii="Times New Roman" w:hAnsi="Times New Roman" w:eastAsia="Times New Roman" w:cs="Times New Roman Regular"/>
          <w:b/>
          <w:bCs/>
          <w:color w:val="auto"/>
          <w:sz w:val="20"/>
          <w:szCs w:val="22"/>
        </w:rPr>
        <w:br w:type="textWrapping"/>
      </w:r>
      <w:r>
        <w:rPr>
          <w:rFonts w:hint="default" w:ascii="Times New Roman" w:hAnsi="Times New Roman" w:eastAsia="Times New Roman" w:cs="Times New Roman Regular"/>
          <w:b w:val="0"/>
          <w:bCs w:val="0"/>
          <w:color w:val="auto"/>
          <w:sz w:val="20"/>
          <w:szCs w:val="22"/>
        </w:rPr>
        <w:t xml:space="preserve">Odds ratios (ORs), 95% confidence intervals (CIs), and </w:t>
      </w:r>
      <w:r>
        <w:rPr>
          <w:rStyle w:val="7"/>
          <w:rFonts w:hint="default" w:ascii="Times New Roman" w:hAnsi="Times New Roman" w:eastAsia="Times New Roman" w:cs="Times New Roman Regular"/>
          <w:b w:val="0"/>
          <w:bCs w:val="0"/>
          <w:color w:val="auto"/>
          <w:sz w:val="20"/>
          <w:szCs w:val="22"/>
        </w:rPr>
        <w:t>P</w:t>
      </w:r>
      <w:r>
        <w:rPr>
          <w:rFonts w:hint="default" w:ascii="Times New Roman" w:hAnsi="Times New Roman" w:eastAsia="Times New Roman" w:cs="Times New Roman Regular"/>
          <w:b w:val="0"/>
          <w:bCs w:val="0"/>
          <w:color w:val="auto"/>
          <w:sz w:val="20"/>
          <w:szCs w:val="22"/>
        </w:rPr>
        <w:t xml:space="preserve"> values are shown from the primary logistic regression model evaluating the association between previous-wave log2 ferritin and subsequent medication initiation/escalation proxy events. The analytic sample was restricted to the risk set of participants not using asthma medication at the previous wave. Models were adjusted for previous-wave symptom burden, age, sex, smoking status, body mass index (BMI), heart disease, diabetes, and log2-transformed C-reactive protein (CRP). A medication initiation/escalation proxy event was defined as transition from no asthma medication use at the previous wave to medication use at the current wave.</w:t>
      </w:r>
    </w:p>
    <w:p w14:paraId="207B4E60">
      <w:pPr>
        <w:pStyle w:val="3"/>
        <w:keepNext w:val="0"/>
        <w:keepLines w:val="0"/>
        <w:widowControl/>
        <w:suppressLineNumbers w:val="0"/>
        <w:spacing w:before="0" w:after="0" w:line="240" w:lineRule="auto"/>
        <w:rPr>
          <w:rFonts w:hint="default" w:ascii="Times New Roman Regular" w:hAnsi="Times New Roman Regular" w:cs="Times New Roman Regular"/>
          <w:b w:val="0"/>
          <w:bCs w:val="0"/>
          <w:color w:val="auto"/>
          <w:sz w:val="22"/>
          <w:szCs w:val="22"/>
        </w:rPr>
      </w:pPr>
    </w:p>
    <w:p w14:paraId="415ADFD9">
      <w:pPr>
        <w:spacing w:before="0" w:after="0" w:line="240" w:lineRule="auto"/>
        <w:rPr>
          <w:rStyle w:val="6"/>
          <w:rFonts w:hint="default" w:ascii="Times New Roman Regular" w:hAnsi="Times New Roman Regular" w:cs="Times New Roman Regular"/>
          <w:sz w:val="22"/>
          <w:szCs w:val="22"/>
        </w:rPr>
      </w:pPr>
      <w:r>
        <w:rPr>
          <w:rStyle w:val="6"/>
          <w:rFonts w:hint="default" w:ascii="Times New Roman Regular" w:hAnsi="Times New Roman Regular" w:cs="Times New Roman Regular"/>
          <w:sz w:val="22"/>
          <w:szCs w:val="22"/>
        </w:rPr>
        <w:br w:type="page"/>
      </w:r>
    </w:p>
    <w:p w14:paraId="418D35CD">
      <w:pPr>
        <w:pStyle w:val="2"/>
        <w:keepNext/>
        <w:keepLines w:val="0"/>
        <w:widowControl/>
        <w:suppressLineNumbers w:val="0"/>
        <w:spacing w:before="0" w:after="120" w:line="240" w:lineRule="auto"/>
        <w:rPr>
          <w:rFonts w:hint="default" w:ascii="Times New Roman Regular" w:hAnsi="Times New Roman Regular" w:cs="Times New Roman Regular"/>
          <w:sz w:val="22"/>
          <w:szCs w:val="22"/>
        </w:rPr>
      </w:pPr>
      <w:r>
        <w:rPr>
          <w:rStyle w:val="6"/>
          <w:rFonts w:hint="default" w:ascii="Times New Roman" w:hAnsi="Times New Roman" w:eastAsia="Times New Roman" w:cs="Times New Roman Regular"/>
          <w:b/>
          <w:sz w:val="20"/>
          <w:szCs w:val="22"/>
        </w:rPr>
        <w:t>Supplementary Table S2. Hb-adjusted logistic model for the medication initiation/escalation proxy outcome</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98"/>
        <w:gridCol w:w="3786"/>
        <w:gridCol w:w="2346"/>
        <w:gridCol w:w="2036"/>
      </w:tblGrid>
      <w:tr w14:paraId="713C45B7">
        <w:trPr>
          <w:trHeight w:val="336" w:hRule="atLeast"/>
          <w:tblHeader/>
          <w:jc w:val="center"/>
        </w:trPr>
        <w:tc>
          <w:tcPr>
            <w:tcW w:w="1080" w:type="dxa"/>
            <w:tcBorders>
              <w:top w:val="single" w:color="000000" w:sz="12" w:space="0"/>
              <w:left w:val="nil"/>
              <w:bottom w:val="single" w:color="000000" w:sz="4" w:space="0"/>
              <w:right w:val="nil"/>
              <w:tl2br w:val="nil"/>
            </w:tcBorders>
            <w:shd w:val="clear" w:color="auto" w:fill="EAF2F8"/>
            <w:noWrap/>
            <w:tcMar>
              <w:top w:w="55" w:type="dxa"/>
              <w:left w:w="55" w:type="dxa"/>
              <w:bottom w:w="55" w:type="dxa"/>
              <w:right w:w="55" w:type="dxa"/>
            </w:tcMar>
            <w:vAlign w:val="center"/>
          </w:tcPr>
          <w:p w14:paraId="265BB1B1">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model</w:t>
            </w:r>
          </w:p>
        </w:tc>
        <w:tc>
          <w:tcPr>
            <w:tcW w:w="1080" w:type="dxa"/>
            <w:tcBorders>
              <w:top w:val="single" w:color="000000" w:sz="12" w:space="0"/>
              <w:left w:val="nil"/>
              <w:bottom w:val="single" w:color="000000" w:sz="4" w:space="0"/>
              <w:right w:val="nil"/>
            </w:tcBorders>
            <w:shd w:val="clear" w:color="auto" w:fill="EAF2F8"/>
            <w:noWrap/>
            <w:tcMar>
              <w:top w:w="55" w:type="dxa"/>
              <w:left w:w="55" w:type="dxa"/>
              <w:bottom w:w="55" w:type="dxa"/>
              <w:right w:w="55" w:type="dxa"/>
            </w:tcMar>
            <w:vAlign w:val="center"/>
          </w:tcPr>
          <w:p w14:paraId="76D6E69B">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Exposure</w:t>
            </w:r>
          </w:p>
        </w:tc>
        <w:tc>
          <w:tcPr>
            <w:tcW w:w="1080" w:type="dxa"/>
            <w:tcBorders>
              <w:top w:val="single" w:color="000000" w:sz="12" w:space="0"/>
              <w:left w:val="nil"/>
              <w:bottom w:val="single" w:color="000000" w:sz="4" w:space="0"/>
              <w:right w:val="nil"/>
            </w:tcBorders>
            <w:shd w:val="clear" w:color="auto" w:fill="EAF2F8"/>
            <w:noWrap/>
            <w:tcMar>
              <w:top w:w="55" w:type="dxa"/>
              <w:left w:w="55" w:type="dxa"/>
              <w:bottom w:w="55" w:type="dxa"/>
              <w:right w:w="55" w:type="dxa"/>
            </w:tcMar>
            <w:vAlign w:val="center"/>
          </w:tcPr>
          <w:p w14:paraId="544A567A">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OR (95% CI)</w:t>
            </w:r>
          </w:p>
        </w:tc>
        <w:tc>
          <w:tcPr>
            <w:tcW w:w="1080" w:type="dxa"/>
            <w:tcBorders>
              <w:top w:val="single" w:color="000000" w:sz="12" w:space="0"/>
              <w:left w:val="nil"/>
              <w:bottom w:val="single" w:color="000000" w:sz="4" w:space="0"/>
              <w:right w:val="nil"/>
            </w:tcBorders>
            <w:shd w:val="clear" w:color="auto" w:fill="EAF2F8"/>
            <w:noWrap/>
            <w:tcMar>
              <w:top w:w="55" w:type="dxa"/>
              <w:left w:w="55" w:type="dxa"/>
              <w:bottom w:w="55" w:type="dxa"/>
              <w:right w:w="55" w:type="dxa"/>
            </w:tcMar>
            <w:vAlign w:val="center"/>
          </w:tcPr>
          <w:p w14:paraId="2E8DCBA9">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281349AA">
        <w:trPr>
          <w:trHeight w:val="336" w:hRule="atLeast"/>
          <w:jc w:val="center"/>
        </w:trPr>
        <w:tc>
          <w:tcPr>
            <w:tcW w:w="0" w:type="auto"/>
            <w:tcBorders>
              <w:top w:val="single" w:color="000000" w:sz="4" w:space="0"/>
              <w:left w:val="nil"/>
              <w:bottom w:val="nil"/>
              <w:right w:val="nil"/>
            </w:tcBorders>
            <w:shd w:val="clear" w:color="auto" w:fill="FFFFFF"/>
            <w:noWrap/>
            <w:tcMar>
              <w:top w:w="55" w:type="dxa"/>
              <w:left w:w="55" w:type="dxa"/>
              <w:bottom w:w="55" w:type="dxa"/>
              <w:right w:w="55" w:type="dxa"/>
            </w:tcMar>
            <w:vAlign w:val="center"/>
          </w:tcPr>
          <w:p w14:paraId="35ECBAE1">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Medication escalation model (Hb-adjusted)</w:t>
            </w:r>
          </w:p>
        </w:tc>
        <w:tc>
          <w:tcPr>
            <w:tcW w:w="0" w:type="auto"/>
            <w:tcBorders>
              <w:top w:val="single" w:color="000000" w:sz="4" w:space="0"/>
              <w:left w:val="nil"/>
              <w:bottom w:val="nil"/>
              <w:right w:val="nil"/>
            </w:tcBorders>
            <w:shd w:val="clear" w:color="auto" w:fill="FFFFFF"/>
            <w:noWrap/>
            <w:tcMar>
              <w:top w:w="55" w:type="dxa"/>
              <w:left w:w="55" w:type="dxa"/>
              <w:bottom w:w="55" w:type="dxa"/>
              <w:right w:w="55" w:type="dxa"/>
            </w:tcMar>
            <w:vAlign w:val="center"/>
          </w:tcPr>
          <w:p w14:paraId="1DF9B68E">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Previous-wave ferritin (log)</w:t>
            </w:r>
          </w:p>
        </w:tc>
        <w:tc>
          <w:tcPr>
            <w:tcW w:w="0" w:type="auto"/>
            <w:tcBorders>
              <w:top w:val="single" w:color="000000" w:sz="4" w:space="0"/>
              <w:left w:val="nil"/>
              <w:bottom w:val="nil"/>
              <w:right w:val="nil"/>
            </w:tcBorders>
            <w:shd w:val="clear" w:color="auto" w:fill="FFFFFF"/>
            <w:noWrap/>
            <w:tcMar>
              <w:top w:w="55" w:type="dxa"/>
              <w:left w:w="55" w:type="dxa"/>
              <w:bottom w:w="55" w:type="dxa"/>
              <w:right w:w="55" w:type="dxa"/>
            </w:tcMar>
            <w:vAlign w:val="center"/>
          </w:tcPr>
          <w:p w14:paraId="2B9E48D1">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1.14 (0.85, 1.53)</w:t>
            </w:r>
          </w:p>
        </w:tc>
        <w:tc>
          <w:tcPr>
            <w:tcW w:w="0" w:type="auto"/>
            <w:tcBorders>
              <w:top w:val="single" w:color="000000" w:sz="4" w:space="0"/>
              <w:left w:val="nil"/>
              <w:bottom w:val="nil"/>
              <w:right w:val="nil"/>
            </w:tcBorders>
            <w:shd w:val="clear" w:color="auto" w:fill="FFFFFF"/>
            <w:noWrap/>
            <w:tcMar>
              <w:top w:w="55" w:type="dxa"/>
              <w:left w:w="55" w:type="dxa"/>
              <w:bottom w:w="55" w:type="dxa"/>
              <w:right w:w="55" w:type="dxa"/>
            </w:tcMar>
            <w:vAlign w:val="center"/>
          </w:tcPr>
          <w:p w14:paraId="53FE704B">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0.371</w:t>
            </w:r>
          </w:p>
        </w:tc>
      </w:tr>
      <w:tr w14:paraId="57D286C5">
        <w:trPr>
          <w:trHeight w:val="336" w:hRule="atLeast"/>
          <w:jc w:val="center"/>
        </w:trPr>
        <w:tc>
          <w:tcPr>
            <w:tcW w:w="0" w:type="auto"/>
            <w:tcBorders>
              <w:top w:val="nil"/>
              <w:left w:val="nil"/>
              <w:bottom w:val="nil"/>
              <w:right w:val="nil"/>
            </w:tcBorders>
            <w:shd w:val="clear" w:color="auto" w:fill="FFFFFF"/>
            <w:noWrap/>
            <w:tcMar>
              <w:top w:w="55" w:type="dxa"/>
              <w:left w:w="55" w:type="dxa"/>
              <w:bottom w:w="55" w:type="dxa"/>
              <w:right w:w="55" w:type="dxa"/>
            </w:tcMar>
            <w:vAlign w:val="center"/>
          </w:tcPr>
          <w:p w14:paraId="72ED48B7">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Medication escalation model (Hb-adjusted)</w:t>
            </w:r>
          </w:p>
        </w:tc>
        <w:tc>
          <w:tcPr>
            <w:tcW w:w="0" w:type="auto"/>
            <w:tcBorders>
              <w:top w:val="nil"/>
              <w:left w:val="nil"/>
              <w:bottom w:val="nil"/>
              <w:right w:val="nil"/>
            </w:tcBorders>
            <w:shd w:val="clear" w:color="auto" w:fill="FFFFFF"/>
            <w:noWrap/>
            <w:tcMar>
              <w:top w:w="55" w:type="dxa"/>
              <w:left w:w="55" w:type="dxa"/>
              <w:bottom w:w="55" w:type="dxa"/>
              <w:right w:w="55" w:type="dxa"/>
            </w:tcMar>
            <w:vAlign w:val="center"/>
          </w:tcPr>
          <w:p w14:paraId="188CCBFD">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Previous-wave hemoglobin</w:t>
            </w:r>
          </w:p>
        </w:tc>
        <w:tc>
          <w:tcPr>
            <w:tcW w:w="0" w:type="auto"/>
            <w:tcBorders>
              <w:top w:val="nil"/>
              <w:left w:val="nil"/>
              <w:bottom w:val="nil"/>
              <w:right w:val="nil"/>
            </w:tcBorders>
            <w:shd w:val="clear" w:color="auto" w:fill="FFFFFF"/>
            <w:noWrap/>
            <w:tcMar>
              <w:top w:w="55" w:type="dxa"/>
              <w:left w:w="55" w:type="dxa"/>
              <w:bottom w:w="55" w:type="dxa"/>
              <w:right w:w="55" w:type="dxa"/>
            </w:tcMar>
            <w:vAlign w:val="center"/>
          </w:tcPr>
          <w:p w14:paraId="730A1D28">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0.98 (0.72, 1.35)</w:t>
            </w:r>
          </w:p>
        </w:tc>
        <w:tc>
          <w:tcPr>
            <w:tcW w:w="0" w:type="auto"/>
            <w:tcBorders>
              <w:top w:val="nil"/>
              <w:left w:val="nil"/>
              <w:bottom w:val="nil"/>
              <w:right w:val="nil"/>
            </w:tcBorders>
            <w:shd w:val="clear" w:color="auto" w:fill="FFFFFF"/>
            <w:noWrap/>
            <w:tcMar>
              <w:top w:w="55" w:type="dxa"/>
              <w:left w:w="55" w:type="dxa"/>
              <w:bottom w:w="55" w:type="dxa"/>
              <w:right w:w="55" w:type="dxa"/>
            </w:tcMar>
            <w:vAlign w:val="center"/>
          </w:tcPr>
          <w:p w14:paraId="62986A72">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0.923</w:t>
            </w:r>
          </w:p>
        </w:tc>
      </w:tr>
      <w:tr w14:paraId="3A2A34D0">
        <w:trPr>
          <w:trHeight w:val="336" w:hRule="atLeast"/>
          <w:jc w:val="center"/>
        </w:trPr>
        <w:tc>
          <w:tcPr>
            <w:tcW w:w="0" w:type="auto"/>
            <w:tcBorders>
              <w:top w:val="nil"/>
              <w:left w:val="nil"/>
              <w:bottom w:val="nil"/>
              <w:right w:val="nil"/>
            </w:tcBorders>
            <w:shd w:val="clear" w:color="auto" w:fill="FFFFFF"/>
            <w:noWrap/>
            <w:tcMar>
              <w:top w:w="55" w:type="dxa"/>
              <w:left w:w="55" w:type="dxa"/>
              <w:bottom w:w="55" w:type="dxa"/>
              <w:right w:w="55" w:type="dxa"/>
            </w:tcMar>
            <w:vAlign w:val="center"/>
          </w:tcPr>
          <w:p w14:paraId="77A393C9">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Discrete-time medication model (Hb-adjusted)</w:t>
            </w:r>
          </w:p>
        </w:tc>
        <w:tc>
          <w:tcPr>
            <w:tcW w:w="0" w:type="auto"/>
            <w:tcBorders>
              <w:top w:val="nil"/>
              <w:left w:val="nil"/>
              <w:bottom w:val="nil"/>
              <w:right w:val="nil"/>
            </w:tcBorders>
            <w:shd w:val="clear" w:color="auto" w:fill="FFFFFF"/>
            <w:noWrap/>
            <w:tcMar>
              <w:top w:w="55" w:type="dxa"/>
              <w:left w:w="55" w:type="dxa"/>
              <w:bottom w:w="55" w:type="dxa"/>
              <w:right w:w="55" w:type="dxa"/>
            </w:tcMar>
            <w:vAlign w:val="center"/>
          </w:tcPr>
          <w:p w14:paraId="5B16DD7A">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Previous-wave ferritin (log)</w:t>
            </w:r>
          </w:p>
        </w:tc>
        <w:tc>
          <w:tcPr>
            <w:tcW w:w="0" w:type="auto"/>
            <w:tcBorders>
              <w:top w:val="nil"/>
              <w:left w:val="nil"/>
              <w:bottom w:val="nil"/>
              <w:right w:val="nil"/>
            </w:tcBorders>
            <w:shd w:val="clear" w:color="auto" w:fill="FFFFFF"/>
            <w:noWrap/>
            <w:tcMar>
              <w:top w:w="55" w:type="dxa"/>
              <w:left w:w="55" w:type="dxa"/>
              <w:bottom w:w="55" w:type="dxa"/>
              <w:right w:w="55" w:type="dxa"/>
            </w:tcMar>
            <w:vAlign w:val="center"/>
          </w:tcPr>
          <w:p w14:paraId="67B60F70">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1.20 (0.88, 1.65)</w:t>
            </w:r>
          </w:p>
        </w:tc>
        <w:tc>
          <w:tcPr>
            <w:tcW w:w="0" w:type="auto"/>
            <w:tcBorders>
              <w:top w:val="nil"/>
              <w:left w:val="nil"/>
              <w:bottom w:val="nil"/>
              <w:right w:val="nil"/>
            </w:tcBorders>
            <w:shd w:val="clear" w:color="auto" w:fill="FFFFFF"/>
            <w:noWrap/>
            <w:tcMar>
              <w:top w:w="55" w:type="dxa"/>
              <w:left w:w="55" w:type="dxa"/>
              <w:bottom w:w="55" w:type="dxa"/>
              <w:right w:w="55" w:type="dxa"/>
            </w:tcMar>
            <w:vAlign w:val="center"/>
          </w:tcPr>
          <w:p w14:paraId="0727CDE8">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0.247</w:t>
            </w:r>
          </w:p>
        </w:tc>
      </w:tr>
      <w:tr w14:paraId="2B5DC1FD">
        <w:trPr>
          <w:trHeight w:val="336" w:hRule="atLeast"/>
          <w:jc w:val="center"/>
        </w:trPr>
        <w:tc>
          <w:tcPr>
            <w:tcW w:w="0" w:type="auto"/>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1831D09A">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Discrete-time medication model (Hb-adjusted)</w:t>
            </w:r>
          </w:p>
        </w:tc>
        <w:tc>
          <w:tcPr>
            <w:tcW w:w="0" w:type="auto"/>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56D6162F">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Previous-wave hemoglobin</w:t>
            </w:r>
          </w:p>
        </w:tc>
        <w:tc>
          <w:tcPr>
            <w:tcW w:w="0" w:type="auto"/>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550A2FFD">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0.89 (0.64, 1.25)</w:t>
            </w:r>
          </w:p>
        </w:tc>
        <w:tc>
          <w:tcPr>
            <w:tcW w:w="0" w:type="auto"/>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7B4F953F">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0.511</w:t>
            </w:r>
          </w:p>
        </w:tc>
      </w:tr>
    </w:tbl>
    <w:p w14:paraId="1EC92816">
      <w:pPr>
        <w:keepNext w:val="0"/>
        <w:keepLines w:val="0"/>
        <w:widowControl/>
        <w:suppressLineNumbers w:val="0"/>
        <w:spacing w:before="0" w:after="120" w:line="240" w:lineRule="auto"/>
        <w:rPr>
          <w:rFonts w:hint="default" w:ascii="Times New Roman Regular" w:hAnsi="Times New Roman Regular" w:cs="Times New Roman Regular"/>
          <w:sz w:val="22"/>
          <w:szCs w:val="22"/>
        </w:rPr>
      </w:pPr>
      <w:r>
        <w:rPr>
          <w:rStyle w:val="6"/>
          <w:rFonts w:hint="default" w:ascii="Times New Roman" w:hAnsi="Times New Roman" w:eastAsia="Times New Roman" w:cs="Times New Roman Regular"/>
          <w:sz w:val="20"/>
          <w:szCs w:val="22"/>
        </w:rPr>
        <w:t>Footnote:</w:t>
      </w:r>
      <w:r>
        <w:rPr>
          <w:rFonts w:hint="default" w:ascii="Times New Roman" w:hAnsi="Times New Roman" w:eastAsia="Times New Roman" w:cs="Times New Roman Regular"/>
          <w:sz w:val="20"/>
          <w:szCs w:val="22"/>
        </w:rPr>
        <w:br w:type="textWrapping"/>
      </w:r>
      <w:r>
        <w:rPr>
          <w:rFonts w:hint="default" w:ascii="Times New Roman" w:hAnsi="Times New Roman" w:eastAsia="Times New Roman" w:cs="Times New Roman Regular"/>
          <w:sz w:val="20"/>
          <w:szCs w:val="22"/>
        </w:rPr>
        <w:t xml:space="preserve">Odds ratios (ORs), 95% confidence intervals (CIs), and </w:t>
      </w:r>
      <w:r>
        <w:rPr>
          <w:rStyle w:val="7"/>
          <w:rFonts w:hint="default" w:ascii="Times New Roman" w:hAnsi="Times New Roman" w:eastAsia="Times New Roman" w:cs="Times New Roman Regular"/>
          <w:sz w:val="20"/>
          <w:szCs w:val="22"/>
        </w:rPr>
        <w:t>P</w:t>
      </w:r>
      <w:r>
        <w:rPr>
          <w:rFonts w:hint="default" w:ascii="Times New Roman" w:hAnsi="Times New Roman" w:eastAsia="Times New Roman" w:cs="Times New Roman Regular"/>
          <w:sz w:val="20"/>
          <w:szCs w:val="22"/>
        </w:rPr>
        <w:t xml:space="preserve"> values are shown from the logistic regression model additionally adjusted for hemoglobin (Hb). The analytic sample was restricted to participants not using asthma medication at the previous wave and may differ slightly from that of the primary model because of additional missingness in Hb. Models were adjusted for previous-wave symptom burden, age, sex, smoking status, body mass index (BMI), heart disease, diabetes, log2-transformed C-reactive protein (CRP), and Hb. This model was used to assess whether the association between previous-wave ferritin and subsequent medication initiation/escalation risk was independent of anemia.</w:t>
      </w:r>
    </w:p>
    <w:p w14:paraId="547476BD">
      <w:pPr>
        <w:pStyle w:val="3"/>
        <w:keepNext w:val="0"/>
        <w:keepLines w:val="0"/>
        <w:widowControl/>
        <w:suppressLineNumbers w:val="0"/>
        <w:spacing w:before="0" w:after="0" w:line="240" w:lineRule="auto"/>
        <w:rPr>
          <w:rFonts w:hint="default" w:ascii="Times New Roman Regular" w:hAnsi="Times New Roman Regular" w:cs="Times New Roman Regular"/>
          <w:b w:val="0"/>
          <w:bCs w:val="0"/>
          <w:color w:val="auto"/>
          <w:sz w:val="22"/>
          <w:szCs w:val="22"/>
        </w:rPr>
      </w:pPr>
    </w:p>
    <w:p w14:paraId="48272803">
      <w:pPr>
        <w:pStyle w:val="3"/>
        <w:keepNext w:val="0"/>
        <w:keepLines w:val="0"/>
        <w:widowControl/>
        <w:suppressLineNumbers w:val="0"/>
        <w:spacing w:before="0" w:after="0" w:line="240" w:lineRule="auto"/>
        <w:rPr>
          <w:rFonts w:hint="default" w:ascii="Times New Roman Regular" w:hAnsi="Times New Roman Regular" w:cs="Times New Roman Regular"/>
          <w:b/>
          <w:bCs/>
          <w:color w:val="auto"/>
          <w:sz w:val="22"/>
          <w:szCs w:val="22"/>
        </w:rPr>
      </w:pPr>
    </w:p>
    <w:p w14:paraId="3E86BE32">
      <w:pPr>
        <w:pStyle w:val="3"/>
        <w:keepNext w:val="0"/>
        <w:keepLines w:val="0"/>
        <w:widowControl/>
        <w:suppressLineNumbers w:val="0"/>
        <w:spacing w:before="0" w:after="0" w:line="240" w:lineRule="auto"/>
        <w:rPr>
          <w:rFonts w:hint="default" w:ascii="Times New Roman Regular" w:hAnsi="Times New Roman Regular" w:cs="Times New Roman Regular"/>
          <w:b/>
          <w:bCs/>
          <w:color w:val="auto"/>
          <w:sz w:val="22"/>
          <w:szCs w:val="22"/>
        </w:rPr>
      </w:pPr>
    </w:p>
    <w:p w14:paraId="5E726812">
      <w:pPr>
        <w:pStyle w:val="3"/>
        <w:keepNext w:val="0"/>
        <w:keepLines w:val="0"/>
        <w:widowControl/>
        <w:suppressLineNumbers w:val="0"/>
        <w:spacing w:before="0" w:after="0" w:line="240" w:lineRule="auto"/>
        <w:rPr>
          <w:rFonts w:hint="default" w:ascii="Times New Roman Regular" w:hAnsi="Times New Roman Regular" w:cs="Times New Roman Regular"/>
          <w:b/>
          <w:bCs/>
          <w:color w:val="auto"/>
          <w:sz w:val="22"/>
          <w:szCs w:val="22"/>
        </w:rPr>
      </w:pPr>
    </w:p>
    <w:p w14:paraId="6016AFEA">
      <w:pPr>
        <w:pStyle w:val="3"/>
        <w:keepNext w:val="0"/>
        <w:keepLines w:val="0"/>
        <w:widowControl/>
        <w:suppressLineNumbers w:val="0"/>
        <w:spacing w:before="0" w:after="0" w:line="240" w:lineRule="auto"/>
        <w:rPr>
          <w:rFonts w:hint="default" w:ascii="Times New Roman Regular" w:hAnsi="Times New Roman Regular" w:cs="Times New Roman Regular"/>
          <w:b/>
          <w:bCs/>
          <w:color w:val="auto"/>
          <w:sz w:val="22"/>
          <w:szCs w:val="22"/>
        </w:rPr>
      </w:pPr>
    </w:p>
    <w:p w14:paraId="2FE52CC1">
      <w:pPr>
        <w:pStyle w:val="3"/>
        <w:keepNext w:val="0"/>
        <w:keepLines w:val="0"/>
        <w:widowControl/>
        <w:suppressLineNumbers w:val="0"/>
        <w:spacing w:before="0" w:after="0" w:line="240" w:lineRule="auto"/>
        <w:rPr>
          <w:rFonts w:hint="default" w:ascii="Times New Roman Regular" w:hAnsi="Times New Roman Regular" w:cs="Times New Roman Regular"/>
          <w:b/>
          <w:bCs/>
          <w:color w:val="auto"/>
          <w:sz w:val="22"/>
          <w:szCs w:val="22"/>
        </w:rPr>
      </w:pPr>
    </w:p>
    <w:p w14:paraId="654551D4">
      <w:pPr>
        <w:spacing w:before="0" w:after="0" w:line="240" w:lineRule="auto"/>
        <w:rPr>
          <w:rFonts w:hint="default" w:ascii="Times New Roman Regular" w:hAnsi="Times New Roman Regular" w:cs="Times New Roman Regular"/>
          <w:b/>
          <w:bCs/>
          <w:color w:val="auto"/>
          <w:sz w:val="22"/>
          <w:szCs w:val="22"/>
        </w:rPr>
      </w:pPr>
      <w:r>
        <w:rPr>
          <w:rFonts w:hint="default" w:ascii="Times New Roman Regular" w:hAnsi="Times New Roman Regular" w:cs="Times New Roman Regular"/>
          <w:b/>
          <w:bCs/>
          <w:color w:val="auto"/>
          <w:sz w:val="22"/>
          <w:szCs w:val="22"/>
        </w:rPr>
        <w:br w:type="page"/>
      </w:r>
    </w:p>
    <w:p w14:paraId="6BC8DBCA">
      <w:pPr>
        <w:pStyle w:val="2"/>
        <w:keepNext/>
        <w:keepLines w:val="0"/>
        <w:widowControl/>
        <w:suppressLineNumbers w:val="0"/>
        <w:spacing w:before="0" w:after="120" w:line="240" w:lineRule="auto"/>
        <w:rPr>
          <w:rFonts w:hint="default" w:ascii="Times New Roman Regular" w:hAnsi="Times New Roman Regular" w:cs="Times New Roman Regular"/>
          <w:b/>
          <w:bCs/>
          <w:color w:val="auto"/>
          <w:sz w:val="22"/>
          <w:szCs w:val="22"/>
          <w:highlight w:val="none"/>
        </w:rPr>
      </w:pPr>
      <w:r>
        <w:rPr>
          <w:rFonts w:hint="default" w:ascii="Times New Roman" w:hAnsi="Times New Roman" w:eastAsia="Times New Roman" w:cs="Times New Roman Regular"/>
          <w:b/>
          <w:bCs/>
          <w:color w:val="auto"/>
          <w:sz w:val="20"/>
          <w:szCs w:val="22"/>
        </w:rPr>
        <w:t>Supplementary Table S</w:t>
      </w:r>
      <w:r>
        <w:rPr>
          <w:rFonts w:hint="default" w:ascii="Times New Roman" w:hAnsi="Times New Roman" w:eastAsia="Times New Roman" w:cs="Times New Roman Regular"/>
          <w:b/>
          <w:bCs/>
          <w:color w:val="auto"/>
          <w:sz w:val="20"/>
          <w:szCs w:val="22"/>
          <w:lang w:val="en-US" w:eastAsia="zh-CN"/>
        </w:rPr>
        <w:t>3</w:t>
      </w:r>
      <w:r>
        <w:rPr>
          <w:rFonts w:hint="default" w:ascii="Times New Roman" w:hAnsi="Times New Roman" w:eastAsia="Times New Roman" w:cs="Times New Roman Regular"/>
          <w:b/>
          <w:bCs/>
          <w:color w:val="auto"/>
          <w:sz w:val="20"/>
          <w:szCs w:val="22"/>
        </w:rPr>
        <w:t xml:space="preserve">. Ferritin×smoking interaction model for the medication </w:t>
      </w:r>
      <w:r>
        <w:rPr>
          <w:rFonts w:hint="default" w:ascii="Times New Roman" w:hAnsi="Times New Roman" w:eastAsia="Times New Roman" w:cs="Times New Roman Regular"/>
          <w:b/>
          <w:bCs/>
          <w:color w:val="auto"/>
          <w:sz w:val="20"/>
          <w:szCs w:val="22"/>
          <w:highlight w:val="none"/>
        </w:rPr>
        <w:t>initiation/escalation proxy outcome</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022"/>
        <w:gridCol w:w="3777"/>
        <w:gridCol w:w="1567"/>
      </w:tblGrid>
      <w:tr w14:paraId="2B2A52CC">
        <w:trPr>
          <w:trHeight w:val="193" w:hRule="atLeast"/>
          <w:tblHeader/>
          <w:jc w:val="center"/>
        </w:trPr>
        <w:tc>
          <w:tcPr>
            <w:tcW w:w="313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E012DDD">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Variable</w:t>
            </w:r>
          </w:p>
        </w:tc>
        <w:tc>
          <w:tcPr>
            <w:tcW w:w="1314"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05CAAEFF">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OR (95% CI)</w:t>
            </w:r>
          </w:p>
        </w:tc>
        <w:tc>
          <w:tcPr>
            <w:tcW w:w="545"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09AA6A9E">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7EBA3D26">
        <w:trPr>
          <w:trHeight w:val="193" w:hRule="atLeast"/>
          <w:jc w:val="center"/>
        </w:trPr>
        <w:tc>
          <w:tcPr>
            <w:tcW w:w="313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6CF8A1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Previous-wave log2 ferritin</w:t>
            </w:r>
          </w:p>
        </w:tc>
        <w:tc>
          <w:tcPr>
            <w:tcW w:w="1314"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17E6908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1.22 (0.76, 1.96)</w:t>
            </w:r>
          </w:p>
        </w:tc>
        <w:tc>
          <w:tcPr>
            <w:tcW w:w="545"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A41049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0.399</w:t>
            </w:r>
          </w:p>
        </w:tc>
      </w:tr>
      <w:tr w14:paraId="24FCED39">
        <w:trPr>
          <w:trHeight w:val="193" w:hRule="atLeast"/>
          <w:jc w:val="center"/>
        </w:trPr>
        <w:tc>
          <w:tcPr>
            <w:tcW w:w="3139" w:type="pct"/>
            <w:tcBorders>
              <w:top w:val="nil"/>
              <w:left w:val="nil"/>
              <w:bottom w:val="nil"/>
              <w:right w:val="nil"/>
            </w:tcBorders>
            <w:shd w:val="clear" w:color="auto" w:fill="FFFFFF"/>
            <w:tcMar>
              <w:top w:w="55" w:type="dxa"/>
              <w:left w:w="55" w:type="dxa"/>
              <w:bottom w:w="55" w:type="dxa"/>
              <w:right w:w="55" w:type="dxa"/>
            </w:tcMar>
            <w:vAlign w:val="center"/>
          </w:tcPr>
          <w:p w14:paraId="7458658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Current smoking</w:t>
            </w:r>
          </w:p>
        </w:tc>
        <w:tc>
          <w:tcPr>
            <w:tcW w:w="1314" w:type="pct"/>
            <w:tcBorders>
              <w:top w:val="nil"/>
              <w:left w:val="nil"/>
              <w:bottom w:val="nil"/>
              <w:right w:val="nil"/>
            </w:tcBorders>
            <w:shd w:val="clear" w:color="auto" w:fill="FFFFFF"/>
            <w:tcMar>
              <w:top w:w="55" w:type="dxa"/>
              <w:left w:w="55" w:type="dxa"/>
              <w:bottom w:w="55" w:type="dxa"/>
              <w:right w:w="55" w:type="dxa"/>
            </w:tcMar>
            <w:vAlign w:val="center"/>
          </w:tcPr>
          <w:p w14:paraId="66413D1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 2.34 (0.05, 107.34)</w:t>
            </w:r>
          </w:p>
        </w:tc>
        <w:tc>
          <w:tcPr>
            <w:tcW w:w="545" w:type="pct"/>
            <w:tcBorders>
              <w:top w:val="nil"/>
              <w:left w:val="nil"/>
              <w:bottom w:val="nil"/>
              <w:right w:val="nil"/>
            </w:tcBorders>
            <w:shd w:val="clear" w:color="auto" w:fill="FFFFFF"/>
            <w:tcMar>
              <w:top w:w="55" w:type="dxa"/>
              <w:left w:w="55" w:type="dxa"/>
              <w:bottom w:w="55" w:type="dxa"/>
              <w:right w:w="55" w:type="dxa"/>
            </w:tcMar>
            <w:vAlign w:val="center"/>
          </w:tcPr>
          <w:p w14:paraId="120A775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0.664</w:t>
            </w:r>
          </w:p>
        </w:tc>
      </w:tr>
      <w:tr w14:paraId="01C96821">
        <w:trPr>
          <w:trHeight w:val="193" w:hRule="atLeast"/>
          <w:jc w:val="center"/>
        </w:trPr>
        <w:tc>
          <w:tcPr>
            <w:tcW w:w="3139" w:type="pct"/>
            <w:tcBorders>
              <w:top w:val="nil"/>
              <w:left w:val="nil"/>
              <w:bottom w:val="nil"/>
              <w:right w:val="nil"/>
            </w:tcBorders>
            <w:shd w:val="clear" w:color="auto" w:fill="FFFFFF"/>
            <w:tcMar>
              <w:top w:w="55" w:type="dxa"/>
              <w:left w:w="55" w:type="dxa"/>
              <w:bottom w:w="55" w:type="dxa"/>
              <w:right w:w="55" w:type="dxa"/>
            </w:tcMar>
            <w:vAlign w:val="center"/>
          </w:tcPr>
          <w:p w14:paraId="61EF9ED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Previous-wave symptom burden</w:t>
            </w:r>
          </w:p>
        </w:tc>
        <w:tc>
          <w:tcPr>
            <w:tcW w:w="1314" w:type="pct"/>
            <w:tcBorders>
              <w:top w:val="nil"/>
              <w:left w:val="nil"/>
              <w:bottom w:val="nil"/>
              <w:right w:val="nil"/>
            </w:tcBorders>
            <w:shd w:val="clear" w:color="auto" w:fill="FFFFFF"/>
            <w:tcMar>
              <w:top w:w="55" w:type="dxa"/>
              <w:left w:w="55" w:type="dxa"/>
              <w:bottom w:w="55" w:type="dxa"/>
              <w:right w:w="55" w:type="dxa"/>
            </w:tcMar>
            <w:vAlign w:val="center"/>
          </w:tcPr>
          <w:p w14:paraId="5A53612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1.15 (0.80, 1.66)</w:t>
            </w:r>
          </w:p>
        </w:tc>
        <w:tc>
          <w:tcPr>
            <w:tcW w:w="545" w:type="pct"/>
            <w:tcBorders>
              <w:top w:val="nil"/>
              <w:left w:val="nil"/>
              <w:bottom w:val="nil"/>
              <w:right w:val="nil"/>
            </w:tcBorders>
            <w:shd w:val="clear" w:color="auto" w:fill="FFFFFF"/>
            <w:tcMar>
              <w:top w:w="55" w:type="dxa"/>
              <w:left w:w="55" w:type="dxa"/>
              <w:bottom w:w="55" w:type="dxa"/>
              <w:right w:w="55" w:type="dxa"/>
            </w:tcMar>
            <w:vAlign w:val="center"/>
          </w:tcPr>
          <w:p w14:paraId="32E1A26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0.44</w:t>
            </w:r>
          </w:p>
        </w:tc>
      </w:tr>
      <w:tr w14:paraId="28D5FA34">
        <w:trPr>
          <w:trHeight w:val="193" w:hRule="atLeast"/>
          <w:jc w:val="center"/>
        </w:trPr>
        <w:tc>
          <w:tcPr>
            <w:tcW w:w="3139" w:type="pct"/>
            <w:tcBorders>
              <w:top w:val="nil"/>
              <w:left w:val="nil"/>
              <w:bottom w:val="nil"/>
              <w:right w:val="nil"/>
            </w:tcBorders>
            <w:shd w:val="clear" w:color="auto" w:fill="FFFFFF"/>
            <w:tcMar>
              <w:top w:w="55" w:type="dxa"/>
              <w:left w:w="55" w:type="dxa"/>
              <w:bottom w:w="55" w:type="dxa"/>
              <w:right w:w="55" w:type="dxa"/>
            </w:tcMar>
            <w:vAlign w:val="center"/>
          </w:tcPr>
          <w:p w14:paraId="0A52FC2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Age</w:t>
            </w:r>
          </w:p>
        </w:tc>
        <w:tc>
          <w:tcPr>
            <w:tcW w:w="1314" w:type="pct"/>
            <w:tcBorders>
              <w:top w:val="nil"/>
              <w:left w:val="nil"/>
              <w:bottom w:val="nil"/>
              <w:right w:val="nil"/>
            </w:tcBorders>
            <w:shd w:val="clear" w:color="auto" w:fill="FFFFFF"/>
            <w:tcMar>
              <w:top w:w="55" w:type="dxa"/>
              <w:left w:w="55" w:type="dxa"/>
              <w:bottom w:w="55" w:type="dxa"/>
              <w:right w:w="55" w:type="dxa"/>
            </w:tcMar>
            <w:vAlign w:val="center"/>
          </w:tcPr>
          <w:p w14:paraId="5644A10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1.03 (0.99, 1.06)</w:t>
            </w:r>
          </w:p>
        </w:tc>
        <w:tc>
          <w:tcPr>
            <w:tcW w:w="545" w:type="pct"/>
            <w:tcBorders>
              <w:top w:val="nil"/>
              <w:left w:val="nil"/>
              <w:bottom w:val="nil"/>
              <w:right w:val="nil"/>
            </w:tcBorders>
            <w:shd w:val="clear" w:color="auto" w:fill="FFFFFF"/>
            <w:tcMar>
              <w:top w:w="55" w:type="dxa"/>
              <w:left w:w="55" w:type="dxa"/>
              <w:bottom w:w="55" w:type="dxa"/>
              <w:right w:w="55" w:type="dxa"/>
            </w:tcMar>
            <w:vAlign w:val="center"/>
          </w:tcPr>
          <w:p w14:paraId="3C85BF3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0.138</w:t>
            </w:r>
          </w:p>
        </w:tc>
      </w:tr>
      <w:tr w14:paraId="29C9CF7C">
        <w:trPr>
          <w:trHeight w:val="193" w:hRule="atLeast"/>
          <w:jc w:val="center"/>
        </w:trPr>
        <w:tc>
          <w:tcPr>
            <w:tcW w:w="3139" w:type="pct"/>
            <w:tcBorders>
              <w:top w:val="nil"/>
              <w:left w:val="nil"/>
              <w:bottom w:val="nil"/>
              <w:right w:val="nil"/>
            </w:tcBorders>
            <w:shd w:val="clear" w:color="auto" w:fill="FFFFFF"/>
            <w:tcMar>
              <w:top w:w="55" w:type="dxa"/>
              <w:left w:w="55" w:type="dxa"/>
              <w:bottom w:w="55" w:type="dxa"/>
              <w:right w:w="55" w:type="dxa"/>
            </w:tcMar>
            <w:vAlign w:val="center"/>
          </w:tcPr>
          <w:p w14:paraId="291D9A3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Female sex</w:t>
            </w:r>
          </w:p>
        </w:tc>
        <w:tc>
          <w:tcPr>
            <w:tcW w:w="1314" w:type="pct"/>
            <w:tcBorders>
              <w:top w:val="nil"/>
              <w:left w:val="nil"/>
              <w:bottom w:val="nil"/>
              <w:right w:val="nil"/>
            </w:tcBorders>
            <w:shd w:val="clear" w:color="auto" w:fill="FFFFFF"/>
            <w:tcMar>
              <w:top w:w="55" w:type="dxa"/>
              <w:left w:w="55" w:type="dxa"/>
              <w:bottom w:w="55" w:type="dxa"/>
              <w:right w:w="55" w:type="dxa"/>
            </w:tcMar>
            <w:vAlign w:val="center"/>
          </w:tcPr>
          <w:p w14:paraId="1BCC12D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1.20 (0.62, 2.34)</w:t>
            </w:r>
          </w:p>
        </w:tc>
        <w:tc>
          <w:tcPr>
            <w:tcW w:w="545" w:type="pct"/>
            <w:tcBorders>
              <w:top w:val="nil"/>
              <w:left w:val="nil"/>
              <w:bottom w:val="nil"/>
              <w:right w:val="nil"/>
            </w:tcBorders>
            <w:shd w:val="clear" w:color="auto" w:fill="FFFFFF"/>
            <w:tcMar>
              <w:top w:w="55" w:type="dxa"/>
              <w:left w:w="55" w:type="dxa"/>
              <w:bottom w:w="55" w:type="dxa"/>
              <w:right w:w="55" w:type="dxa"/>
            </w:tcMar>
            <w:vAlign w:val="center"/>
          </w:tcPr>
          <w:p w14:paraId="468CEBC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0.585</w:t>
            </w:r>
          </w:p>
        </w:tc>
      </w:tr>
      <w:tr w14:paraId="03AAEBBC">
        <w:trPr>
          <w:trHeight w:val="193" w:hRule="atLeast"/>
          <w:jc w:val="center"/>
        </w:trPr>
        <w:tc>
          <w:tcPr>
            <w:tcW w:w="3139" w:type="pct"/>
            <w:tcBorders>
              <w:top w:val="nil"/>
              <w:left w:val="nil"/>
              <w:bottom w:val="nil"/>
              <w:right w:val="nil"/>
            </w:tcBorders>
            <w:shd w:val="clear" w:color="auto" w:fill="FFFFFF"/>
            <w:tcMar>
              <w:top w:w="55" w:type="dxa"/>
              <w:left w:w="55" w:type="dxa"/>
              <w:bottom w:w="55" w:type="dxa"/>
              <w:right w:w="55" w:type="dxa"/>
            </w:tcMar>
            <w:vAlign w:val="center"/>
          </w:tcPr>
          <w:p w14:paraId="3B906CD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Body mass index (BMI)</w:t>
            </w:r>
          </w:p>
        </w:tc>
        <w:tc>
          <w:tcPr>
            <w:tcW w:w="1314" w:type="pct"/>
            <w:tcBorders>
              <w:top w:val="nil"/>
              <w:left w:val="nil"/>
              <w:bottom w:val="nil"/>
              <w:right w:val="nil"/>
            </w:tcBorders>
            <w:shd w:val="clear" w:color="auto" w:fill="FFFFFF"/>
            <w:tcMar>
              <w:top w:w="55" w:type="dxa"/>
              <w:left w:w="55" w:type="dxa"/>
              <w:bottom w:w="55" w:type="dxa"/>
              <w:right w:w="55" w:type="dxa"/>
            </w:tcMar>
            <w:vAlign w:val="center"/>
          </w:tcPr>
          <w:p w14:paraId="5391F13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1.06 (0.99, 1.13)</w:t>
            </w:r>
          </w:p>
        </w:tc>
        <w:tc>
          <w:tcPr>
            <w:tcW w:w="545" w:type="pct"/>
            <w:tcBorders>
              <w:top w:val="nil"/>
              <w:left w:val="nil"/>
              <w:bottom w:val="nil"/>
              <w:right w:val="nil"/>
            </w:tcBorders>
            <w:shd w:val="clear" w:color="auto" w:fill="FFFFFF"/>
            <w:tcMar>
              <w:top w:w="55" w:type="dxa"/>
              <w:left w:w="55" w:type="dxa"/>
              <w:bottom w:w="55" w:type="dxa"/>
              <w:right w:w="55" w:type="dxa"/>
            </w:tcMar>
            <w:vAlign w:val="center"/>
          </w:tcPr>
          <w:p w14:paraId="53BD706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0.119</w:t>
            </w:r>
          </w:p>
        </w:tc>
      </w:tr>
      <w:tr w14:paraId="76053684">
        <w:trPr>
          <w:trHeight w:val="193" w:hRule="atLeast"/>
          <w:jc w:val="center"/>
        </w:trPr>
        <w:tc>
          <w:tcPr>
            <w:tcW w:w="3139" w:type="pct"/>
            <w:tcBorders>
              <w:top w:val="nil"/>
              <w:left w:val="nil"/>
              <w:bottom w:val="nil"/>
              <w:right w:val="nil"/>
            </w:tcBorders>
            <w:shd w:val="clear" w:color="auto" w:fill="FFFFFF"/>
            <w:tcMar>
              <w:top w:w="55" w:type="dxa"/>
              <w:left w:w="55" w:type="dxa"/>
              <w:bottom w:w="55" w:type="dxa"/>
              <w:right w:w="55" w:type="dxa"/>
            </w:tcMar>
            <w:vAlign w:val="center"/>
          </w:tcPr>
          <w:p w14:paraId="4FCFFF9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Heart disease</w:t>
            </w:r>
          </w:p>
        </w:tc>
        <w:tc>
          <w:tcPr>
            <w:tcW w:w="1314" w:type="pct"/>
            <w:tcBorders>
              <w:top w:val="nil"/>
              <w:left w:val="nil"/>
              <w:bottom w:val="nil"/>
              <w:right w:val="nil"/>
            </w:tcBorders>
            <w:shd w:val="clear" w:color="auto" w:fill="FFFFFF"/>
            <w:tcMar>
              <w:top w:w="55" w:type="dxa"/>
              <w:left w:w="55" w:type="dxa"/>
              <w:bottom w:w="55" w:type="dxa"/>
              <w:right w:w="55" w:type="dxa"/>
            </w:tcMar>
            <w:vAlign w:val="center"/>
          </w:tcPr>
          <w:p w14:paraId="290445A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0.50 (0.20, 1.27)</w:t>
            </w:r>
          </w:p>
        </w:tc>
        <w:tc>
          <w:tcPr>
            <w:tcW w:w="545" w:type="pct"/>
            <w:tcBorders>
              <w:top w:val="nil"/>
              <w:left w:val="nil"/>
              <w:bottom w:val="nil"/>
              <w:right w:val="nil"/>
            </w:tcBorders>
            <w:shd w:val="clear" w:color="auto" w:fill="FFFFFF"/>
            <w:tcMar>
              <w:top w:w="55" w:type="dxa"/>
              <w:left w:w="55" w:type="dxa"/>
              <w:bottom w:w="55" w:type="dxa"/>
              <w:right w:w="55" w:type="dxa"/>
            </w:tcMar>
            <w:vAlign w:val="center"/>
          </w:tcPr>
          <w:p w14:paraId="5B6EA8B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0.144</w:t>
            </w:r>
          </w:p>
        </w:tc>
      </w:tr>
      <w:tr w14:paraId="692342ED">
        <w:trPr>
          <w:trHeight w:val="193" w:hRule="atLeast"/>
          <w:jc w:val="center"/>
        </w:trPr>
        <w:tc>
          <w:tcPr>
            <w:tcW w:w="3139" w:type="pct"/>
            <w:tcBorders>
              <w:top w:val="nil"/>
              <w:left w:val="nil"/>
              <w:bottom w:val="nil"/>
              <w:right w:val="nil"/>
            </w:tcBorders>
            <w:shd w:val="clear" w:color="auto" w:fill="FFFFFF"/>
            <w:tcMar>
              <w:top w:w="55" w:type="dxa"/>
              <w:left w:w="55" w:type="dxa"/>
              <w:bottom w:w="55" w:type="dxa"/>
              <w:right w:w="55" w:type="dxa"/>
            </w:tcMar>
            <w:vAlign w:val="center"/>
          </w:tcPr>
          <w:p w14:paraId="16136A4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Diabetes</w:t>
            </w:r>
          </w:p>
        </w:tc>
        <w:tc>
          <w:tcPr>
            <w:tcW w:w="1314" w:type="pct"/>
            <w:tcBorders>
              <w:top w:val="nil"/>
              <w:left w:val="nil"/>
              <w:bottom w:val="nil"/>
              <w:right w:val="nil"/>
            </w:tcBorders>
            <w:shd w:val="clear" w:color="auto" w:fill="FFFFFF"/>
            <w:tcMar>
              <w:top w:w="55" w:type="dxa"/>
              <w:left w:w="55" w:type="dxa"/>
              <w:bottom w:w="55" w:type="dxa"/>
              <w:right w:w="55" w:type="dxa"/>
            </w:tcMar>
            <w:vAlign w:val="center"/>
          </w:tcPr>
          <w:p w14:paraId="3D86486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0.28 (0.07, 1.24)</w:t>
            </w:r>
          </w:p>
        </w:tc>
        <w:tc>
          <w:tcPr>
            <w:tcW w:w="545" w:type="pct"/>
            <w:tcBorders>
              <w:top w:val="nil"/>
              <w:left w:val="nil"/>
              <w:bottom w:val="nil"/>
              <w:right w:val="nil"/>
            </w:tcBorders>
            <w:shd w:val="clear" w:color="auto" w:fill="FFFFFF"/>
            <w:tcMar>
              <w:top w:w="55" w:type="dxa"/>
              <w:left w:w="55" w:type="dxa"/>
              <w:bottom w:w="55" w:type="dxa"/>
              <w:right w:w="55" w:type="dxa"/>
            </w:tcMar>
            <w:vAlign w:val="center"/>
          </w:tcPr>
          <w:p w14:paraId="40E7107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0.094</w:t>
            </w:r>
          </w:p>
        </w:tc>
      </w:tr>
      <w:tr w14:paraId="6C2B7145">
        <w:trPr>
          <w:trHeight w:val="193" w:hRule="atLeast"/>
          <w:jc w:val="center"/>
        </w:trPr>
        <w:tc>
          <w:tcPr>
            <w:tcW w:w="3139" w:type="pct"/>
            <w:tcBorders>
              <w:top w:val="nil"/>
              <w:left w:val="nil"/>
              <w:bottom w:val="nil"/>
              <w:right w:val="nil"/>
            </w:tcBorders>
            <w:shd w:val="clear" w:color="auto" w:fill="FFFFFF"/>
            <w:tcMar>
              <w:top w:w="55" w:type="dxa"/>
              <w:left w:w="55" w:type="dxa"/>
              <w:bottom w:w="55" w:type="dxa"/>
              <w:right w:w="55" w:type="dxa"/>
            </w:tcMar>
            <w:vAlign w:val="center"/>
          </w:tcPr>
          <w:p w14:paraId="75138A7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log2(C-reactive protein)</w:t>
            </w:r>
          </w:p>
        </w:tc>
        <w:tc>
          <w:tcPr>
            <w:tcW w:w="1314" w:type="pct"/>
            <w:tcBorders>
              <w:top w:val="nil"/>
              <w:left w:val="nil"/>
              <w:bottom w:val="nil"/>
              <w:right w:val="nil"/>
            </w:tcBorders>
            <w:shd w:val="clear" w:color="auto" w:fill="FFFFFF"/>
            <w:tcMar>
              <w:top w:w="55" w:type="dxa"/>
              <w:left w:w="55" w:type="dxa"/>
              <w:bottom w:w="55" w:type="dxa"/>
              <w:right w:w="55" w:type="dxa"/>
            </w:tcMar>
            <w:vAlign w:val="center"/>
          </w:tcPr>
          <w:p w14:paraId="078ED80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1.17 (0.97, 1.42)</w:t>
            </w:r>
          </w:p>
        </w:tc>
        <w:tc>
          <w:tcPr>
            <w:tcW w:w="545" w:type="pct"/>
            <w:tcBorders>
              <w:top w:val="nil"/>
              <w:left w:val="nil"/>
              <w:bottom w:val="nil"/>
              <w:right w:val="nil"/>
            </w:tcBorders>
            <w:shd w:val="clear" w:color="auto" w:fill="FFFFFF"/>
            <w:tcMar>
              <w:top w:w="55" w:type="dxa"/>
              <w:left w:w="55" w:type="dxa"/>
              <w:bottom w:w="55" w:type="dxa"/>
              <w:right w:w="55" w:type="dxa"/>
            </w:tcMar>
            <w:vAlign w:val="center"/>
          </w:tcPr>
          <w:p w14:paraId="15677C0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0.108</w:t>
            </w:r>
          </w:p>
        </w:tc>
      </w:tr>
      <w:tr w14:paraId="62DDE62D">
        <w:trPr>
          <w:trHeight w:val="193" w:hRule="atLeast"/>
          <w:jc w:val="center"/>
        </w:trPr>
        <w:tc>
          <w:tcPr>
            <w:tcW w:w="313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6A53BC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Previous-wave log2 ferritin × current smoking</w:t>
            </w:r>
          </w:p>
        </w:tc>
        <w:tc>
          <w:tcPr>
            <w:tcW w:w="1314"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A45A50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0.89 (0.50, 1.58)</w:t>
            </w:r>
          </w:p>
        </w:tc>
        <w:tc>
          <w:tcPr>
            <w:tcW w:w="545"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D5A2B2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0.698</w:t>
            </w:r>
          </w:p>
        </w:tc>
      </w:tr>
    </w:tbl>
    <w:p w14:paraId="253131E8">
      <w:pPr>
        <w:keepNext w:val="0"/>
        <w:keepLines w:val="0"/>
        <w:widowControl/>
        <w:suppressLineNumbers w:val="0"/>
        <w:spacing w:before="0" w:after="120" w:line="240" w:lineRule="auto"/>
        <w:rPr>
          <w:rFonts w:hint="default" w:ascii="Times New Roman Regular" w:hAnsi="Times New Roman Regular" w:cs="Times New Roman Regular"/>
          <w:b w:val="0"/>
          <w:bCs w:val="0"/>
          <w:color w:val="auto"/>
          <w:sz w:val="22"/>
          <w:szCs w:val="22"/>
        </w:rPr>
      </w:pPr>
      <w:r>
        <w:rPr>
          <w:rFonts w:hint="default" w:ascii="Times New Roman" w:hAnsi="Times New Roman" w:eastAsia="Times New Roman" w:cs="Times New Roman Regular"/>
          <w:b/>
          <w:bCs/>
          <w:color w:val="auto"/>
          <w:sz w:val="20"/>
          <w:szCs w:val="22"/>
        </w:rPr>
        <w:t>Footnote:</w:t>
      </w:r>
      <w:r>
        <w:rPr>
          <w:rFonts w:hint="default" w:ascii="Times New Roman" w:hAnsi="Times New Roman" w:eastAsia="Times New Roman" w:cs="Times New Roman Regular"/>
          <w:b/>
          <w:bCs/>
          <w:color w:val="auto"/>
          <w:sz w:val="20"/>
          <w:szCs w:val="22"/>
        </w:rPr>
        <w:br w:type="textWrapping"/>
      </w:r>
      <w:r>
        <w:rPr>
          <w:rFonts w:hint="default" w:ascii="Times New Roman" w:hAnsi="Times New Roman" w:eastAsia="Times New Roman" w:cs="Times New Roman Regular"/>
          <w:b w:val="0"/>
          <w:bCs w:val="0"/>
          <w:color w:val="auto"/>
          <w:sz w:val="20"/>
          <w:szCs w:val="22"/>
        </w:rPr>
        <w:t>Odds ratios (ORs), 95% confidence intervals (CIs), and P values are shown from the logistic regression model including a ferritin×smoking interaction term. The analytic sample was restricted to participants not using asthma medication at the previous wave. Models were adjusted for previous-wave symptom burden, age, sex, smoking status, body mass index (BMI), heart disease, diabetes, and log2-transformed C-reactive protein (CRP). This model was used to assess whether the association between previous-wave ferritin and subsequent medication initiation/escalation risk differed by smoking status.</w:t>
      </w:r>
    </w:p>
    <w:p w14:paraId="58528E4B">
      <w:pPr>
        <w:pStyle w:val="3"/>
        <w:keepNext w:val="0"/>
        <w:keepLines w:val="0"/>
        <w:widowControl/>
        <w:suppressLineNumbers w:val="0"/>
        <w:spacing w:before="0" w:after="0" w:line="240" w:lineRule="auto"/>
        <w:rPr>
          <w:rFonts w:hint="default" w:ascii="Times New Roman Regular" w:hAnsi="Times New Roman Regular" w:cs="Times New Roman Regular"/>
          <w:b w:val="0"/>
          <w:bCs w:val="0"/>
          <w:color w:val="auto"/>
          <w:sz w:val="22"/>
          <w:szCs w:val="22"/>
        </w:rPr>
      </w:pPr>
    </w:p>
    <w:p w14:paraId="57D14725">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C3E06E1">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0A20500">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3D7E9C0">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F95FEC4">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A99AD72">
      <w:pPr>
        <w:spacing w:before="0" w:after="0" w:line="240" w:lineRule="auto"/>
        <w:rPr>
          <w:rFonts w:hint="default" w:ascii="Times New Roman Regular" w:hAnsi="Times New Roman Regular" w:cs="Times New Roman Regular"/>
          <w:b/>
          <w:bCs/>
          <w:color w:val="auto"/>
          <w:sz w:val="22"/>
          <w:szCs w:val="22"/>
          <w:highlight w:val="none"/>
          <w:lang w:val="en-US" w:eastAsia="zh-CN"/>
        </w:rPr>
      </w:pPr>
      <w:r>
        <w:rPr>
          <w:rFonts w:hint="default" w:ascii="Times New Roman Regular" w:hAnsi="Times New Roman Regular" w:cs="Times New Roman Regular"/>
          <w:b/>
          <w:bCs/>
          <w:color w:val="auto"/>
          <w:sz w:val="22"/>
          <w:szCs w:val="22"/>
          <w:highlight w:val="none"/>
          <w:lang w:val="en-US" w:eastAsia="zh-CN"/>
        </w:rPr>
        <w:br w:type="page"/>
      </w:r>
    </w:p>
    <w:p w14:paraId="55AE3C13">
      <w:pPr>
        <w:pStyle w:val="2"/>
        <w:keepNext/>
        <w:spacing w:before="0" w:after="120" w:line="240" w:lineRule="auto"/>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highlight w:val="none"/>
          <w:lang w:val="en-US" w:eastAsia="zh-CN"/>
        </w:rPr>
        <w:t xml:space="preserve">Supplementary Table S4. Discrete-time survival models for the medication </w:t>
      </w:r>
      <w:r>
        <w:rPr>
          <w:rFonts w:hint="default" w:ascii="Times New Roman" w:hAnsi="Times New Roman" w:eastAsia="Times New Roman" w:cs="Times New Roman Regular"/>
          <w:b/>
          <w:bCs/>
          <w:color w:val="auto"/>
          <w:sz w:val="20"/>
          <w:szCs w:val="22"/>
          <w:lang w:val="en-US" w:eastAsia="zh-CN"/>
        </w:rPr>
        <w:t>initiation/escalation proxy outcome</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52"/>
        <w:gridCol w:w="3451"/>
        <w:gridCol w:w="3363"/>
      </w:tblGrid>
      <w:tr w14:paraId="27871F7A">
        <w:trPr>
          <w:trHeight w:val="193" w:hRule="atLeast"/>
          <w:tblHeader/>
          <w:jc w:val="center"/>
        </w:trPr>
        <w:tc>
          <w:tcPr>
            <w:tcW w:w="2628"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E535728">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Variable</w:t>
            </w:r>
          </w:p>
        </w:tc>
        <w:tc>
          <w:tcPr>
            <w:tcW w:w="1201"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DA1A34F">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OR (95% CI)</w:t>
            </w:r>
          </w:p>
        </w:tc>
        <w:tc>
          <w:tcPr>
            <w:tcW w:w="117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6341F5A6">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63E934D2">
        <w:trPr>
          <w:trHeight w:val="193" w:hRule="atLeast"/>
          <w:jc w:val="center"/>
        </w:trPr>
        <w:tc>
          <w:tcPr>
            <w:tcW w:w="2628"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50259C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Wave 6 (vs Wave 4)</w:t>
            </w:r>
          </w:p>
        </w:tc>
        <w:tc>
          <w:tcPr>
            <w:tcW w:w="1201"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037980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0.66 (0.33, 1.30)</w:t>
            </w:r>
          </w:p>
        </w:tc>
        <w:tc>
          <w:tcPr>
            <w:tcW w:w="117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1F667F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0.228</w:t>
            </w:r>
          </w:p>
        </w:tc>
      </w:tr>
      <w:tr w14:paraId="3A4E41AA">
        <w:trPr>
          <w:trHeight w:val="193" w:hRule="atLeast"/>
          <w:jc w:val="center"/>
        </w:trPr>
        <w:tc>
          <w:tcPr>
            <w:tcW w:w="2628" w:type="pct"/>
            <w:tcBorders>
              <w:top w:val="nil"/>
              <w:left w:val="nil"/>
              <w:bottom w:val="nil"/>
              <w:right w:val="nil"/>
            </w:tcBorders>
            <w:shd w:val="clear" w:color="auto" w:fill="FFFFFF"/>
            <w:tcMar>
              <w:top w:w="55" w:type="dxa"/>
              <w:left w:w="55" w:type="dxa"/>
              <w:bottom w:w="55" w:type="dxa"/>
              <w:right w:w="55" w:type="dxa"/>
            </w:tcMar>
            <w:vAlign w:val="center"/>
          </w:tcPr>
          <w:p w14:paraId="6D7E426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Wave 8 (vs Wave 4)</w:t>
            </w:r>
          </w:p>
        </w:tc>
        <w:tc>
          <w:tcPr>
            <w:tcW w:w="1201" w:type="pct"/>
            <w:tcBorders>
              <w:top w:val="nil"/>
              <w:left w:val="nil"/>
              <w:bottom w:val="nil"/>
              <w:right w:val="nil"/>
            </w:tcBorders>
            <w:shd w:val="clear" w:color="auto" w:fill="FFFFFF"/>
            <w:tcMar>
              <w:top w:w="55" w:type="dxa"/>
              <w:left w:w="55" w:type="dxa"/>
              <w:bottom w:w="55" w:type="dxa"/>
              <w:right w:w="55" w:type="dxa"/>
            </w:tcMar>
            <w:vAlign w:val="center"/>
          </w:tcPr>
          <w:p w14:paraId="43D255B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0.31 (0.13, 0.75)</w:t>
            </w:r>
          </w:p>
        </w:tc>
        <w:tc>
          <w:tcPr>
            <w:tcW w:w="1170" w:type="pct"/>
            <w:tcBorders>
              <w:top w:val="nil"/>
              <w:left w:val="nil"/>
              <w:bottom w:val="nil"/>
              <w:right w:val="nil"/>
            </w:tcBorders>
            <w:shd w:val="clear" w:color="auto" w:fill="FFFFFF"/>
            <w:tcMar>
              <w:top w:w="55" w:type="dxa"/>
              <w:left w:w="55" w:type="dxa"/>
              <w:bottom w:w="55" w:type="dxa"/>
              <w:right w:w="55" w:type="dxa"/>
            </w:tcMar>
            <w:vAlign w:val="center"/>
          </w:tcPr>
          <w:p w14:paraId="3885113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0.009</w:t>
            </w:r>
          </w:p>
        </w:tc>
      </w:tr>
      <w:tr w14:paraId="0DF64D19">
        <w:trPr>
          <w:trHeight w:val="193" w:hRule="atLeast"/>
          <w:jc w:val="center"/>
        </w:trPr>
        <w:tc>
          <w:tcPr>
            <w:tcW w:w="2628" w:type="pct"/>
            <w:tcBorders>
              <w:top w:val="nil"/>
              <w:left w:val="nil"/>
              <w:bottom w:val="nil"/>
              <w:right w:val="nil"/>
            </w:tcBorders>
            <w:shd w:val="clear" w:color="auto" w:fill="FFFFFF"/>
            <w:tcMar>
              <w:top w:w="55" w:type="dxa"/>
              <w:left w:w="55" w:type="dxa"/>
              <w:bottom w:w="55" w:type="dxa"/>
              <w:right w:w="55" w:type="dxa"/>
            </w:tcMar>
            <w:vAlign w:val="center"/>
          </w:tcPr>
          <w:p w14:paraId="28EDF7E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Previous-wave log2 ferritin</w:t>
            </w:r>
          </w:p>
        </w:tc>
        <w:tc>
          <w:tcPr>
            <w:tcW w:w="1201" w:type="pct"/>
            <w:tcBorders>
              <w:top w:val="nil"/>
              <w:left w:val="nil"/>
              <w:bottom w:val="nil"/>
              <w:right w:val="nil"/>
            </w:tcBorders>
            <w:shd w:val="clear" w:color="auto" w:fill="FFFFFF"/>
            <w:tcMar>
              <w:top w:w="55" w:type="dxa"/>
              <w:left w:w="55" w:type="dxa"/>
              <w:bottom w:w="55" w:type="dxa"/>
              <w:right w:w="55" w:type="dxa"/>
            </w:tcMar>
            <w:vAlign w:val="center"/>
          </w:tcPr>
          <w:p w14:paraId="1A31673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1.18 (0.86, 1.63)</w:t>
            </w:r>
          </w:p>
        </w:tc>
        <w:tc>
          <w:tcPr>
            <w:tcW w:w="1170" w:type="pct"/>
            <w:tcBorders>
              <w:top w:val="nil"/>
              <w:left w:val="nil"/>
              <w:bottom w:val="nil"/>
              <w:right w:val="nil"/>
            </w:tcBorders>
            <w:shd w:val="clear" w:color="auto" w:fill="FFFFFF"/>
            <w:tcMar>
              <w:top w:w="55" w:type="dxa"/>
              <w:left w:w="55" w:type="dxa"/>
              <w:bottom w:w="55" w:type="dxa"/>
              <w:right w:w="55" w:type="dxa"/>
            </w:tcMar>
            <w:vAlign w:val="center"/>
          </w:tcPr>
          <w:p w14:paraId="39CB64E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0.311</w:t>
            </w:r>
          </w:p>
        </w:tc>
      </w:tr>
      <w:tr w14:paraId="677794A9">
        <w:trPr>
          <w:trHeight w:val="193" w:hRule="atLeast"/>
          <w:jc w:val="center"/>
        </w:trPr>
        <w:tc>
          <w:tcPr>
            <w:tcW w:w="2628" w:type="pct"/>
            <w:tcBorders>
              <w:top w:val="nil"/>
              <w:left w:val="nil"/>
              <w:bottom w:val="nil"/>
              <w:right w:val="nil"/>
            </w:tcBorders>
            <w:shd w:val="clear" w:color="auto" w:fill="FFFFFF"/>
            <w:tcMar>
              <w:top w:w="55" w:type="dxa"/>
              <w:left w:w="55" w:type="dxa"/>
              <w:bottom w:w="55" w:type="dxa"/>
              <w:right w:w="55" w:type="dxa"/>
            </w:tcMar>
            <w:vAlign w:val="center"/>
          </w:tcPr>
          <w:p w14:paraId="69B92C4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Previous-wave symptom burden</w:t>
            </w:r>
          </w:p>
        </w:tc>
        <w:tc>
          <w:tcPr>
            <w:tcW w:w="1201" w:type="pct"/>
            <w:tcBorders>
              <w:top w:val="nil"/>
              <w:left w:val="nil"/>
              <w:bottom w:val="nil"/>
              <w:right w:val="nil"/>
            </w:tcBorders>
            <w:shd w:val="clear" w:color="auto" w:fill="FFFFFF"/>
            <w:tcMar>
              <w:top w:w="55" w:type="dxa"/>
              <w:left w:w="55" w:type="dxa"/>
              <w:bottom w:w="55" w:type="dxa"/>
              <w:right w:w="55" w:type="dxa"/>
            </w:tcMar>
            <w:vAlign w:val="center"/>
          </w:tcPr>
          <w:p w14:paraId="3735D91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1.05 (0.72, 1.54)</w:t>
            </w:r>
          </w:p>
        </w:tc>
        <w:tc>
          <w:tcPr>
            <w:tcW w:w="1170" w:type="pct"/>
            <w:tcBorders>
              <w:top w:val="nil"/>
              <w:left w:val="nil"/>
              <w:bottom w:val="nil"/>
              <w:right w:val="nil"/>
            </w:tcBorders>
            <w:shd w:val="clear" w:color="auto" w:fill="FFFFFF"/>
            <w:tcMar>
              <w:top w:w="55" w:type="dxa"/>
              <w:left w:w="55" w:type="dxa"/>
              <w:bottom w:w="55" w:type="dxa"/>
              <w:right w:w="55" w:type="dxa"/>
            </w:tcMar>
            <w:vAlign w:val="center"/>
          </w:tcPr>
          <w:p w14:paraId="56891C0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0.8</w:t>
            </w:r>
          </w:p>
        </w:tc>
      </w:tr>
      <w:tr w14:paraId="45486B59">
        <w:trPr>
          <w:trHeight w:val="193" w:hRule="atLeast"/>
          <w:jc w:val="center"/>
        </w:trPr>
        <w:tc>
          <w:tcPr>
            <w:tcW w:w="2628" w:type="pct"/>
            <w:tcBorders>
              <w:top w:val="nil"/>
              <w:left w:val="nil"/>
              <w:bottom w:val="nil"/>
              <w:right w:val="nil"/>
            </w:tcBorders>
            <w:shd w:val="clear" w:color="auto" w:fill="FFFFFF"/>
            <w:tcMar>
              <w:top w:w="55" w:type="dxa"/>
              <w:left w:w="55" w:type="dxa"/>
              <w:bottom w:w="55" w:type="dxa"/>
              <w:right w:w="55" w:type="dxa"/>
            </w:tcMar>
            <w:vAlign w:val="center"/>
          </w:tcPr>
          <w:p w14:paraId="07DCEAA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Age</w:t>
            </w:r>
          </w:p>
        </w:tc>
        <w:tc>
          <w:tcPr>
            <w:tcW w:w="1201" w:type="pct"/>
            <w:tcBorders>
              <w:top w:val="nil"/>
              <w:left w:val="nil"/>
              <w:bottom w:val="nil"/>
              <w:right w:val="nil"/>
            </w:tcBorders>
            <w:shd w:val="clear" w:color="auto" w:fill="FFFFFF"/>
            <w:tcMar>
              <w:top w:w="55" w:type="dxa"/>
              <w:left w:w="55" w:type="dxa"/>
              <w:bottom w:w="55" w:type="dxa"/>
              <w:right w:w="55" w:type="dxa"/>
            </w:tcMar>
            <w:vAlign w:val="center"/>
          </w:tcPr>
          <w:p w14:paraId="1287CC7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1.04 (1.00, 1.07)</w:t>
            </w:r>
          </w:p>
        </w:tc>
        <w:tc>
          <w:tcPr>
            <w:tcW w:w="1170" w:type="pct"/>
            <w:tcBorders>
              <w:top w:val="nil"/>
              <w:left w:val="nil"/>
              <w:bottom w:val="nil"/>
              <w:right w:val="nil"/>
            </w:tcBorders>
            <w:shd w:val="clear" w:color="auto" w:fill="FFFFFF"/>
            <w:tcMar>
              <w:top w:w="55" w:type="dxa"/>
              <w:left w:w="55" w:type="dxa"/>
              <w:bottom w:w="55" w:type="dxa"/>
              <w:right w:w="55" w:type="dxa"/>
            </w:tcMar>
            <w:vAlign w:val="center"/>
          </w:tcPr>
          <w:p w14:paraId="7F039EE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0.033</w:t>
            </w:r>
          </w:p>
        </w:tc>
      </w:tr>
      <w:tr w14:paraId="7DA5962E">
        <w:trPr>
          <w:trHeight w:val="193" w:hRule="atLeast"/>
          <w:jc w:val="center"/>
        </w:trPr>
        <w:tc>
          <w:tcPr>
            <w:tcW w:w="2628" w:type="pct"/>
            <w:tcBorders>
              <w:top w:val="nil"/>
              <w:left w:val="nil"/>
              <w:bottom w:val="nil"/>
              <w:right w:val="nil"/>
            </w:tcBorders>
            <w:shd w:val="clear" w:color="auto" w:fill="FFFFFF"/>
            <w:tcMar>
              <w:top w:w="55" w:type="dxa"/>
              <w:left w:w="55" w:type="dxa"/>
              <w:bottom w:w="55" w:type="dxa"/>
              <w:right w:w="55" w:type="dxa"/>
            </w:tcMar>
            <w:vAlign w:val="center"/>
          </w:tcPr>
          <w:p w14:paraId="634A073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Female sex</w:t>
            </w:r>
          </w:p>
        </w:tc>
        <w:tc>
          <w:tcPr>
            <w:tcW w:w="1201" w:type="pct"/>
            <w:tcBorders>
              <w:top w:val="nil"/>
              <w:left w:val="nil"/>
              <w:bottom w:val="nil"/>
              <w:right w:val="nil"/>
            </w:tcBorders>
            <w:shd w:val="clear" w:color="auto" w:fill="FFFFFF"/>
            <w:tcMar>
              <w:top w:w="55" w:type="dxa"/>
              <w:left w:w="55" w:type="dxa"/>
              <w:bottom w:w="55" w:type="dxa"/>
              <w:right w:w="55" w:type="dxa"/>
            </w:tcMar>
            <w:vAlign w:val="center"/>
          </w:tcPr>
          <w:p w14:paraId="6114AE9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1.26 (0.63, 2.50)</w:t>
            </w:r>
          </w:p>
        </w:tc>
        <w:tc>
          <w:tcPr>
            <w:tcW w:w="1170" w:type="pct"/>
            <w:tcBorders>
              <w:top w:val="nil"/>
              <w:left w:val="nil"/>
              <w:bottom w:val="nil"/>
              <w:right w:val="nil"/>
            </w:tcBorders>
            <w:shd w:val="clear" w:color="auto" w:fill="FFFFFF"/>
            <w:tcMar>
              <w:top w:w="55" w:type="dxa"/>
              <w:left w:w="55" w:type="dxa"/>
              <w:bottom w:w="55" w:type="dxa"/>
              <w:right w:w="55" w:type="dxa"/>
            </w:tcMar>
            <w:vAlign w:val="center"/>
          </w:tcPr>
          <w:p w14:paraId="5CDD599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0.512</w:t>
            </w:r>
          </w:p>
        </w:tc>
      </w:tr>
      <w:tr w14:paraId="3CB4A367">
        <w:trPr>
          <w:trHeight w:val="193" w:hRule="atLeast"/>
          <w:jc w:val="center"/>
        </w:trPr>
        <w:tc>
          <w:tcPr>
            <w:tcW w:w="2628" w:type="pct"/>
            <w:tcBorders>
              <w:top w:val="nil"/>
              <w:left w:val="nil"/>
              <w:bottom w:val="nil"/>
              <w:right w:val="nil"/>
            </w:tcBorders>
            <w:shd w:val="clear" w:color="auto" w:fill="FFFFFF"/>
            <w:tcMar>
              <w:top w:w="55" w:type="dxa"/>
              <w:left w:w="55" w:type="dxa"/>
              <w:bottom w:w="55" w:type="dxa"/>
              <w:right w:w="55" w:type="dxa"/>
            </w:tcMar>
            <w:vAlign w:val="center"/>
          </w:tcPr>
          <w:p w14:paraId="77C57A2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Current smoking</w:t>
            </w:r>
          </w:p>
        </w:tc>
        <w:tc>
          <w:tcPr>
            <w:tcW w:w="1201" w:type="pct"/>
            <w:tcBorders>
              <w:top w:val="nil"/>
              <w:left w:val="nil"/>
              <w:bottom w:val="nil"/>
              <w:right w:val="nil"/>
            </w:tcBorders>
            <w:shd w:val="clear" w:color="auto" w:fill="FFFFFF"/>
            <w:tcMar>
              <w:top w:w="55" w:type="dxa"/>
              <w:left w:w="55" w:type="dxa"/>
              <w:bottom w:w="55" w:type="dxa"/>
              <w:right w:w="55" w:type="dxa"/>
            </w:tcMar>
            <w:vAlign w:val="center"/>
          </w:tcPr>
          <w:p w14:paraId="787B667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1.15 (0.59, 2.25)</w:t>
            </w:r>
          </w:p>
        </w:tc>
        <w:tc>
          <w:tcPr>
            <w:tcW w:w="1170" w:type="pct"/>
            <w:tcBorders>
              <w:top w:val="nil"/>
              <w:left w:val="nil"/>
              <w:bottom w:val="nil"/>
              <w:right w:val="nil"/>
            </w:tcBorders>
            <w:shd w:val="clear" w:color="auto" w:fill="FFFFFF"/>
            <w:tcMar>
              <w:top w:w="55" w:type="dxa"/>
              <w:left w:w="55" w:type="dxa"/>
              <w:bottom w:w="55" w:type="dxa"/>
              <w:right w:w="55" w:type="dxa"/>
            </w:tcMar>
            <w:vAlign w:val="center"/>
          </w:tcPr>
          <w:p w14:paraId="5A4E363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0.687</w:t>
            </w:r>
          </w:p>
        </w:tc>
      </w:tr>
      <w:tr w14:paraId="635F1169">
        <w:trPr>
          <w:trHeight w:val="193" w:hRule="atLeast"/>
          <w:jc w:val="center"/>
        </w:trPr>
        <w:tc>
          <w:tcPr>
            <w:tcW w:w="2628" w:type="pct"/>
            <w:tcBorders>
              <w:top w:val="nil"/>
              <w:left w:val="nil"/>
              <w:bottom w:val="nil"/>
              <w:right w:val="nil"/>
            </w:tcBorders>
            <w:shd w:val="clear" w:color="auto" w:fill="FFFFFF"/>
            <w:tcMar>
              <w:top w:w="55" w:type="dxa"/>
              <w:left w:w="55" w:type="dxa"/>
              <w:bottom w:w="55" w:type="dxa"/>
              <w:right w:w="55" w:type="dxa"/>
            </w:tcMar>
            <w:vAlign w:val="center"/>
          </w:tcPr>
          <w:p w14:paraId="1E6AF6E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Body mass index (BMI)</w:t>
            </w:r>
          </w:p>
        </w:tc>
        <w:tc>
          <w:tcPr>
            <w:tcW w:w="1201" w:type="pct"/>
            <w:tcBorders>
              <w:top w:val="nil"/>
              <w:left w:val="nil"/>
              <w:bottom w:val="nil"/>
              <w:right w:val="nil"/>
            </w:tcBorders>
            <w:shd w:val="clear" w:color="auto" w:fill="FFFFFF"/>
            <w:tcMar>
              <w:top w:w="55" w:type="dxa"/>
              <w:left w:w="55" w:type="dxa"/>
              <w:bottom w:w="55" w:type="dxa"/>
              <w:right w:w="55" w:type="dxa"/>
            </w:tcMar>
            <w:vAlign w:val="center"/>
          </w:tcPr>
          <w:p w14:paraId="54F7B66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1.06 (0.98, 1.14)</w:t>
            </w:r>
          </w:p>
        </w:tc>
        <w:tc>
          <w:tcPr>
            <w:tcW w:w="1170" w:type="pct"/>
            <w:tcBorders>
              <w:top w:val="nil"/>
              <w:left w:val="nil"/>
              <w:bottom w:val="nil"/>
              <w:right w:val="nil"/>
            </w:tcBorders>
            <w:shd w:val="clear" w:color="auto" w:fill="FFFFFF"/>
            <w:tcMar>
              <w:top w:w="55" w:type="dxa"/>
              <w:left w:w="55" w:type="dxa"/>
              <w:bottom w:w="55" w:type="dxa"/>
              <w:right w:w="55" w:type="dxa"/>
            </w:tcMar>
            <w:vAlign w:val="center"/>
          </w:tcPr>
          <w:p w14:paraId="50CF5B4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0.124</w:t>
            </w:r>
          </w:p>
        </w:tc>
      </w:tr>
      <w:tr w14:paraId="2F18EB84">
        <w:trPr>
          <w:trHeight w:val="193" w:hRule="atLeast"/>
          <w:jc w:val="center"/>
        </w:trPr>
        <w:tc>
          <w:tcPr>
            <w:tcW w:w="2628" w:type="pct"/>
            <w:tcBorders>
              <w:top w:val="nil"/>
              <w:left w:val="nil"/>
              <w:bottom w:val="nil"/>
              <w:right w:val="nil"/>
            </w:tcBorders>
            <w:shd w:val="clear" w:color="auto" w:fill="FFFFFF"/>
            <w:tcMar>
              <w:top w:w="55" w:type="dxa"/>
              <w:left w:w="55" w:type="dxa"/>
              <w:bottom w:w="55" w:type="dxa"/>
              <w:right w:w="55" w:type="dxa"/>
            </w:tcMar>
            <w:vAlign w:val="center"/>
          </w:tcPr>
          <w:p w14:paraId="5714B1B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Heart disease</w:t>
            </w:r>
          </w:p>
        </w:tc>
        <w:tc>
          <w:tcPr>
            <w:tcW w:w="1201" w:type="pct"/>
            <w:tcBorders>
              <w:top w:val="nil"/>
              <w:left w:val="nil"/>
              <w:bottom w:val="nil"/>
              <w:right w:val="nil"/>
            </w:tcBorders>
            <w:shd w:val="clear" w:color="auto" w:fill="FFFFFF"/>
            <w:tcMar>
              <w:top w:w="55" w:type="dxa"/>
              <w:left w:w="55" w:type="dxa"/>
              <w:bottom w:w="55" w:type="dxa"/>
              <w:right w:w="55" w:type="dxa"/>
            </w:tcMar>
            <w:vAlign w:val="center"/>
          </w:tcPr>
          <w:p w14:paraId="3D8FCBF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0.54 (0.21, 1.35)</w:t>
            </w:r>
          </w:p>
        </w:tc>
        <w:tc>
          <w:tcPr>
            <w:tcW w:w="1170" w:type="pct"/>
            <w:tcBorders>
              <w:top w:val="nil"/>
              <w:left w:val="nil"/>
              <w:bottom w:val="nil"/>
              <w:right w:val="nil"/>
            </w:tcBorders>
            <w:shd w:val="clear" w:color="auto" w:fill="FFFFFF"/>
            <w:tcMar>
              <w:top w:w="55" w:type="dxa"/>
              <w:left w:w="55" w:type="dxa"/>
              <w:bottom w:w="55" w:type="dxa"/>
              <w:right w:w="55" w:type="dxa"/>
            </w:tcMar>
            <w:vAlign w:val="center"/>
          </w:tcPr>
          <w:p w14:paraId="66F63ED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0.186</w:t>
            </w:r>
          </w:p>
        </w:tc>
      </w:tr>
      <w:tr w14:paraId="3E1BDC74">
        <w:trPr>
          <w:trHeight w:val="193" w:hRule="atLeast"/>
          <w:jc w:val="center"/>
        </w:trPr>
        <w:tc>
          <w:tcPr>
            <w:tcW w:w="2628" w:type="pct"/>
            <w:tcBorders>
              <w:top w:val="nil"/>
              <w:left w:val="nil"/>
              <w:bottom w:val="nil"/>
              <w:right w:val="nil"/>
            </w:tcBorders>
            <w:shd w:val="clear" w:color="auto" w:fill="FFFFFF"/>
            <w:tcMar>
              <w:top w:w="55" w:type="dxa"/>
              <w:left w:w="55" w:type="dxa"/>
              <w:bottom w:w="55" w:type="dxa"/>
              <w:right w:w="55" w:type="dxa"/>
            </w:tcMar>
            <w:vAlign w:val="center"/>
          </w:tcPr>
          <w:p w14:paraId="7BF0FD6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Diabetes</w:t>
            </w:r>
          </w:p>
        </w:tc>
        <w:tc>
          <w:tcPr>
            <w:tcW w:w="1201" w:type="pct"/>
            <w:tcBorders>
              <w:top w:val="nil"/>
              <w:left w:val="nil"/>
              <w:bottom w:val="nil"/>
              <w:right w:val="nil"/>
            </w:tcBorders>
            <w:shd w:val="clear" w:color="auto" w:fill="FFFFFF"/>
            <w:tcMar>
              <w:top w:w="55" w:type="dxa"/>
              <w:left w:w="55" w:type="dxa"/>
              <w:bottom w:w="55" w:type="dxa"/>
              <w:right w:w="55" w:type="dxa"/>
            </w:tcMar>
            <w:vAlign w:val="center"/>
          </w:tcPr>
          <w:p w14:paraId="2A98430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0.29 (0.06, 1.35)</w:t>
            </w:r>
          </w:p>
        </w:tc>
        <w:tc>
          <w:tcPr>
            <w:tcW w:w="1170" w:type="pct"/>
            <w:tcBorders>
              <w:top w:val="nil"/>
              <w:left w:val="nil"/>
              <w:bottom w:val="nil"/>
              <w:right w:val="nil"/>
            </w:tcBorders>
            <w:shd w:val="clear" w:color="auto" w:fill="FFFFFF"/>
            <w:tcMar>
              <w:top w:w="55" w:type="dxa"/>
              <w:left w:w="55" w:type="dxa"/>
              <w:bottom w:w="55" w:type="dxa"/>
              <w:right w:w="55" w:type="dxa"/>
            </w:tcMar>
            <w:vAlign w:val="center"/>
          </w:tcPr>
          <w:p w14:paraId="42F328D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0.116</w:t>
            </w:r>
          </w:p>
        </w:tc>
      </w:tr>
      <w:tr w14:paraId="7597428B">
        <w:trPr>
          <w:trHeight w:val="193" w:hRule="atLeast"/>
          <w:jc w:val="center"/>
        </w:trPr>
        <w:tc>
          <w:tcPr>
            <w:tcW w:w="2628"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36C85A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log2(C-reactive protein)</w:t>
            </w:r>
          </w:p>
        </w:tc>
        <w:tc>
          <w:tcPr>
            <w:tcW w:w="1201"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D82850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1.18 (0.96, 1.45)</w:t>
            </w:r>
          </w:p>
        </w:tc>
        <w:tc>
          <w:tcPr>
            <w:tcW w:w="117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1A2267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0.118</w:t>
            </w:r>
          </w:p>
        </w:tc>
      </w:tr>
    </w:tbl>
    <w:p w14:paraId="3A7495A7">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r>
        <w:rPr>
          <w:rFonts w:hint="default" w:ascii="Times New Roman" w:hAnsi="Times New Roman" w:eastAsia="Times New Roman" w:cs="Times New Roman Regular"/>
          <w:b/>
          <w:bCs/>
          <w:color w:val="auto"/>
          <w:sz w:val="20"/>
          <w:szCs w:val="22"/>
          <w:lang w:val="en-US" w:eastAsia="zh-CN"/>
        </w:rPr>
        <w:br w:type="textWrapping"/>
      </w:r>
      <w:r>
        <w:rPr>
          <w:rFonts w:hint="default" w:ascii="Times New Roman" w:hAnsi="Times New Roman" w:eastAsia="Times New Roman" w:cs="Times New Roman Regular"/>
          <w:b w:val="0"/>
          <w:bCs w:val="0"/>
          <w:color w:val="auto"/>
          <w:sz w:val="20"/>
          <w:szCs w:val="22"/>
          <w:lang w:val="en-US" w:eastAsia="zh-CN"/>
        </w:rPr>
        <w:t>Odds ratios (ORs), 95% confidence intervals (CIs), and P values are shown from discrete-time survival models evaluating the association between previous-wave log2 ferritin and subsequent medication initiation/escalation proxy events. Time was modeled by survey wave. The analytic sample was restricted to person-waves in which participants were not using asthma medication at the previous wave and remained under observation for a subsequent initiation/escalation event. The primary discrete-time model was adjusted for previous-wave symptom burden, age, sex, smoking status, body mass index (BMI), heart disease, diabetes, and log2-transformed C-reactive protein (CRP); where applicable, an additional Hb-adjusted version was fitted to examine independence from anemia. A medication initiation/escalation proxy event was defined as transition from no asthma medication use at the previous wave to medication use at the current wave.</w:t>
      </w:r>
    </w:p>
    <w:p w14:paraId="20EFB018">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2259B60">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BA55E9D">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6BD2B43">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494AC41">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3E4A7A27">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7B82AED5">
      <w:pPr>
        <w:pStyle w:val="2"/>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Supplementary Table S5. GEE models for any asthma-like symptom and dynamic iron-related measures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89"/>
        <w:gridCol w:w="4403"/>
        <w:gridCol w:w="4374"/>
      </w:tblGrid>
      <w:tr w14:paraId="423EB276">
        <w:trPr>
          <w:trHeight w:val="193" w:hRule="atLeast"/>
          <w:tblHeader/>
          <w:jc w:val="center"/>
        </w:trPr>
        <w:tc>
          <w:tcPr>
            <w:tcW w:w="1945"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3A9E93F7">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Exposure</w:t>
            </w:r>
          </w:p>
        </w:tc>
        <w:tc>
          <w:tcPr>
            <w:tcW w:w="1532"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35013D56">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OR (95% CI)</w:t>
            </w:r>
          </w:p>
        </w:tc>
        <w:tc>
          <w:tcPr>
            <w:tcW w:w="1522"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5C12344">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7A46F2A6">
        <w:trPr>
          <w:trHeight w:val="193" w:hRule="atLeast"/>
          <w:jc w:val="center"/>
        </w:trPr>
        <w:tc>
          <w:tcPr>
            <w:tcW w:w="1945"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18A0FBB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Iron fragility index</w:t>
            </w:r>
          </w:p>
        </w:tc>
        <w:tc>
          <w:tcPr>
            <w:tcW w:w="1532"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14C283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1.04 (0.98, 1.11)</w:t>
            </w:r>
          </w:p>
        </w:tc>
        <w:tc>
          <w:tcPr>
            <w:tcW w:w="1522"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1F0FBE4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0.211</w:t>
            </w:r>
          </w:p>
        </w:tc>
      </w:tr>
      <w:tr w14:paraId="058132DC">
        <w:trPr>
          <w:trHeight w:val="193" w:hRule="atLeast"/>
          <w:jc w:val="center"/>
        </w:trPr>
        <w:tc>
          <w:tcPr>
            <w:tcW w:w="1945" w:type="pct"/>
            <w:tcBorders>
              <w:top w:val="nil"/>
              <w:left w:val="nil"/>
              <w:bottom w:val="nil"/>
              <w:right w:val="nil"/>
            </w:tcBorders>
            <w:shd w:val="clear" w:color="auto" w:fill="FFFFFF"/>
            <w:tcMar>
              <w:top w:w="55" w:type="dxa"/>
              <w:left w:w="55" w:type="dxa"/>
              <w:bottom w:w="55" w:type="dxa"/>
              <w:right w:w="55" w:type="dxa"/>
            </w:tcMar>
            <w:vAlign w:val="center"/>
          </w:tcPr>
          <w:p w14:paraId="335673B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532" w:type="pct"/>
            <w:tcBorders>
              <w:top w:val="nil"/>
              <w:left w:val="nil"/>
              <w:bottom w:val="nil"/>
              <w:right w:val="nil"/>
            </w:tcBorders>
            <w:shd w:val="clear" w:color="auto" w:fill="FFFFFF"/>
            <w:tcMar>
              <w:top w:w="55" w:type="dxa"/>
              <w:left w:w="55" w:type="dxa"/>
              <w:bottom w:w="55" w:type="dxa"/>
              <w:right w:w="55" w:type="dxa"/>
            </w:tcMar>
            <w:vAlign w:val="center"/>
          </w:tcPr>
          <w:p w14:paraId="01FDDC5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1.13 (0.66, 1.92)</w:t>
            </w:r>
          </w:p>
        </w:tc>
        <w:tc>
          <w:tcPr>
            <w:tcW w:w="1522" w:type="pct"/>
            <w:tcBorders>
              <w:top w:val="nil"/>
              <w:left w:val="nil"/>
              <w:bottom w:val="nil"/>
              <w:right w:val="nil"/>
            </w:tcBorders>
            <w:shd w:val="clear" w:color="auto" w:fill="FFFFFF"/>
            <w:tcMar>
              <w:top w:w="55" w:type="dxa"/>
              <w:left w:w="55" w:type="dxa"/>
              <w:bottom w:w="55" w:type="dxa"/>
              <w:right w:w="55" w:type="dxa"/>
            </w:tcMar>
            <w:vAlign w:val="center"/>
          </w:tcPr>
          <w:p w14:paraId="5E0956E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0.657</w:t>
            </w:r>
          </w:p>
        </w:tc>
      </w:tr>
      <w:tr w14:paraId="03A01E4C">
        <w:trPr>
          <w:trHeight w:val="193" w:hRule="atLeast"/>
          <w:jc w:val="center"/>
        </w:trPr>
        <w:tc>
          <w:tcPr>
            <w:tcW w:w="1945" w:type="pct"/>
            <w:tcBorders>
              <w:top w:val="nil"/>
              <w:left w:val="nil"/>
              <w:bottom w:val="nil"/>
              <w:right w:val="nil"/>
            </w:tcBorders>
            <w:shd w:val="clear" w:color="auto" w:fill="FFFFFF"/>
            <w:tcMar>
              <w:top w:w="55" w:type="dxa"/>
              <w:left w:w="55" w:type="dxa"/>
              <w:bottom w:w="55" w:type="dxa"/>
              <w:right w:w="55" w:type="dxa"/>
            </w:tcMar>
            <w:vAlign w:val="center"/>
          </w:tcPr>
          <w:p w14:paraId="6D4DF92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slope</w:t>
            </w:r>
          </w:p>
        </w:tc>
        <w:tc>
          <w:tcPr>
            <w:tcW w:w="1532" w:type="pct"/>
            <w:tcBorders>
              <w:top w:val="nil"/>
              <w:left w:val="nil"/>
              <w:bottom w:val="nil"/>
              <w:right w:val="nil"/>
            </w:tcBorders>
            <w:shd w:val="clear" w:color="auto" w:fill="FFFFFF"/>
            <w:tcMar>
              <w:top w:w="55" w:type="dxa"/>
              <w:left w:w="55" w:type="dxa"/>
              <w:bottom w:w="55" w:type="dxa"/>
              <w:right w:w="55" w:type="dxa"/>
            </w:tcMar>
            <w:vAlign w:val="center"/>
          </w:tcPr>
          <w:p w14:paraId="21A9CED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0.80 (0.36, 1.76)</w:t>
            </w:r>
          </w:p>
        </w:tc>
        <w:tc>
          <w:tcPr>
            <w:tcW w:w="1522" w:type="pct"/>
            <w:tcBorders>
              <w:top w:val="nil"/>
              <w:left w:val="nil"/>
              <w:bottom w:val="nil"/>
              <w:right w:val="nil"/>
            </w:tcBorders>
            <w:shd w:val="clear" w:color="auto" w:fill="FFFFFF"/>
            <w:tcMar>
              <w:top w:w="55" w:type="dxa"/>
              <w:left w:w="55" w:type="dxa"/>
              <w:bottom w:w="55" w:type="dxa"/>
              <w:right w:w="55" w:type="dxa"/>
            </w:tcMar>
            <w:vAlign w:val="center"/>
          </w:tcPr>
          <w:p w14:paraId="688E76D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0.581</w:t>
            </w:r>
          </w:p>
        </w:tc>
      </w:tr>
      <w:tr w14:paraId="153A7781">
        <w:trPr>
          <w:trHeight w:val="193" w:hRule="atLeast"/>
          <w:jc w:val="center"/>
        </w:trPr>
        <w:tc>
          <w:tcPr>
            <w:tcW w:w="1945"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5BB790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Number of ferritin &lt;30 episodes</w:t>
            </w:r>
          </w:p>
        </w:tc>
        <w:tc>
          <w:tcPr>
            <w:tcW w:w="1532"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8B49D8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1.14 (0.94, 1.38)</w:t>
            </w:r>
          </w:p>
        </w:tc>
        <w:tc>
          <w:tcPr>
            <w:tcW w:w="1522"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D54292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0.19</w:t>
            </w:r>
          </w:p>
        </w:tc>
      </w:tr>
    </w:tbl>
    <w:p w14:paraId="13A846F0">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r>
        <w:rPr>
          <w:rFonts w:hint="default" w:ascii="Times New Roman" w:hAnsi="Times New Roman" w:eastAsia="Times New Roman" w:cs="Times New Roman Regular"/>
          <w:b/>
          <w:bCs/>
          <w:color w:val="auto"/>
          <w:sz w:val="20"/>
          <w:szCs w:val="22"/>
          <w:lang w:val="en-US" w:eastAsia="zh-CN"/>
        </w:rPr>
        <w:br w:type="textWrapping"/>
      </w:r>
      <w:r>
        <w:rPr>
          <w:rFonts w:hint="default" w:ascii="Times New Roman" w:hAnsi="Times New Roman" w:eastAsia="Times New Roman" w:cs="Times New Roman Regular"/>
          <w:b w:val="0"/>
          <w:bCs w:val="0"/>
          <w:color w:val="auto"/>
          <w:sz w:val="20"/>
          <w:szCs w:val="22"/>
          <w:lang w:val="en-US" w:eastAsia="zh-CN"/>
        </w:rPr>
        <w:t>Odds ratios (ORs), 95% confidence intervals (CIs), and P values are shown from generalized estimating equation (GEE) models evaluating the associations between dynamic iron-related measures and the composite outcome of any asthma-like symptom. Models used a logit link and an exchangeable working correlation structure and were adjusted for follow-up time, age, sex, smoking status, body mass index (BMI), log-transformed C-reactive protein (CRP), and hemoglobin (Hb). Dynamic iron-related measures included the iron fragility index (IFI), ferritin coefficient of variation (CV), ferritin slope, and the cumulative number of ferritin measurements &lt;30 μg/L.</w:t>
      </w:r>
    </w:p>
    <w:p w14:paraId="05CC9145">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E767D0C">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7716F7F">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759B55F">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8FB146C">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427AFB9">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8568C21">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0874C66">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4A3CCA5">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884E184">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96FFE1B">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782B88B">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6728C8C2">
      <w:pPr>
        <w:pStyle w:val="2"/>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Supplementary Table S6. GEE models for wheeze, night waking, and asthma attack according to dynamic iron-related measures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27"/>
        <w:gridCol w:w="2693"/>
        <w:gridCol w:w="3559"/>
        <w:gridCol w:w="2087"/>
      </w:tblGrid>
      <w:tr w14:paraId="70D357F0">
        <w:trPr>
          <w:trHeight w:val="193" w:hRule="atLeast"/>
          <w:tblHeader/>
          <w:jc w:val="center"/>
        </w:trPr>
        <w:tc>
          <w:tcPr>
            <w:tcW w:w="2097"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00CA330">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Exposure</w:t>
            </w:r>
          </w:p>
        </w:tc>
        <w:tc>
          <w:tcPr>
            <w:tcW w:w="937"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B8217D4">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Outcome</w:t>
            </w:r>
          </w:p>
        </w:tc>
        <w:tc>
          <w:tcPr>
            <w:tcW w:w="1238"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CE52C70">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OR (95% CI)</w:t>
            </w:r>
          </w:p>
        </w:tc>
        <w:tc>
          <w:tcPr>
            <w:tcW w:w="726"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5C88592">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2BA74D42">
        <w:trPr>
          <w:trHeight w:val="193" w:hRule="atLeast"/>
          <w:jc w:val="center"/>
        </w:trPr>
        <w:tc>
          <w:tcPr>
            <w:tcW w:w="2097"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6405DD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Iron fragility index</w:t>
            </w:r>
          </w:p>
        </w:tc>
        <w:tc>
          <w:tcPr>
            <w:tcW w:w="937"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0B8606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Wheeze</w:t>
            </w:r>
          </w:p>
        </w:tc>
        <w:tc>
          <w:tcPr>
            <w:tcW w:w="1238"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2F7DEF3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1.02 (0.97, 1.08)</w:t>
            </w:r>
          </w:p>
        </w:tc>
        <w:tc>
          <w:tcPr>
            <w:tcW w:w="726"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9C4FB2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0.432</w:t>
            </w:r>
          </w:p>
        </w:tc>
      </w:tr>
      <w:tr w14:paraId="4B9D7F48">
        <w:trPr>
          <w:trHeight w:val="193" w:hRule="atLeast"/>
          <w:jc w:val="center"/>
        </w:trPr>
        <w:tc>
          <w:tcPr>
            <w:tcW w:w="2097" w:type="pct"/>
            <w:tcBorders>
              <w:top w:val="nil"/>
              <w:left w:val="nil"/>
              <w:bottom w:val="nil"/>
              <w:right w:val="nil"/>
            </w:tcBorders>
            <w:shd w:val="clear" w:color="auto" w:fill="FFFFFF"/>
            <w:tcMar>
              <w:top w:w="55" w:type="dxa"/>
              <w:left w:w="55" w:type="dxa"/>
              <w:bottom w:w="55" w:type="dxa"/>
              <w:right w:w="55" w:type="dxa"/>
            </w:tcMar>
            <w:vAlign w:val="center"/>
          </w:tcPr>
          <w:p w14:paraId="04E051B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Iron fragility index</w:t>
            </w:r>
          </w:p>
        </w:tc>
        <w:tc>
          <w:tcPr>
            <w:tcW w:w="937" w:type="pct"/>
            <w:tcBorders>
              <w:top w:val="nil"/>
              <w:left w:val="nil"/>
              <w:bottom w:val="nil"/>
              <w:right w:val="nil"/>
            </w:tcBorders>
            <w:shd w:val="clear" w:color="auto" w:fill="FFFFFF"/>
            <w:tcMar>
              <w:top w:w="55" w:type="dxa"/>
              <w:left w:w="55" w:type="dxa"/>
              <w:bottom w:w="55" w:type="dxa"/>
              <w:right w:w="55" w:type="dxa"/>
            </w:tcMar>
            <w:vAlign w:val="center"/>
          </w:tcPr>
          <w:p w14:paraId="7145384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Night waking</w:t>
            </w:r>
          </w:p>
        </w:tc>
        <w:tc>
          <w:tcPr>
            <w:tcW w:w="1238" w:type="pct"/>
            <w:tcBorders>
              <w:top w:val="nil"/>
              <w:left w:val="nil"/>
              <w:bottom w:val="nil"/>
              <w:right w:val="nil"/>
            </w:tcBorders>
            <w:shd w:val="clear" w:color="auto" w:fill="FFFFFF"/>
            <w:tcMar>
              <w:top w:w="55" w:type="dxa"/>
              <w:left w:w="55" w:type="dxa"/>
              <w:bottom w:w="55" w:type="dxa"/>
              <w:right w:w="55" w:type="dxa"/>
            </w:tcMar>
            <w:vAlign w:val="center"/>
          </w:tcPr>
          <w:p w14:paraId="7479312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1.02 (0.94, 1.11)</w:t>
            </w:r>
          </w:p>
        </w:tc>
        <w:tc>
          <w:tcPr>
            <w:tcW w:w="726" w:type="pct"/>
            <w:tcBorders>
              <w:top w:val="nil"/>
              <w:left w:val="nil"/>
              <w:bottom w:val="nil"/>
              <w:right w:val="nil"/>
            </w:tcBorders>
            <w:shd w:val="clear" w:color="auto" w:fill="FFFFFF"/>
            <w:tcMar>
              <w:top w:w="55" w:type="dxa"/>
              <w:left w:w="55" w:type="dxa"/>
              <w:bottom w:w="55" w:type="dxa"/>
              <w:right w:w="55" w:type="dxa"/>
            </w:tcMar>
            <w:vAlign w:val="center"/>
          </w:tcPr>
          <w:p w14:paraId="70627E5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0.601</w:t>
            </w:r>
          </w:p>
        </w:tc>
      </w:tr>
      <w:tr w14:paraId="0DB03E63">
        <w:trPr>
          <w:trHeight w:val="193" w:hRule="atLeast"/>
          <w:jc w:val="center"/>
        </w:trPr>
        <w:tc>
          <w:tcPr>
            <w:tcW w:w="2097" w:type="pct"/>
            <w:tcBorders>
              <w:top w:val="nil"/>
              <w:left w:val="nil"/>
              <w:bottom w:val="nil"/>
              <w:right w:val="nil"/>
            </w:tcBorders>
            <w:shd w:val="clear" w:color="auto" w:fill="FFFFFF"/>
            <w:tcMar>
              <w:top w:w="55" w:type="dxa"/>
              <w:left w:w="55" w:type="dxa"/>
              <w:bottom w:w="55" w:type="dxa"/>
              <w:right w:w="55" w:type="dxa"/>
            </w:tcMar>
            <w:vAlign w:val="center"/>
          </w:tcPr>
          <w:p w14:paraId="5CDA369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Iron fragility index</w:t>
            </w:r>
          </w:p>
        </w:tc>
        <w:tc>
          <w:tcPr>
            <w:tcW w:w="937" w:type="pct"/>
            <w:tcBorders>
              <w:top w:val="nil"/>
              <w:left w:val="nil"/>
              <w:bottom w:val="nil"/>
              <w:right w:val="nil"/>
            </w:tcBorders>
            <w:shd w:val="clear" w:color="auto" w:fill="FFFFFF"/>
            <w:tcMar>
              <w:top w:w="55" w:type="dxa"/>
              <w:left w:w="55" w:type="dxa"/>
              <w:bottom w:w="55" w:type="dxa"/>
              <w:right w:w="55" w:type="dxa"/>
            </w:tcMar>
            <w:vAlign w:val="center"/>
          </w:tcPr>
          <w:p w14:paraId="3DD69F7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Asthma attack</w:t>
            </w:r>
          </w:p>
        </w:tc>
        <w:tc>
          <w:tcPr>
            <w:tcW w:w="1238" w:type="pct"/>
            <w:tcBorders>
              <w:top w:val="nil"/>
              <w:left w:val="nil"/>
              <w:bottom w:val="nil"/>
              <w:right w:val="nil"/>
            </w:tcBorders>
            <w:shd w:val="clear" w:color="auto" w:fill="FFFFFF"/>
            <w:tcMar>
              <w:top w:w="55" w:type="dxa"/>
              <w:left w:w="55" w:type="dxa"/>
              <w:bottom w:w="55" w:type="dxa"/>
              <w:right w:w="55" w:type="dxa"/>
            </w:tcMar>
            <w:vAlign w:val="center"/>
          </w:tcPr>
          <w:p w14:paraId="3524417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1.09 (1.02, 1.17)</w:t>
            </w:r>
          </w:p>
        </w:tc>
        <w:tc>
          <w:tcPr>
            <w:tcW w:w="726" w:type="pct"/>
            <w:tcBorders>
              <w:top w:val="nil"/>
              <w:left w:val="nil"/>
              <w:bottom w:val="nil"/>
              <w:right w:val="nil"/>
            </w:tcBorders>
            <w:shd w:val="clear" w:color="auto" w:fill="FFFFFF"/>
            <w:tcMar>
              <w:top w:w="55" w:type="dxa"/>
              <w:left w:w="55" w:type="dxa"/>
              <w:bottom w:w="55" w:type="dxa"/>
              <w:right w:w="55" w:type="dxa"/>
            </w:tcMar>
            <w:vAlign w:val="center"/>
          </w:tcPr>
          <w:p w14:paraId="25C2769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0.012</w:t>
            </w:r>
          </w:p>
        </w:tc>
      </w:tr>
      <w:tr w14:paraId="18D45E71">
        <w:trPr>
          <w:trHeight w:val="193" w:hRule="atLeast"/>
          <w:jc w:val="center"/>
        </w:trPr>
        <w:tc>
          <w:tcPr>
            <w:tcW w:w="2097" w:type="pct"/>
            <w:tcBorders>
              <w:top w:val="nil"/>
              <w:left w:val="nil"/>
              <w:bottom w:val="nil"/>
              <w:right w:val="nil"/>
            </w:tcBorders>
            <w:shd w:val="clear" w:color="auto" w:fill="FFFFFF"/>
            <w:tcMar>
              <w:top w:w="55" w:type="dxa"/>
              <w:left w:w="55" w:type="dxa"/>
              <w:bottom w:w="55" w:type="dxa"/>
              <w:right w:w="55" w:type="dxa"/>
            </w:tcMar>
            <w:vAlign w:val="center"/>
          </w:tcPr>
          <w:p w14:paraId="1F43365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937" w:type="pct"/>
            <w:tcBorders>
              <w:top w:val="nil"/>
              <w:left w:val="nil"/>
              <w:bottom w:val="nil"/>
              <w:right w:val="nil"/>
            </w:tcBorders>
            <w:shd w:val="clear" w:color="auto" w:fill="FFFFFF"/>
            <w:tcMar>
              <w:top w:w="55" w:type="dxa"/>
              <w:left w:w="55" w:type="dxa"/>
              <w:bottom w:w="55" w:type="dxa"/>
              <w:right w:w="55" w:type="dxa"/>
            </w:tcMar>
            <w:vAlign w:val="center"/>
          </w:tcPr>
          <w:p w14:paraId="1DD49D3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Wheeze</w:t>
            </w:r>
          </w:p>
        </w:tc>
        <w:tc>
          <w:tcPr>
            <w:tcW w:w="1238" w:type="pct"/>
            <w:tcBorders>
              <w:top w:val="nil"/>
              <w:left w:val="nil"/>
              <w:bottom w:val="nil"/>
              <w:right w:val="nil"/>
            </w:tcBorders>
            <w:shd w:val="clear" w:color="auto" w:fill="FFFFFF"/>
            <w:tcMar>
              <w:top w:w="55" w:type="dxa"/>
              <w:left w:w="55" w:type="dxa"/>
              <w:bottom w:w="55" w:type="dxa"/>
              <w:right w:w="55" w:type="dxa"/>
            </w:tcMar>
            <w:vAlign w:val="center"/>
          </w:tcPr>
          <w:p w14:paraId="54C16C8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1.01 (0.60, 1.71)</w:t>
            </w:r>
          </w:p>
        </w:tc>
        <w:tc>
          <w:tcPr>
            <w:tcW w:w="726" w:type="pct"/>
            <w:tcBorders>
              <w:top w:val="nil"/>
              <w:left w:val="nil"/>
              <w:bottom w:val="nil"/>
              <w:right w:val="nil"/>
            </w:tcBorders>
            <w:shd w:val="clear" w:color="auto" w:fill="FFFFFF"/>
            <w:tcMar>
              <w:top w:w="55" w:type="dxa"/>
              <w:left w:w="55" w:type="dxa"/>
              <w:bottom w:w="55" w:type="dxa"/>
              <w:right w:w="55" w:type="dxa"/>
            </w:tcMar>
            <w:vAlign w:val="center"/>
          </w:tcPr>
          <w:p w14:paraId="0C9B2E4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0.966</w:t>
            </w:r>
          </w:p>
        </w:tc>
      </w:tr>
      <w:tr w14:paraId="25425216">
        <w:trPr>
          <w:trHeight w:val="193" w:hRule="atLeast"/>
          <w:jc w:val="center"/>
        </w:trPr>
        <w:tc>
          <w:tcPr>
            <w:tcW w:w="2097" w:type="pct"/>
            <w:tcBorders>
              <w:top w:val="nil"/>
              <w:left w:val="nil"/>
              <w:bottom w:val="nil"/>
              <w:right w:val="nil"/>
            </w:tcBorders>
            <w:shd w:val="clear" w:color="auto" w:fill="FFFFFF"/>
            <w:tcMar>
              <w:top w:w="55" w:type="dxa"/>
              <w:left w:w="55" w:type="dxa"/>
              <w:bottom w:w="55" w:type="dxa"/>
              <w:right w:w="55" w:type="dxa"/>
            </w:tcMar>
            <w:vAlign w:val="center"/>
          </w:tcPr>
          <w:p w14:paraId="658F6A7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937" w:type="pct"/>
            <w:tcBorders>
              <w:top w:val="nil"/>
              <w:left w:val="nil"/>
              <w:bottom w:val="nil"/>
              <w:right w:val="nil"/>
            </w:tcBorders>
            <w:shd w:val="clear" w:color="auto" w:fill="FFFFFF"/>
            <w:tcMar>
              <w:top w:w="55" w:type="dxa"/>
              <w:left w:w="55" w:type="dxa"/>
              <w:bottom w:w="55" w:type="dxa"/>
              <w:right w:w="55" w:type="dxa"/>
            </w:tcMar>
            <w:vAlign w:val="center"/>
          </w:tcPr>
          <w:p w14:paraId="090D70D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Night waking</w:t>
            </w:r>
          </w:p>
        </w:tc>
        <w:tc>
          <w:tcPr>
            <w:tcW w:w="1238" w:type="pct"/>
            <w:tcBorders>
              <w:top w:val="nil"/>
              <w:left w:val="nil"/>
              <w:bottom w:val="nil"/>
              <w:right w:val="nil"/>
            </w:tcBorders>
            <w:shd w:val="clear" w:color="auto" w:fill="FFFFFF"/>
            <w:tcMar>
              <w:top w:w="55" w:type="dxa"/>
              <w:left w:w="55" w:type="dxa"/>
              <w:bottom w:w="55" w:type="dxa"/>
              <w:right w:w="55" w:type="dxa"/>
            </w:tcMar>
            <w:vAlign w:val="center"/>
          </w:tcPr>
          <w:p w14:paraId="06B6502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1.23 (0.63, 2.41)</w:t>
            </w:r>
          </w:p>
        </w:tc>
        <w:tc>
          <w:tcPr>
            <w:tcW w:w="726" w:type="pct"/>
            <w:tcBorders>
              <w:top w:val="nil"/>
              <w:left w:val="nil"/>
              <w:bottom w:val="nil"/>
              <w:right w:val="nil"/>
            </w:tcBorders>
            <w:shd w:val="clear" w:color="auto" w:fill="FFFFFF"/>
            <w:tcMar>
              <w:top w:w="55" w:type="dxa"/>
              <w:left w:w="55" w:type="dxa"/>
              <w:bottom w:w="55" w:type="dxa"/>
              <w:right w:w="55" w:type="dxa"/>
            </w:tcMar>
            <w:vAlign w:val="center"/>
          </w:tcPr>
          <w:p w14:paraId="6C681ED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0.551</w:t>
            </w:r>
          </w:p>
        </w:tc>
      </w:tr>
      <w:tr w14:paraId="479DCBE4">
        <w:trPr>
          <w:trHeight w:val="193" w:hRule="atLeast"/>
          <w:jc w:val="center"/>
        </w:trPr>
        <w:tc>
          <w:tcPr>
            <w:tcW w:w="2097" w:type="pct"/>
            <w:tcBorders>
              <w:top w:val="nil"/>
              <w:left w:val="nil"/>
              <w:bottom w:val="nil"/>
              <w:right w:val="nil"/>
            </w:tcBorders>
            <w:shd w:val="clear" w:color="auto" w:fill="FFFFFF"/>
            <w:tcMar>
              <w:top w:w="55" w:type="dxa"/>
              <w:left w:w="55" w:type="dxa"/>
              <w:bottom w:w="55" w:type="dxa"/>
              <w:right w:w="55" w:type="dxa"/>
            </w:tcMar>
            <w:vAlign w:val="center"/>
          </w:tcPr>
          <w:p w14:paraId="46623E8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937" w:type="pct"/>
            <w:tcBorders>
              <w:top w:val="nil"/>
              <w:left w:val="nil"/>
              <w:bottom w:val="nil"/>
              <w:right w:val="nil"/>
            </w:tcBorders>
            <w:shd w:val="clear" w:color="auto" w:fill="FFFFFF"/>
            <w:tcMar>
              <w:top w:w="55" w:type="dxa"/>
              <w:left w:w="55" w:type="dxa"/>
              <w:bottom w:w="55" w:type="dxa"/>
              <w:right w:w="55" w:type="dxa"/>
            </w:tcMar>
            <w:vAlign w:val="center"/>
          </w:tcPr>
          <w:p w14:paraId="357FA7D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Asthma attack</w:t>
            </w:r>
          </w:p>
        </w:tc>
        <w:tc>
          <w:tcPr>
            <w:tcW w:w="1238" w:type="pct"/>
            <w:tcBorders>
              <w:top w:val="nil"/>
              <w:left w:val="nil"/>
              <w:bottom w:val="nil"/>
              <w:right w:val="nil"/>
            </w:tcBorders>
            <w:shd w:val="clear" w:color="auto" w:fill="FFFFFF"/>
            <w:tcMar>
              <w:top w:w="55" w:type="dxa"/>
              <w:left w:w="55" w:type="dxa"/>
              <w:bottom w:w="55" w:type="dxa"/>
              <w:right w:w="55" w:type="dxa"/>
            </w:tcMar>
            <w:vAlign w:val="center"/>
          </w:tcPr>
          <w:p w14:paraId="2FD5A88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1.24 (0.67, 2.27)</w:t>
            </w:r>
          </w:p>
        </w:tc>
        <w:tc>
          <w:tcPr>
            <w:tcW w:w="726" w:type="pct"/>
            <w:tcBorders>
              <w:top w:val="nil"/>
              <w:left w:val="nil"/>
              <w:bottom w:val="nil"/>
              <w:right w:val="nil"/>
            </w:tcBorders>
            <w:shd w:val="clear" w:color="auto" w:fill="FFFFFF"/>
            <w:tcMar>
              <w:top w:w="55" w:type="dxa"/>
              <w:left w:w="55" w:type="dxa"/>
              <w:bottom w:w="55" w:type="dxa"/>
              <w:right w:w="55" w:type="dxa"/>
            </w:tcMar>
            <w:vAlign w:val="center"/>
          </w:tcPr>
          <w:p w14:paraId="588C525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0.497</w:t>
            </w:r>
          </w:p>
        </w:tc>
      </w:tr>
      <w:tr w14:paraId="293FC21F">
        <w:trPr>
          <w:trHeight w:val="193" w:hRule="atLeast"/>
          <w:jc w:val="center"/>
        </w:trPr>
        <w:tc>
          <w:tcPr>
            <w:tcW w:w="2097" w:type="pct"/>
            <w:tcBorders>
              <w:top w:val="nil"/>
              <w:left w:val="nil"/>
              <w:bottom w:val="nil"/>
              <w:right w:val="nil"/>
            </w:tcBorders>
            <w:shd w:val="clear" w:color="auto" w:fill="FFFFFF"/>
            <w:tcMar>
              <w:top w:w="55" w:type="dxa"/>
              <w:left w:w="55" w:type="dxa"/>
              <w:bottom w:w="55" w:type="dxa"/>
              <w:right w:w="55" w:type="dxa"/>
            </w:tcMar>
            <w:vAlign w:val="center"/>
          </w:tcPr>
          <w:p w14:paraId="13AE3F1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slope</w:t>
            </w:r>
          </w:p>
        </w:tc>
        <w:tc>
          <w:tcPr>
            <w:tcW w:w="937" w:type="pct"/>
            <w:tcBorders>
              <w:top w:val="nil"/>
              <w:left w:val="nil"/>
              <w:bottom w:val="nil"/>
              <w:right w:val="nil"/>
            </w:tcBorders>
            <w:shd w:val="clear" w:color="auto" w:fill="FFFFFF"/>
            <w:tcMar>
              <w:top w:w="55" w:type="dxa"/>
              <w:left w:w="55" w:type="dxa"/>
              <w:bottom w:w="55" w:type="dxa"/>
              <w:right w:w="55" w:type="dxa"/>
            </w:tcMar>
            <w:vAlign w:val="center"/>
          </w:tcPr>
          <w:p w14:paraId="1FABB27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Wheeze</w:t>
            </w:r>
          </w:p>
        </w:tc>
        <w:tc>
          <w:tcPr>
            <w:tcW w:w="1238" w:type="pct"/>
            <w:tcBorders>
              <w:top w:val="nil"/>
              <w:left w:val="nil"/>
              <w:bottom w:val="nil"/>
              <w:right w:val="nil"/>
            </w:tcBorders>
            <w:shd w:val="clear" w:color="auto" w:fill="FFFFFF"/>
            <w:tcMar>
              <w:top w:w="55" w:type="dxa"/>
              <w:left w:w="55" w:type="dxa"/>
              <w:bottom w:w="55" w:type="dxa"/>
              <w:right w:w="55" w:type="dxa"/>
            </w:tcMar>
            <w:vAlign w:val="center"/>
          </w:tcPr>
          <w:p w14:paraId="796F437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0.74 (0.33, 1.68)</w:t>
            </w:r>
          </w:p>
        </w:tc>
        <w:tc>
          <w:tcPr>
            <w:tcW w:w="726" w:type="pct"/>
            <w:tcBorders>
              <w:top w:val="nil"/>
              <w:left w:val="nil"/>
              <w:bottom w:val="nil"/>
              <w:right w:val="nil"/>
            </w:tcBorders>
            <w:shd w:val="clear" w:color="auto" w:fill="FFFFFF"/>
            <w:tcMar>
              <w:top w:w="55" w:type="dxa"/>
              <w:left w:w="55" w:type="dxa"/>
              <w:bottom w:w="55" w:type="dxa"/>
              <w:right w:w="55" w:type="dxa"/>
            </w:tcMar>
            <w:vAlign w:val="center"/>
          </w:tcPr>
          <w:p w14:paraId="5F64A29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0.474</w:t>
            </w:r>
          </w:p>
        </w:tc>
      </w:tr>
      <w:tr w14:paraId="184E85D9">
        <w:trPr>
          <w:trHeight w:val="193" w:hRule="atLeast"/>
          <w:jc w:val="center"/>
        </w:trPr>
        <w:tc>
          <w:tcPr>
            <w:tcW w:w="2097" w:type="pct"/>
            <w:tcBorders>
              <w:top w:val="nil"/>
              <w:left w:val="nil"/>
              <w:bottom w:val="nil"/>
              <w:right w:val="nil"/>
            </w:tcBorders>
            <w:shd w:val="clear" w:color="auto" w:fill="FFFFFF"/>
            <w:tcMar>
              <w:top w:w="55" w:type="dxa"/>
              <w:left w:w="55" w:type="dxa"/>
              <w:bottom w:w="55" w:type="dxa"/>
              <w:right w:w="55" w:type="dxa"/>
            </w:tcMar>
            <w:vAlign w:val="center"/>
          </w:tcPr>
          <w:p w14:paraId="68A46DF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slope</w:t>
            </w:r>
          </w:p>
        </w:tc>
        <w:tc>
          <w:tcPr>
            <w:tcW w:w="937" w:type="pct"/>
            <w:tcBorders>
              <w:top w:val="nil"/>
              <w:left w:val="nil"/>
              <w:bottom w:val="nil"/>
              <w:right w:val="nil"/>
            </w:tcBorders>
            <w:shd w:val="clear" w:color="auto" w:fill="FFFFFF"/>
            <w:tcMar>
              <w:top w:w="55" w:type="dxa"/>
              <w:left w:w="55" w:type="dxa"/>
              <w:bottom w:w="55" w:type="dxa"/>
              <w:right w:w="55" w:type="dxa"/>
            </w:tcMar>
            <w:vAlign w:val="center"/>
          </w:tcPr>
          <w:p w14:paraId="0306D55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Night waking</w:t>
            </w:r>
          </w:p>
        </w:tc>
        <w:tc>
          <w:tcPr>
            <w:tcW w:w="1238" w:type="pct"/>
            <w:tcBorders>
              <w:top w:val="nil"/>
              <w:left w:val="nil"/>
              <w:bottom w:val="nil"/>
              <w:right w:val="nil"/>
            </w:tcBorders>
            <w:shd w:val="clear" w:color="auto" w:fill="FFFFFF"/>
            <w:tcMar>
              <w:top w:w="55" w:type="dxa"/>
              <w:left w:w="55" w:type="dxa"/>
              <w:bottom w:w="55" w:type="dxa"/>
              <w:right w:w="55" w:type="dxa"/>
            </w:tcMar>
            <w:vAlign w:val="center"/>
          </w:tcPr>
          <w:p w14:paraId="439F5E8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0.86 (0.28, 2.65)</w:t>
            </w:r>
          </w:p>
        </w:tc>
        <w:tc>
          <w:tcPr>
            <w:tcW w:w="726" w:type="pct"/>
            <w:tcBorders>
              <w:top w:val="nil"/>
              <w:left w:val="nil"/>
              <w:bottom w:val="nil"/>
              <w:right w:val="nil"/>
            </w:tcBorders>
            <w:shd w:val="clear" w:color="auto" w:fill="FFFFFF"/>
            <w:tcMar>
              <w:top w:w="55" w:type="dxa"/>
              <w:left w:w="55" w:type="dxa"/>
              <w:bottom w:w="55" w:type="dxa"/>
              <w:right w:w="55" w:type="dxa"/>
            </w:tcMar>
            <w:vAlign w:val="center"/>
          </w:tcPr>
          <w:p w14:paraId="3CFD7E7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0.794</w:t>
            </w:r>
          </w:p>
        </w:tc>
      </w:tr>
      <w:tr w14:paraId="43B80BB6">
        <w:trPr>
          <w:trHeight w:val="193" w:hRule="atLeast"/>
          <w:jc w:val="center"/>
        </w:trPr>
        <w:tc>
          <w:tcPr>
            <w:tcW w:w="2097" w:type="pct"/>
            <w:tcBorders>
              <w:top w:val="nil"/>
              <w:left w:val="nil"/>
              <w:bottom w:val="nil"/>
              <w:right w:val="nil"/>
            </w:tcBorders>
            <w:shd w:val="clear" w:color="auto" w:fill="FFFFFF"/>
            <w:tcMar>
              <w:top w:w="55" w:type="dxa"/>
              <w:left w:w="55" w:type="dxa"/>
              <w:bottom w:w="55" w:type="dxa"/>
              <w:right w:w="55" w:type="dxa"/>
            </w:tcMar>
            <w:vAlign w:val="center"/>
          </w:tcPr>
          <w:p w14:paraId="2BFF8FA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slope</w:t>
            </w:r>
          </w:p>
        </w:tc>
        <w:tc>
          <w:tcPr>
            <w:tcW w:w="937" w:type="pct"/>
            <w:tcBorders>
              <w:top w:val="nil"/>
              <w:left w:val="nil"/>
              <w:bottom w:val="nil"/>
              <w:right w:val="nil"/>
            </w:tcBorders>
            <w:shd w:val="clear" w:color="auto" w:fill="FFFFFF"/>
            <w:tcMar>
              <w:top w:w="55" w:type="dxa"/>
              <w:left w:w="55" w:type="dxa"/>
              <w:bottom w:w="55" w:type="dxa"/>
              <w:right w:w="55" w:type="dxa"/>
            </w:tcMar>
            <w:vAlign w:val="center"/>
          </w:tcPr>
          <w:p w14:paraId="3F8980B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Asthma attack</w:t>
            </w:r>
          </w:p>
        </w:tc>
        <w:tc>
          <w:tcPr>
            <w:tcW w:w="1238" w:type="pct"/>
            <w:tcBorders>
              <w:top w:val="nil"/>
              <w:left w:val="nil"/>
              <w:bottom w:val="nil"/>
              <w:right w:val="nil"/>
            </w:tcBorders>
            <w:shd w:val="clear" w:color="auto" w:fill="FFFFFF"/>
            <w:tcMar>
              <w:top w:w="55" w:type="dxa"/>
              <w:left w:w="55" w:type="dxa"/>
              <w:bottom w:w="55" w:type="dxa"/>
              <w:right w:w="55" w:type="dxa"/>
            </w:tcMar>
            <w:vAlign w:val="center"/>
          </w:tcPr>
          <w:p w14:paraId="4F4CF0B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0.54 (0.21, 1.40)</w:t>
            </w:r>
          </w:p>
        </w:tc>
        <w:tc>
          <w:tcPr>
            <w:tcW w:w="726" w:type="pct"/>
            <w:tcBorders>
              <w:top w:val="nil"/>
              <w:left w:val="nil"/>
              <w:bottom w:val="nil"/>
              <w:right w:val="nil"/>
            </w:tcBorders>
            <w:shd w:val="clear" w:color="auto" w:fill="FFFFFF"/>
            <w:tcMar>
              <w:top w:w="55" w:type="dxa"/>
              <w:left w:w="55" w:type="dxa"/>
              <w:bottom w:w="55" w:type="dxa"/>
              <w:right w:w="55" w:type="dxa"/>
            </w:tcMar>
            <w:vAlign w:val="center"/>
          </w:tcPr>
          <w:p w14:paraId="1385992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0.205</w:t>
            </w:r>
          </w:p>
        </w:tc>
      </w:tr>
      <w:tr w14:paraId="2115DB30">
        <w:trPr>
          <w:trHeight w:val="193" w:hRule="atLeast"/>
          <w:jc w:val="center"/>
        </w:trPr>
        <w:tc>
          <w:tcPr>
            <w:tcW w:w="2097" w:type="pct"/>
            <w:tcBorders>
              <w:top w:val="nil"/>
              <w:left w:val="nil"/>
              <w:bottom w:val="nil"/>
              <w:right w:val="nil"/>
            </w:tcBorders>
            <w:shd w:val="clear" w:color="auto" w:fill="FFFFFF"/>
            <w:tcMar>
              <w:top w:w="55" w:type="dxa"/>
              <w:left w:w="55" w:type="dxa"/>
              <w:bottom w:w="55" w:type="dxa"/>
              <w:right w:w="55" w:type="dxa"/>
            </w:tcMar>
            <w:vAlign w:val="center"/>
          </w:tcPr>
          <w:p w14:paraId="6905F51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Number of ferritin &lt;30 episodes</w:t>
            </w:r>
          </w:p>
        </w:tc>
        <w:tc>
          <w:tcPr>
            <w:tcW w:w="937" w:type="pct"/>
            <w:tcBorders>
              <w:top w:val="nil"/>
              <w:left w:val="nil"/>
              <w:bottom w:val="nil"/>
              <w:right w:val="nil"/>
            </w:tcBorders>
            <w:shd w:val="clear" w:color="auto" w:fill="FFFFFF"/>
            <w:tcMar>
              <w:top w:w="55" w:type="dxa"/>
              <w:left w:w="55" w:type="dxa"/>
              <w:bottom w:w="55" w:type="dxa"/>
              <w:right w:w="55" w:type="dxa"/>
            </w:tcMar>
            <w:vAlign w:val="center"/>
          </w:tcPr>
          <w:p w14:paraId="3BF365D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Wheeze</w:t>
            </w:r>
          </w:p>
        </w:tc>
        <w:tc>
          <w:tcPr>
            <w:tcW w:w="1238" w:type="pct"/>
            <w:tcBorders>
              <w:top w:val="nil"/>
              <w:left w:val="nil"/>
              <w:bottom w:val="nil"/>
              <w:right w:val="nil"/>
            </w:tcBorders>
            <w:shd w:val="clear" w:color="auto" w:fill="FFFFFF"/>
            <w:tcMar>
              <w:top w:w="55" w:type="dxa"/>
              <w:left w:w="55" w:type="dxa"/>
              <w:bottom w:w="55" w:type="dxa"/>
              <w:right w:w="55" w:type="dxa"/>
            </w:tcMar>
            <w:vAlign w:val="center"/>
          </w:tcPr>
          <w:p w14:paraId="5D9C477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1.05 (0.88, 1.25)</w:t>
            </w:r>
          </w:p>
        </w:tc>
        <w:tc>
          <w:tcPr>
            <w:tcW w:w="726" w:type="pct"/>
            <w:tcBorders>
              <w:top w:val="nil"/>
              <w:left w:val="nil"/>
              <w:bottom w:val="nil"/>
              <w:right w:val="nil"/>
            </w:tcBorders>
            <w:shd w:val="clear" w:color="auto" w:fill="FFFFFF"/>
            <w:tcMar>
              <w:top w:w="55" w:type="dxa"/>
              <w:left w:w="55" w:type="dxa"/>
              <w:bottom w:w="55" w:type="dxa"/>
              <w:right w:w="55" w:type="dxa"/>
            </w:tcMar>
            <w:vAlign w:val="center"/>
          </w:tcPr>
          <w:p w14:paraId="0FEAFF9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0.575</w:t>
            </w:r>
          </w:p>
        </w:tc>
      </w:tr>
      <w:tr w14:paraId="296F76F1">
        <w:trPr>
          <w:trHeight w:val="193" w:hRule="atLeast"/>
          <w:jc w:val="center"/>
        </w:trPr>
        <w:tc>
          <w:tcPr>
            <w:tcW w:w="2097" w:type="pct"/>
            <w:tcBorders>
              <w:top w:val="nil"/>
              <w:left w:val="nil"/>
              <w:bottom w:val="nil"/>
              <w:right w:val="nil"/>
            </w:tcBorders>
            <w:shd w:val="clear" w:color="auto" w:fill="FFFFFF"/>
            <w:tcMar>
              <w:top w:w="55" w:type="dxa"/>
              <w:left w:w="55" w:type="dxa"/>
              <w:bottom w:w="55" w:type="dxa"/>
              <w:right w:w="55" w:type="dxa"/>
            </w:tcMar>
            <w:vAlign w:val="center"/>
          </w:tcPr>
          <w:p w14:paraId="34AB1DA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Number of ferritin &lt;30 episodes</w:t>
            </w:r>
          </w:p>
        </w:tc>
        <w:tc>
          <w:tcPr>
            <w:tcW w:w="937" w:type="pct"/>
            <w:tcBorders>
              <w:top w:val="nil"/>
              <w:left w:val="nil"/>
              <w:bottom w:val="nil"/>
              <w:right w:val="nil"/>
            </w:tcBorders>
            <w:shd w:val="clear" w:color="auto" w:fill="FFFFFF"/>
            <w:tcMar>
              <w:top w:w="55" w:type="dxa"/>
              <w:left w:w="55" w:type="dxa"/>
              <w:bottom w:w="55" w:type="dxa"/>
              <w:right w:w="55" w:type="dxa"/>
            </w:tcMar>
            <w:vAlign w:val="center"/>
          </w:tcPr>
          <w:p w14:paraId="4A577F4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Night waking</w:t>
            </w:r>
          </w:p>
        </w:tc>
        <w:tc>
          <w:tcPr>
            <w:tcW w:w="1238" w:type="pct"/>
            <w:tcBorders>
              <w:top w:val="nil"/>
              <w:left w:val="nil"/>
              <w:bottom w:val="nil"/>
              <w:right w:val="nil"/>
            </w:tcBorders>
            <w:shd w:val="clear" w:color="auto" w:fill="FFFFFF"/>
            <w:tcMar>
              <w:top w:w="55" w:type="dxa"/>
              <w:left w:w="55" w:type="dxa"/>
              <w:bottom w:w="55" w:type="dxa"/>
              <w:right w:w="55" w:type="dxa"/>
            </w:tcMar>
            <w:vAlign w:val="center"/>
          </w:tcPr>
          <w:p w14:paraId="55A0DFD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0.98 (0.78, 1.23)</w:t>
            </w:r>
          </w:p>
        </w:tc>
        <w:tc>
          <w:tcPr>
            <w:tcW w:w="726" w:type="pct"/>
            <w:tcBorders>
              <w:top w:val="nil"/>
              <w:left w:val="nil"/>
              <w:bottom w:val="nil"/>
              <w:right w:val="nil"/>
            </w:tcBorders>
            <w:shd w:val="clear" w:color="auto" w:fill="FFFFFF"/>
            <w:tcMar>
              <w:top w:w="55" w:type="dxa"/>
              <w:left w:w="55" w:type="dxa"/>
              <w:bottom w:w="55" w:type="dxa"/>
              <w:right w:w="55" w:type="dxa"/>
            </w:tcMar>
            <w:vAlign w:val="center"/>
          </w:tcPr>
          <w:p w14:paraId="6E16C2A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0.848</w:t>
            </w:r>
          </w:p>
        </w:tc>
      </w:tr>
      <w:tr w14:paraId="05C53F35">
        <w:trPr>
          <w:trHeight w:val="193" w:hRule="atLeast"/>
          <w:jc w:val="center"/>
        </w:trPr>
        <w:tc>
          <w:tcPr>
            <w:tcW w:w="209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5C9DD0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Number of ferritin &lt;30 episodes</w:t>
            </w:r>
          </w:p>
        </w:tc>
        <w:tc>
          <w:tcPr>
            <w:tcW w:w="93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6D95154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Asthma attack</w:t>
            </w:r>
          </w:p>
        </w:tc>
        <w:tc>
          <w:tcPr>
            <w:tcW w:w="1238"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CFBAD1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1.37 (1.12, 1.68)</w:t>
            </w:r>
          </w:p>
        </w:tc>
        <w:tc>
          <w:tcPr>
            <w:tcW w:w="726"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40DCC9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0.002</w:t>
            </w:r>
          </w:p>
        </w:tc>
      </w:tr>
    </w:tbl>
    <w:p w14:paraId="053153C7">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r>
        <w:rPr>
          <w:rFonts w:hint="default" w:ascii="Times New Roman" w:hAnsi="Times New Roman" w:eastAsia="Times New Roman" w:cs="Times New Roman Regular"/>
          <w:b/>
          <w:bCs/>
          <w:color w:val="auto"/>
          <w:sz w:val="20"/>
          <w:szCs w:val="22"/>
          <w:lang w:val="en-US" w:eastAsia="zh-CN"/>
        </w:rPr>
        <w:br w:type="textWrapping"/>
      </w:r>
      <w:r>
        <w:rPr>
          <w:rFonts w:hint="default" w:ascii="Times New Roman" w:hAnsi="Times New Roman" w:eastAsia="Times New Roman" w:cs="Times New Roman Regular"/>
          <w:b w:val="0"/>
          <w:bCs w:val="0"/>
          <w:color w:val="auto"/>
          <w:sz w:val="20"/>
          <w:szCs w:val="22"/>
          <w:lang w:val="en-US" w:eastAsia="zh-CN"/>
        </w:rPr>
        <w:t>Odds ratios (ORs), 95% confidence intervals (CIs), and P values are shown from generalized estimating equation (GEE) models evaluating the associations between dynamic iron-related measures and individual respiratory symptom items, including wheeze, night waking, and asthma attack. Models used a logit link and an exchangeable working correlation structure and were adjusted for follow-up time, age, sex, smoking status, body mass index (BMI), log-transformed C-reactive protein (CRP), and hemoglobin (Hb). The iron fragility index (IFI) and its individual component measures were entered separately into parallel models.</w:t>
      </w:r>
    </w:p>
    <w:p w14:paraId="68B83191">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66A4066">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99385F5">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1E9348C7">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7A0B3540">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7A1E9AA3">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2DDC1535">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679F3F82">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19388B6C">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577103EB">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31609400">
      <w:pPr>
        <w:pStyle w:val="2"/>
        <w:keepNext/>
        <w:spacing w:before="0" w:after="120" w:line="240" w:lineRule="auto"/>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Supplementary Table S7. Symptom prevalence according to repeated low-ferritin exposure categories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10"/>
        <w:gridCol w:w="2061"/>
        <w:gridCol w:w="2863"/>
        <w:gridCol w:w="3032"/>
      </w:tblGrid>
      <w:tr w14:paraId="194E3A5E">
        <w:trPr>
          <w:trHeight w:val="193" w:hRule="atLeast"/>
          <w:tblHeader/>
          <w:jc w:val="center"/>
        </w:trPr>
        <w:tc>
          <w:tcPr>
            <w:tcW w:w="223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6D86F84B">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Low-ferritin exposure category</w:t>
            </w:r>
          </w:p>
        </w:tc>
        <w:tc>
          <w:tcPr>
            <w:tcW w:w="717"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6B238F06">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Wheeze</w:t>
            </w:r>
          </w:p>
        </w:tc>
        <w:tc>
          <w:tcPr>
            <w:tcW w:w="996"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FD1576A">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Night waking</w:t>
            </w:r>
          </w:p>
        </w:tc>
        <w:tc>
          <w:tcPr>
            <w:tcW w:w="1055"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7D1CE03">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Asthma attack</w:t>
            </w:r>
          </w:p>
        </w:tc>
      </w:tr>
      <w:tr w14:paraId="76F708C7">
        <w:trPr>
          <w:trHeight w:val="193" w:hRule="atLeast"/>
          <w:jc w:val="center"/>
        </w:trPr>
        <w:tc>
          <w:tcPr>
            <w:tcW w:w="223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771A7E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Never low</w:t>
            </w:r>
          </w:p>
        </w:tc>
        <w:tc>
          <w:tcPr>
            <w:tcW w:w="717"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BA584E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38.70%</w:t>
            </w:r>
          </w:p>
        </w:tc>
        <w:tc>
          <w:tcPr>
            <w:tcW w:w="996"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97AE6A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17.80%</w:t>
            </w:r>
          </w:p>
        </w:tc>
        <w:tc>
          <w:tcPr>
            <w:tcW w:w="1055"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0AE826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27.30%</w:t>
            </w:r>
          </w:p>
        </w:tc>
      </w:tr>
      <w:tr w14:paraId="3F69DAE9">
        <w:trPr>
          <w:trHeight w:val="193" w:hRule="atLeast"/>
          <w:jc w:val="center"/>
        </w:trPr>
        <w:tc>
          <w:tcPr>
            <w:tcW w:w="2230" w:type="pct"/>
            <w:tcBorders>
              <w:top w:val="nil"/>
              <w:left w:val="nil"/>
              <w:bottom w:val="nil"/>
              <w:right w:val="nil"/>
            </w:tcBorders>
            <w:shd w:val="clear" w:color="auto" w:fill="FFFFFF"/>
            <w:tcMar>
              <w:top w:w="55" w:type="dxa"/>
              <w:left w:w="55" w:type="dxa"/>
              <w:bottom w:w="55" w:type="dxa"/>
              <w:right w:w="55" w:type="dxa"/>
            </w:tcMar>
            <w:vAlign w:val="center"/>
          </w:tcPr>
          <w:p w14:paraId="169EC3E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Intermittently low</w:t>
            </w:r>
          </w:p>
        </w:tc>
        <w:tc>
          <w:tcPr>
            <w:tcW w:w="717" w:type="pct"/>
            <w:tcBorders>
              <w:top w:val="nil"/>
              <w:left w:val="nil"/>
              <w:bottom w:val="nil"/>
              <w:right w:val="nil"/>
            </w:tcBorders>
            <w:shd w:val="clear" w:color="auto" w:fill="FFFFFF"/>
            <w:tcMar>
              <w:top w:w="55" w:type="dxa"/>
              <w:left w:w="55" w:type="dxa"/>
              <w:bottom w:w="55" w:type="dxa"/>
              <w:right w:w="55" w:type="dxa"/>
            </w:tcMar>
            <w:vAlign w:val="center"/>
          </w:tcPr>
          <w:p w14:paraId="69A65EF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36.90%</w:t>
            </w:r>
          </w:p>
        </w:tc>
        <w:tc>
          <w:tcPr>
            <w:tcW w:w="996" w:type="pct"/>
            <w:tcBorders>
              <w:top w:val="nil"/>
              <w:left w:val="nil"/>
              <w:bottom w:val="nil"/>
              <w:right w:val="nil"/>
            </w:tcBorders>
            <w:shd w:val="clear" w:color="auto" w:fill="FFFFFF"/>
            <w:tcMar>
              <w:top w:w="55" w:type="dxa"/>
              <w:left w:w="55" w:type="dxa"/>
              <w:bottom w:w="55" w:type="dxa"/>
              <w:right w:w="55" w:type="dxa"/>
            </w:tcMar>
            <w:vAlign w:val="center"/>
          </w:tcPr>
          <w:p w14:paraId="3EC7188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18.00%</w:t>
            </w:r>
          </w:p>
        </w:tc>
        <w:tc>
          <w:tcPr>
            <w:tcW w:w="1055" w:type="pct"/>
            <w:tcBorders>
              <w:top w:val="nil"/>
              <w:left w:val="nil"/>
              <w:bottom w:val="nil"/>
              <w:right w:val="nil"/>
            </w:tcBorders>
            <w:shd w:val="clear" w:color="auto" w:fill="FFFFFF"/>
            <w:tcMar>
              <w:top w:w="55" w:type="dxa"/>
              <w:left w:w="55" w:type="dxa"/>
              <w:bottom w:w="55" w:type="dxa"/>
              <w:right w:w="55" w:type="dxa"/>
            </w:tcMar>
            <w:vAlign w:val="center"/>
          </w:tcPr>
          <w:p w14:paraId="366E75D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33.30%</w:t>
            </w:r>
          </w:p>
        </w:tc>
      </w:tr>
      <w:tr w14:paraId="51A84BCA">
        <w:trPr>
          <w:trHeight w:val="193" w:hRule="atLeast"/>
          <w:jc w:val="center"/>
        </w:trPr>
        <w:tc>
          <w:tcPr>
            <w:tcW w:w="223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00D5C2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Repeatedly low</w:t>
            </w:r>
          </w:p>
        </w:tc>
        <w:tc>
          <w:tcPr>
            <w:tcW w:w="71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F3A3A1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40.40%</w:t>
            </w:r>
          </w:p>
        </w:tc>
        <w:tc>
          <w:tcPr>
            <w:tcW w:w="996"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CBB07A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17.70%</w:t>
            </w:r>
          </w:p>
        </w:tc>
        <w:tc>
          <w:tcPr>
            <w:tcW w:w="1055"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6C5F6F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34.00%</w:t>
            </w:r>
          </w:p>
        </w:tc>
      </w:tr>
    </w:tbl>
    <w:p w14:paraId="1B54008C">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r>
        <w:rPr>
          <w:rFonts w:hint="default" w:ascii="Times New Roman" w:hAnsi="Times New Roman" w:eastAsia="Times New Roman" w:cs="Times New Roman Regular"/>
          <w:b/>
          <w:bCs/>
          <w:color w:val="auto"/>
          <w:sz w:val="20"/>
          <w:szCs w:val="22"/>
          <w:lang w:val="en-US" w:eastAsia="zh-CN"/>
        </w:rPr>
        <w:br w:type="textWrapping"/>
      </w:r>
      <w:r>
        <w:rPr>
          <w:rFonts w:hint="default" w:ascii="Times New Roman" w:hAnsi="Times New Roman" w:eastAsia="Times New Roman" w:cs="Times New Roman Regular"/>
          <w:b w:val="0"/>
          <w:bCs w:val="0"/>
          <w:color w:val="auto"/>
          <w:sz w:val="20"/>
          <w:szCs w:val="22"/>
          <w:lang w:val="en-US" w:eastAsia="zh-CN"/>
        </w:rPr>
        <w:t>This table presents descriptive symptom prevalence across categories defined by repeated low-ferritin exposure during follow-up. Symptom frequencies are shown for wheeze, night waking, and asthma attack according to prespecified categories of low-ferritin exposure (for example, never low, intermittently low, and repeatedly low). These results are descriptive and unadjusted and are provided to illustrate the distribution of symptom burden across low-ferritin exposure groups. They should be interpreted as supportive background information rather than as adjusted inferential results.</w:t>
      </w:r>
    </w:p>
    <w:p w14:paraId="08177E13">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7425F4D">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0F48B5B">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5FF1D56">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9EC0CE8">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D79CED1">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BB89519">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680AD52">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DAA1D1F">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B31D752">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04241C0">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2E15736">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6001245">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6E3D992">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C26D5A3">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5C29B9D">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4625815D">
      <w:pPr>
        <w:pStyle w:val="2"/>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Supplementary Table S8. Sex-age stratified associations between ferritin CV and repeated FEV₁</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16"/>
        <w:gridCol w:w="1848"/>
        <w:gridCol w:w="1849"/>
        <w:gridCol w:w="4304"/>
        <w:gridCol w:w="1849"/>
      </w:tblGrid>
      <w:tr w14:paraId="22D981E1">
        <w:trPr>
          <w:trHeight w:val="193" w:hRule="atLeast"/>
          <w:tblHeader/>
          <w:jc w:val="center"/>
        </w:trPr>
        <w:tc>
          <w:tcPr>
            <w:tcW w:w="1571" w:type="pct"/>
            <w:tcBorders>
              <w:top w:val="single" w:color="000000" w:sz="12" w:space="0"/>
              <w:left w:val="nil"/>
              <w:bottom w:val="single" w:color="000000" w:sz="8" w:space="0"/>
              <w:right w:val="nil"/>
            </w:tcBorders>
            <w:shd w:val="clear" w:color="auto" w:fill="EAF2F8"/>
            <w:noWrap/>
            <w:tcMar>
              <w:top w:w="55" w:type="dxa"/>
              <w:left w:w="55" w:type="dxa"/>
              <w:bottom w:w="55" w:type="dxa"/>
              <w:right w:w="55" w:type="dxa"/>
            </w:tcMar>
            <w:vAlign w:val="center"/>
          </w:tcPr>
          <w:p w14:paraId="62E53F4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Exposure</w:t>
            </w:r>
          </w:p>
        </w:tc>
        <w:tc>
          <w:tcPr>
            <w:tcW w:w="643" w:type="pct"/>
            <w:tcBorders>
              <w:top w:val="single" w:color="000000" w:sz="12" w:space="0"/>
              <w:left w:val="nil"/>
              <w:bottom w:val="single" w:color="000000" w:sz="8" w:space="0"/>
              <w:right w:val="nil"/>
            </w:tcBorders>
            <w:shd w:val="clear" w:color="auto" w:fill="EAF2F8"/>
            <w:noWrap/>
            <w:tcMar>
              <w:top w:w="55" w:type="dxa"/>
              <w:left w:w="55" w:type="dxa"/>
              <w:bottom w:w="55" w:type="dxa"/>
              <w:right w:w="55" w:type="dxa"/>
            </w:tcMar>
            <w:vAlign w:val="center"/>
          </w:tcPr>
          <w:p w14:paraId="5351C0E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Sex</w:t>
            </w:r>
          </w:p>
        </w:tc>
        <w:tc>
          <w:tcPr>
            <w:tcW w:w="643" w:type="pct"/>
            <w:tcBorders>
              <w:top w:val="single" w:color="000000" w:sz="12" w:space="0"/>
              <w:left w:val="nil"/>
              <w:bottom w:val="single" w:color="000000" w:sz="8" w:space="0"/>
              <w:right w:val="nil"/>
            </w:tcBorders>
            <w:shd w:val="clear" w:color="auto" w:fill="EAF2F8"/>
            <w:noWrap/>
            <w:tcMar>
              <w:top w:w="55" w:type="dxa"/>
              <w:left w:w="55" w:type="dxa"/>
              <w:bottom w:w="55" w:type="dxa"/>
              <w:right w:w="55" w:type="dxa"/>
            </w:tcMar>
            <w:vAlign w:val="center"/>
          </w:tcPr>
          <w:p w14:paraId="78313E4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Age group</w:t>
            </w:r>
          </w:p>
        </w:tc>
        <w:tc>
          <w:tcPr>
            <w:tcW w:w="1497" w:type="pct"/>
            <w:tcBorders>
              <w:top w:val="single" w:color="000000" w:sz="12" w:space="0"/>
              <w:left w:val="nil"/>
              <w:bottom w:val="single" w:color="000000" w:sz="8" w:space="0"/>
              <w:right w:val="nil"/>
            </w:tcBorders>
            <w:shd w:val="clear" w:color="auto" w:fill="EAF2F8"/>
            <w:noWrap/>
            <w:tcMar>
              <w:top w:w="55" w:type="dxa"/>
              <w:left w:w="55" w:type="dxa"/>
              <w:bottom w:w="55" w:type="dxa"/>
              <w:right w:w="55" w:type="dxa"/>
            </w:tcMar>
            <w:vAlign w:val="center"/>
          </w:tcPr>
          <w:p w14:paraId="2D2F1DC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Beta (95% CI)</w:t>
            </w:r>
          </w:p>
        </w:tc>
        <w:tc>
          <w:tcPr>
            <w:tcW w:w="643" w:type="pct"/>
            <w:tcBorders>
              <w:top w:val="single" w:color="000000" w:sz="12" w:space="0"/>
              <w:left w:val="nil"/>
              <w:bottom w:val="single" w:color="000000" w:sz="8" w:space="0"/>
              <w:right w:val="nil"/>
            </w:tcBorders>
            <w:shd w:val="clear" w:color="auto" w:fill="EAF2F8"/>
            <w:noWrap/>
            <w:tcMar>
              <w:top w:w="55" w:type="dxa"/>
              <w:left w:w="55" w:type="dxa"/>
              <w:bottom w:w="55" w:type="dxa"/>
              <w:right w:w="55" w:type="dxa"/>
            </w:tcMar>
            <w:vAlign w:val="center"/>
          </w:tcPr>
          <w:p w14:paraId="481378B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P value</w:t>
            </w:r>
          </w:p>
        </w:tc>
      </w:tr>
      <w:tr w14:paraId="6E952EC7">
        <w:trPr>
          <w:trHeight w:val="193" w:hRule="atLeast"/>
          <w:jc w:val="center"/>
        </w:trPr>
        <w:tc>
          <w:tcPr>
            <w:tcW w:w="1571" w:type="pct"/>
            <w:tcBorders>
              <w:top w:val="nil"/>
              <w:left w:val="nil"/>
              <w:bottom w:val="nil"/>
              <w:right w:val="nil"/>
            </w:tcBorders>
            <w:shd w:val="clear" w:color="auto" w:fill="FFFFFF"/>
            <w:noWrap/>
            <w:tcMar>
              <w:top w:w="55" w:type="dxa"/>
              <w:left w:w="55" w:type="dxa"/>
              <w:bottom w:w="55" w:type="dxa"/>
              <w:right w:w="55" w:type="dxa"/>
            </w:tcMar>
            <w:vAlign w:val="center"/>
          </w:tcPr>
          <w:p w14:paraId="040E881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variability (CV)</w:t>
            </w:r>
          </w:p>
        </w:tc>
        <w:tc>
          <w:tcPr>
            <w:tcW w:w="643" w:type="pct"/>
            <w:tcBorders>
              <w:top w:val="nil"/>
              <w:left w:val="nil"/>
              <w:bottom w:val="nil"/>
              <w:right w:val="nil"/>
            </w:tcBorders>
            <w:shd w:val="clear" w:color="auto" w:fill="FFFFFF"/>
            <w:noWrap/>
            <w:tcMar>
              <w:top w:w="55" w:type="dxa"/>
              <w:left w:w="55" w:type="dxa"/>
              <w:bottom w:w="55" w:type="dxa"/>
              <w:right w:w="55" w:type="dxa"/>
            </w:tcMar>
            <w:vAlign w:val="center"/>
          </w:tcPr>
          <w:p w14:paraId="5234B4D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Male</w:t>
            </w:r>
          </w:p>
        </w:tc>
        <w:tc>
          <w:tcPr>
            <w:tcW w:w="643" w:type="pct"/>
            <w:tcBorders>
              <w:top w:val="nil"/>
              <w:left w:val="nil"/>
              <w:bottom w:val="nil"/>
              <w:right w:val="nil"/>
            </w:tcBorders>
            <w:shd w:val="clear" w:color="auto" w:fill="FFFFFF"/>
            <w:noWrap/>
            <w:tcMar>
              <w:top w:w="55" w:type="dxa"/>
              <w:left w:w="55" w:type="dxa"/>
              <w:bottom w:w="55" w:type="dxa"/>
              <w:right w:w="55" w:type="dxa"/>
            </w:tcMar>
            <w:vAlign w:val="center"/>
          </w:tcPr>
          <w:p w14:paraId="1876B37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50-59</w:t>
            </w:r>
          </w:p>
        </w:tc>
        <w:tc>
          <w:tcPr>
            <w:tcW w:w="1497" w:type="pct"/>
            <w:tcBorders>
              <w:top w:val="nil"/>
              <w:left w:val="nil"/>
              <w:bottom w:val="nil"/>
              <w:right w:val="nil"/>
            </w:tcBorders>
            <w:shd w:val="clear" w:color="auto" w:fill="FFFFFF"/>
            <w:noWrap/>
            <w:tcMar>
              <w:top w:w="55" w:type="dxa"/>
              <w:left w:w="55" w:type="dxa"/>
              <w:bottom w:w="55" w:type="dxa"/>
              <w:right w:w="55" w:type="dxa"/>
            </w:tcMar>
            <w:vAlign w:val="center"/>
          </w:tcPr>
          <w:p w14:paraId="5A55F17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-0.719 (-1.545, 0.106)</w:t>
            </w:r>
          </w:p>
        </w:tc>
        <w:tc>
          <w:tcPr>
            <w:tcW w:w="643" w:type="pct"/>
            <w:tcBorders>
              <w:top w:val="nil"/>
              <w:left w:val="nil"/>
              <w:bottom w:val="nil"/>
              <w:right w:val="nil"/>
            </w:tcBorders>
            <w:shd w:val="clear" w:color="auto" w:fill="FFFFFF"/>
            <w:noWrap/>
            <w:tcMar>
              <w:top w:w="55" w:type="dxa"/>
              <w:left w:w="55" w:type="dxa"/>
              <w:bottom w:w="55" w:type="dxa"/>
              <w:right w:w="55" w:type="dxa"/>
            </w:tcMar>
            <w:vAlign w:val="center"/>
          </w:tcPr>
          <w:p w14:paraId="22FA88E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0.094</w:t>
            </w:r>
          </w:p>
        </w:tc>
      </w:tr>
      <w:tr w14:paraId="0E3BD256">
        <w:trPr>
          <w:trHeight w:val="193" w:hRule="atLeast"/>
          <w:jc w:val="center"/>
        </w:trPr>
        <w:tc>
          <w:tcPr>
            <w:tcW w:w="1571" w:type="pct"/>
            <w:tcBorders>
              <w:top w:val="nil"/>
              <w:left w:val="nil"/>
              <w:bottom w:val="nil"/>
              <w:right w:val="nil"/>
            </w:tcBorders>
            <w:shd w:val="clear" w:color="auto" w:fill="FFFFFF"/>
            <w:noWrap/>
            <w:tcMar>
              <w:top w:w="55" w:type="dxa"/>
              <w:left w:w="55" w:type="dxa"/>
              <w:bottom w:w="55" w:type="dxa"/>
              <w:right w:w="55" w:type="dxa"/>
            </w:tcMar>
            <w:vAlign w:val="center"/>
          </w:tcPr>
          <w:p w14:paraId="7F1456A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variability (CV)</w:t>
            </w:r>
          </w:p>
        </w:tc>
        <w:tc>
          <w:tcPr>
            <w:tcW w:w="643" w:type="pct"/>
            <w:tcBorders>
              <w:top w:val="nil"/>
              <w:left w:val="nil"/>
              <w:bottom w:val="nil"/>
              <w:right w:val="nil"/>
            </w:tcBorders>
            <w:shd w:val="clear" w:color="auto" w:fill="FFFFFF"/>
            <w:noWrap/>
            <w:tcMar>
              <w:top w:w="55" w:type="dxa"/>
              <w:left w:w="55" w:type="dxa"/>
              <w:bottom w:w="55" w:type="dxa"/>
              <w:right w:w="55" w:type="dxa"/>
            </w:tcMar>
            <w:vAlign w:val="center"/>
          </w:tcPr>
          <w:p w14:paraId="336CEDB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Male</w:t>
            </w:r>
          </w:p>
        </w:tc>
        <w:tc>
          <w:tcPr>
            <w:tcW w:w="643" w:type="pct"/>
            <w:tcBorders>
              <w:top w:val="nil"/>
              <w:left w:val="nil"/>
              <w:bottom w:val="nil"/>
              <w:right w:val="nil"/>
            </w:tcBorders>
            <w:shd w:val="clear" w:color="auto" w:fill="FFFFFF"/>
            <w:noWrap/>
            <w:tcMar>
              <w:top w:w="55" w:type="dxa"/>
              <w:left w:w="55" w:type="dxa"/>
              <w:bottom w:w="55" w:type="dxa"/>
              <w:right w:w="55" w:type="dxa"/>
            </w:tcMar>
            <w:vAlign w:val="center"/>
          </w:tcPr>
          <w:p w14:paraId="24B0557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60-69</w:t>
            </w:r>
          </w:p>
        </w:tc>
        <w:tc>
          <w:tcPr>
            <w:tcW w:w="1497" w:type="pct"/>
            <w:tcBorders>
              <w:top w:val="nil"/>
              <w:left w:val="nil"/>
              <w:bottom w:val="nil"/>
              <w:right w:val="nil"/>
            </w:tcBorders>
            <w:shd w:val="clear" w:color="auto" w:fill="FFFFFF"/>
            <w:noWrap/>
            <w:tcMar>
              <w:top w:w="55" w:type="dxa"/>
              <w:left w:w="55" w:type="dxa"/>
              <w:bottom w:w="55" w:type="dxa"/>
              <w:right w:w="55" w:type="dxa"/>
            </w:tcMar>
            <w:vAlign w:val="center"/>
          </w:tcPr>
          <w:p w14:paraId="597B8C7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-0.335 (-0.882, 0.212)</w:t>
            </w:r>
          </w:p>
        </w:tc>
        <w:tc>
          <w:tcPr>
            <w:tcW w:w="643" w:type="pct"/>
            <w:tcBorders>
              <w:top w:val="nil"/>
              <w:left w:val="nil"/>
              <w:bottom w:val="nil"/>
              <w:right w:val="nil"/>
            </w:tcBorders>
            <w:shd w:val="clear" w:color="auto" w:fill="FFFFFF"/>
            <w:noWrap/>
            <w:tcMar>
              <w:top w:w="55" w:type="dxa"/>
              <w:left w:w="55" w:type="dxa"/>
              <w:bottom w:w="55" w:type="dxa"/>
              <w:right w:w="55" w:type="dxa"/>
            </w:tcMar>
            <w:vAlign w:val="center"/>
          </w:tcPr>
          <w:p w14:paraId="056AA0A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0.232</w:t>
            </w:r>
          </w:p>
        </w:tc>
      </w:tr>
      <w:tr w14:paraId="78E521B8">
        <w:trPr>
          <w:trHeight w:val="193" w:hRule="atLeast"/>
          <w:jc w:val="center"/>
        </w:trPr>
        <w:tc>
          <w:tcPr>
            <w:tcW w:w="1571" w:type="pct"/>
            <w:tcBorders>
              <w:top w:val="nil"/>
              <w:left w:val="nil"/>
              <w:bottom w:val="nil"/>
              <w:right w:val="nil"/>
            </w:tcBorders>
            <w:shd w:val="clear" w:color="auto" w:fill="FFFFFF"/>
            <w:noWrap/>
            <w:tcMar>
              <w:top w:w="55" w:type="dxa"/>
              <w:left w:w="55" w:type="dxa"/>
              <w:bottom w:w="55" w:type="dxa"/>
              <w:right w:w="55" w:type="dxa"/>
            </w:tcMar>
            <w:vAlign w:val="center"/>
          </w:tcPr>
          <w:p w14:paraId="318F37F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variability (CV)</w:t>
            </w:r>
          </w:p>
        </w:tc>
        <w:tc>
          <w:tcPr>
            <w:tcW w:w="643" w:type="pct"/>
            <w:tcBorders>
              <w:top w:val="nil"/>
              <w:left w:val="nil"/>
              <w:bottom w:val="nil"/>
              <w:right w:val="nil"/>
            </w:tcBorders>
            <w:shd w:val="clear" w:color="auto" w:fill="FFFFFF"/>
            <w:noWrap/>
            <w:tcMar>
              <w:top w:w="55" w:type="dxa"/>
              <w:left w:w="55" w:type="dxa"/>
              <w:bottom w:w="55" w:type="dxa"/>
              <w:right w:w="55" w:type="dxa"/>
            </w:tcMar>
            <w:vAlign w:val="center"/>
          </w:tcPr>
          <w:p w14:paraId="546CA70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Male</w:t>
            </w:r>
          </w:p>
        </w:tc>
        <w:tc>
          <w:tcPr>
            <w:tcW w:w="643" w:type="pct"/>
            <w:tcBorders>
              <w:top w:val="nil"/>
              <w:left w:val="nil"/>
              <w:bottom w:val="nil"/>
              <w:right w:val="nil"/>
            </w:tcBorders>
            <w:shd w:val="clear" w:color="auto" w:fill="FFFFFF"/>
            <w:noWrap/>
            <w:tcMar>
              <w:top w:w="55" w:type="dxa"/>
              <w:left w:w="55" w:type="dxa"/>
              <w:bottom w:w="55" w:type="dxa"/>
              <w:right w:w="55" w:type="dxa"/>
            </w:tcMar>
            <w:vAlign w:val="center"/>
          </w:tcPr>
          <w:p w14:paraId="777781F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70+</w:t>
            </w:r>
          </w:p>
        </w:tc>
        <w:tc>
          <w:tcPr>
            <w:tcW w:w="1497" w:type="pct"/>
            <w:tcBorders>
              <w:top w:val="nil"/>
              <w:left w:val="nil"/>
              <w:bottom w:val="nil"/>
              <w:right w:val="nil"/>
            </w:tcBorders>
            <w:shd w:val="clear" w:color="auto" w:fill="FFFFFF"/>
            <w:noWrap/>
            <w:tcMar>
              <w:top w:w="55" w:type="dxa"/>
              <w:left w:w="55" w:type="dxa"/>
              <w:bottom w:w="55" w:type="dxa"/>
              <w:right w:w="55" w:type="dxa"/>
            </w:tcMar>
            <w:vAlign w:val="center"/>
          </w:tcPr>
          <w:p w14:paraId="70D0E3B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-0.411 (-0.933, 0.111)</w:t>
            </w:r>
          </w:p>
        </w:tc>
        <w:tc>
          <w:tcPr>
            <w:tcW w:w="643" w:type="pct"/>
            <w:tcBorders>
              <w:top w:val="nil"/>
              <w:left w:val="nil"/>
              <w:bottom w:val="nil"/>
              <w:right w:val="nil"/>
            </w:tcBorders>
            <w:shd w:val="clear" w:color="auto" w:fill="FFFFFF"/>
            <w:noWrap/>
            <w:tcMar>
              <w:top w:w="55" w:type="dxa"/>
              <w:left w:w="55" w:type="dxa"/>
              <w:bottom w:w="55" w:type="dxa"/>
              <w:right w:w="55" w:type="dxa"/>
            </w:tcMar>
            <w:vAlign w:val="center"/>
          </w:tcPr>
          <w:p w14:paraId="355E141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0.126</w:t>
            </w:r>
          </w:p>
        </w:tc>
      </w:tr>
      <w:tr w14:paraId="7AE5F642">
        <w:trPr>
          <w:trHeight w:val="193" w:hRule="atLeast"/>
          <w:jc w:val="center"/>
        </w:trPr>
        <w:tc>
          <w:tcPr>
            <w:tcW w:w="1571" w:type="pct"/>
            <w:tcBorders>
              <w:top w:val="nil"/>
              <w:left w:val="nil"/>
              <w:bottom w:val="nil"/>
              <w:right w:val="nil"/>
            </w:tcBorders>
            <w:shd w:val="clear" w:color="auto" w:fill="FFFFFF"/>
            <w:noWrap/>
            <w:tcMar>
              <w:top w:w="55" w:type="dxa"/>
              <w:left w:w="55" w:type="dxa"/>
              <w:bottom w:w="55" w:type="dxa"/>
              <w:right w:w="55" w:type="dxa"/>
            </w:tcMar>
            <w:vAlign w:val="center"/>
          </w:tcPr>
          <w:p w14:paraId="199C44C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variability (CV)</w:t>
            </w:r>
          </w:p>
        </w:tc>
        <w:tc>
          <w:tcPr>
            <w:tcW w:w="643" w:type="pct"/>
            <w:tcBorders>
              <w:top w:val="nil"/>
              <w:left w:val="nil"/>
              <w:bottom w:val="nil"/>
              <w:right w:val="nil"/>
            </w:tcBorders>
            <w:shd w:val="clear" w:color="auto" w:fill="FFFFFF"/>
            <w:noWrap/>
            <w:tcMar>
              <w:top w:w="55" w:type="dxa"/>
              <w:left w:w="55" w:type="dxa"/>
              <w:bottom w:w="55" w:type="dxa"/>
              <w:right w:w="55" w:type="dxa"/>
            </w:tcMar>
            <w:vAlign w:val="center"/>
          </w:tcPr>
          <w:p w14:paraId="30C0DD7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Female</w:t>
            </w:r>
          </w:p>
        </w:tc>
        <w:tc>
          <w:tcPr>
            <w:tcW w:w="643" w:type="pct"/>
            <w:tcBorders>
              <w:top w:val="nil"/>
              <w:left w:val="nil"/>
              <w:bottom w:val="nil"/>
              <w:right w:val="nil"/>
            </w:tcBorders>
            <w:shd w:val="clear" w:color="auto" w:fill="FFFFFF"/>
            <w:noWrap/>
            <w:tcMar>
              <w:top w:w="55" w:type="dxa"/>
              <w:left w:w="55" w:type="dxa"/>
              <w:bottom w:w="55" w:type="dxa"/>
              <w:right w:w="55" w:type="dxa"/>
            </w:tcMar>
            <w:vAlign w:val="center"/>
          </w:tcPr>
          <w:p w14:paraId="498D02D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50-59</w:t>
            </w:r>
          </w:p>
        </w:tc>
        <w:tc>
          <w:tcPr>
            <w:tcW w:w="1497" w:type="pct"/>
            <w:tcBorders>
              <w:top w:val="nil"/>
              <w:left w:val="nil"/>
              <w:bottom w:val="nil"/>
              <w:right w:val="nil"/>
            </w:tcBorders>
            <w:shd w:val="clear" w:color="auto" w:fill="FFFFFF"/>
            <w:noWrap/>
            <w:tcMar>
              <w:top w:w="55" w:type="dxa"/>
              <w:left w:w="55" w:type="dxa"/>
              <w:bottom w:w="55" w:type="dxa"/>
              <w:right w:w="55" w:type="dxa"/>
            </w:tcMar>
            <w:vAlign w:val="center"/>
          </w:tcPr>
          <w:p w14:paraId="4D03F8C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-0.125 (-0.472, 0.223)</w:t>
            </w:r>
          </w:p>
        </w:tc>
        <w:tc>
          <w:tcPr>
            <w:tcW w:w="643" w:type="pct"/>
            <w:tcBorders>
              <w:top w:val="nil"/>
              <w:left w:val="nil"/>
              <w:bottom w:val="nil"/>
              <w:right w:val="nil"/>
            </w:tcBorders>
            <w:shd w:val="clear" w:color="auto" w:fill="FFFFFF"/>
            <w:noWrap/>
            <w:tcMar>
              <w:top w:w="55" w:type="dxa"/>
              <w:left w:w="55" w:type="dxa"/>
              <w:bottom w:w="55" w:type="dxa"/>
              <w:right w:w="55" w:type="dxa"/>
            </w:tcMar>
            <w:vAlign w:val="center"/>
          </w:tcPr>
          <w:p w14:paraId="2B958E5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0.483</w:t>
            </w:r>
          </w:p>
        </w:tc>
      </w:tr>
      <w:tr w14:paraId="727AE265">
        <w:trPr>
          <w:trHeight w:val="193" w:hRule="atLeast"/>
          <w:jc w:val="center"/>
        </w:trPr>
        <w:tc>
          <w:tcPr>
            <w:tcW w:w="1571" w:type="pct"/>
            <w:tcBorders>
              <w:top w:val="nil"/>
              <w:left w:val="nil"/>
              <w:bottom w:val="nil"/>
              <w:right w:val="nil"/>
            </w:tcBorders>
            <w:shd w:val="clear" w:color="auto" w:fill="FFFFFF"/>
            <w:noWrap/>
            <w:tcMar>
              <w:top w:w="55" w:type="dxa"/>
              <w:left w:w="55" w:type="dxa"/>
              <w:bottom w:w="55" w:type="dxa"/>
              <w:right w:w="55" w:type="dxa"/>
            </w:tcMar>
            <w:vAlign w:val="center"/>
          </w:tcPr>
          <w:p w14:paraId="42E823B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variability (CV)</w:t>
            </w:r>
          </w:p>
        </w:tc>
        <w:tc>
          <w:tcPr>
            <w:tcW w:w="643" w:type="pct"/>
            <w:tcBorders>
              <w:top w:val="nil"/>
              <w:left w:val="nil"/>
              <w:bottom w:val="nil"/>
              <w:right w:val="nil"/>
            </w:tcBorders>
            <w:shd w:val="clear" w:color="auto" w:fill="FFFFFF"/>
            <w:noWrap/>
            <w:tcMar>
              <w:top w:w="55" w:type="dxa"/>
              <w:left w:w="55" w:type="dxa"/>
              <w:bottom w:w="55" w:type="dxa"/>
              <w:right w:w="55" w:type="dxa"/>
            </w:tcMar>
            <w:vAlign w:val="center"/>
          </w:tcPr>
          <w:p w14:paraId="6B7A0E3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Female</w:t>
            </w:r>
          </w:p>
        </w:tc>
        <w:tc>
          <w:tcPr>
            <w:tcW w:w="643" w:type="pct"/>
            <w:tcBorders>
              <w:top w:val="nil"/>
              <w:left w:val="nil"/>
              <w:bottom w:val="nil"/>
              <w:right w:val="nil"/>
            </w:tcBorders>
            <w:shd w:val="clear" w:color="auto" w:fill="FFFFFF"/>
            <w:noWrap/>
            <w:tcMar>
              <w:top w:w="55" w:type="dxa"/>
              <w:left w:w="55" w:type="dxa"/>
              <w:bottom w:w="55" w:type="dxa"/>
              <w:right w:w="55" w:type="dxa"/>
            </w:tcMar>
            <w:vAlign w:val="center"/>
          </w:tcPr>
          <w:p w14:paraId="58D7D4D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60-69</w:t>
            </w:r>
          </w:p>
        </w:tc>
        <w:tc>
          <w:tcPr>
            <w:tcW w:w="1497" w:type="pct"/>
            <w:tcBorders>
              <w:top w:val="nil"/>
              <w:left w:val="nil"/>
              <w:bottom w:val="nil"/>
              <w:right w:val="nil"/>
            </w:tcBorders>
            <w:shd w:val="clear" w:color="auto" w:fill="FFFFFF"/>
            <w:noWrap/>
            <w:tcMar>
              <w:top w:w="55" w:type="dxa"/>
              <w:left w:w="55" w:type="dxa"/>
              <w:bottom w:w="55" w:type="dxa"/>
              <w:right w:w="55" w:type="dxa"/>
            </w:tcMar>
            <w:vAlign w:val="center"/>
          </w:tcPr>
          <w:p w14:paraId="1FADB0C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-0.338 (-0.612, -0.063)</w:t>
            </w:r>
          </w:p>
        </w:tc>
        <w:tc>
          <w:tcPr>
            <w:tcW w:w="643" w:type="pct"/>
            <w:tcBorders>
              <w:top w:val="nil"/>
              <w:left w:val="nil"/>
              <w:bottom w:val="nil"/>
              <w:right w:val="nil"/>
            </w:tcBorders>
            <w:shd w:val="clear" w:color="auto" w:fill="FFFFFF"/>
            <w:noWrap/>
            <w:tcMar>
              <w:top w:w="55" w:type="dxa"/>
              <w:left w:w="55" w:type="dxa"/>
              <w:bottom w:w="55" w:type="dxa"/>
              <w:right w:w="55" w:type="dxa"/>
            </w:tcMar>
            <w:vAlign w:val="center"/>
          </w:tcPr>
          <w:p w14:paraId="4EB804E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0.017</w:t>
            </w:r>
          </w:p>
        </w:tc>
      </w:tr>
      <w:tr w14:paraId="6D6920BF">
        <w:trPr>
          <w:trHeight w:val="193" w:hRule="atLeast"/>
          <w:jc w:val="center"/>
        </w:trPr>
        <w:tc>
          <w:tcPr>
            <w:tcW w:w="1571"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0986DFF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variability (CV)</w:t>
            </w:r>
          </w:p>
        </w:tc>
        <w:tc>
          <w:tcPr>
            <w:tcW w:w="643"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33F72E3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Female</w:t>
            </w:r>
          </w:p>
        </w:tc>
        <w:tc>
          <w:tcPr>
            <w:tcW w:w="643"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28C4204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70+</w:t>
            </w:r>
          </w:p>
        </w:tc>
        <w:tc>
          <w:tcPr>
            <w:tcW w:w="1497"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4EC442E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-0.180 (-0.473, 0.113)</w:t>
            </w:r>
          </w:p>
        </w:tc>
        <w:tc>
          <w:tcPr>
            <w:tcW w:w="643"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77220BF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0.231</w:t>
            </w:r>
          </w:p>
        </w:tc>
      </w:tr>
    </w:tbl>
    <w:p w14:paraId="20098DE7">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r>
        <w:rPr>
          <w:rFonts w:hint="default" w:ascii="Times New Roman" w:hAnsi="Times New Roman" w:eastAsia="Times New Roman" w:cs="Times New Roman Regular"/>
          <w:b/>
          <w:bCs/>
          <w:color w:val="auto"/>
          <w:sz w:val="20"/>
          <w:szCs w:val="22"/>
          <w:lang w:val="en-US" w:eastAsia="zh-CN"/>
        </w:rPr>
        <w:br w:type="textWrapping"/>
      </w:r>
      <w:r>
        <w:rPr>
          <w:rFonts w:hint="default" w:ascii="Times New Roman" w:hAnsi="Times New Roman" w:eastAsia="Times New Roman" w:cs="Times New Roman Regular"/>
          <w:b w:val="0"/>
          <w:bCs w:val="0"/>
          <w:color w:val="auto"/>
          <w:sz w:val="20"/>
          <w:szCs w:val="22"/>
          <w:lang w:val="en-US" w:eastAsia="zh-CN"/>
        </w:rPr>
        <w:t>Regression coefficients (β), 95% confidence intervals (CIs), and P values are shown from Hb-adjusted linear mixed-effects models examining the association between ferritin coefficient of variation (CV) and repeated forced expiratory volume in 1 second (FEV₁) within prespecified sex-age strata. Age was categorized as 50–59 years, 60–69 years, and ≥70 years. Models were fitted separately within each stratum and adjusted for smoking status, body mass index (BMI), log-transformed C-reactive protein (CRP), and hemoglobin (Hb), with participant-level random intercepts to account for repeated measurements. These analyses were used to describe the subgroup-specific pattern and magnitude of the ferritin CV–FEV₁ association.</w:t>
      </w:r>
    </w:p>
    <w:p w14:paraId="26DD4932">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DB6C475">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DA3DDD4">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CE8CF63">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0C0BBB4">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23198BF">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4B607F8">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02167C3">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01D4439">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816597C">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D703EEC">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D22A0FF">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D216D64">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7FC347F5">
      <w:pPr>
        <w:pStyle w:val="2"/>
        <w:keepNext/>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Supplementary Table S9. Hb-adjusted three-way interaction model of ferritin CV, sex, and age group for repeated FEV₁</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03"/>
        <w:gridCol w:w="4349"/>
        <w:gridCol w:w="2814"/>
      </w:tblGrid>
      <w:tr w14:paraId="1EBBCD80">
        <w:trPr>
          <w:trHeight w:val="336" w:hRule="atLeast"/>
          <w:tblHeader/>
          <w:jc w:val="center"/>
        </w:trPr>
        <w:tc>
          <w:tcPr>
            <w:tcW w:w="1080" w:type="dxa"/>
            <w:tcBorders>
              <w:top w:val="single" w:color="000000" w:sz="12" w:space="0"/>
              <w:left w:val="nil"/>
              <w:bottom w:val="single" w:color="000000" w:sz="4" w:space="0"/>
              <w:right w:val="nil"/>
              <w:tl2br w:val="nil"/>
            </w:tcBorders>
            <w:shd w:val="clear" w:color="auto" w:fill="EAF2F8"/>
            <w:noWrap/>
            <w:tcMar>
              <w:top w:w="55" w:type="dxa"/>
              <w:left w:w="55" w:type="dxa"/>
              <w:bottom w:w="55" w:type="dxa"/>
              <w:right w:w="55" w:type="dxa"/>
            </w:tcMar>
            <w:vAlign w:val="center"/>
          </w:tcPr>
          <w:p w14:paraId="001FADBC">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Term</w:t>
            </w:r>
          </w:p>
        </w:tc>
        <w:tc>
          <w:tcPr>
            <w:tcW w:w="1080" w:type="dxa"/>
            <w:tcBorders>
              <w:top w:val="single" w:color="000000" w:sz="12" w:space="0"/>
              <w:left w:val="nil"/>
              <w:bottom w:val="single" w:color="000000" w:sz="4" w:space="0"/>
              <w:right w:val="nil"/>
            </w:tcBorders>
            <w:shd w:val="clear" w:color="auto" w:fill="EAF2F8"/>
            <w:noWrap/>
            <w:tcMar>
              <w:top w:w="55" w:type="dxa"/>
              <w:left w:w="55" w:type="dxa"/>
              <w:bottom w:w="55" w:type="dxa"/>
              <w:right w:w="55" w:type="dxa"/>
            </w:tcMar>
            <w:vAlign w:val="center"/>
          </w:tcPr>
          <w:p w14:paraId="3666A8A6">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Beta (95% CI)</w:t>
            </w:r>
          </w:p>
        </w:tc>
        <w:tc>
          <w:tcPr>
            <w:tcW w:w="1080" w:type="dxa"/>
            <w:tcBorders>
              <w:top w:val="single" w:color="000000" w:sz="12" w:space="0"/>
              <w:left w:val="nil"/>
              <w:bottom w:val="single" w:color="000000" w:sz="4" w:space="0"/>
              <w:right w:val="nil"/>
            </w:tcBorders>
            <w:shd w:val="clear" w:color="auto" w:fill="EAF2F8"/>
            <w:noWrap/>
            <w:tcMar>
              <w:top w:w="55" w:type="dxa"/>
              <w:left w:w="55" w:type="dxa"/>
              <w:bottom w:w="55" w:type="dxa"/>
              <w:right w:w="55" w:type="dxa"/>
            </w:tcMar>
            <w:vAlign w:val="center"/>
          </w:tcPr>
          <w:p w14:paraId="5E46F5AC">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15AFE750">
        <w:trPr>
          <w:trHeight w:val="336" w:hRule="atLeast"/>
          <w:jc w:val="center"/>
        </w:trPr>
        <w:tc>
          <w:tcPr>
            <w:tcW w:w="0" w:type="auto"/>
            <w:tcBorders>
              <w:top w:val="single" w:color="000000" w:sz="4" w:space="0"/>
              <w:left w:val="nil"/>
              <w:bottom w:val="nil"/>
              <w:right w:val="nil"/>
            </w:tcBorders>
            <w:shd w:val="clear" w:color="auto" w:fill="FFFFFF"/>
            <w:noWrap/>
            <w:tcMar>
              <w:top w:w="55" w:type="dxa"/>
              <w:left w:w="55" w:type="dxa"/>
              <w:bottom w:w="55" w:type="dxa"/>
              <w:right w:w="55" w:type="dxa"/>
            </w:tcMar>
            <w:vAlign w:val="center"/>
          </w:tcPr>
          <w:p w14:paraId="33431645">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ferritin_cv</w:t>
            </w:r>
          </w:p>
        </w:tc>
        <w:tc>
          <w:tcPr>
            <w:tcW w:w="0" w:type="auto"/>
            <w:tcBorders>
              <w:top w:val="single" w:color="000000" w:sz="4" w:space="0"/>
              <w:left w:val="nil"/>
              <w:bottom w:val="nil"/>
              <w:right w:val="nil"/>
            </w:tcBorders>
            <w:shd w:val="clear" w:color="auto" w:fill="FFFFFF"/>
            <w:noWrap/>
            <w:tcMar>
              <w:top w:w="55" w:type="dxa"/>
              <w:left w:w="55" w:type="dxa"/>
              <w:bottom w:w="55" w:type="dxa"/>
              <w:right w:w="55" w:type="dxa"/>
            </w:tcMar>
            <w:vAlign w:val="center"/>
          </w:tcPr>
          <w:p w14:paraId="664F3B80">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-0.647 (-1.231, -0.063)</w:t>
            </w:r>
          </w:p>
        </w:tc>
        <w:tc>
          <w:tcPr>
            <w:tcW w:w="0" w:type="auto"/>
            <w:tcBorders>
              <w:top w:val="single" w:color="000000" w:sz="4" w:space="0"/>
              <w:left w:val="nil"/>
              <w:bottom w:val="nil"/>
              <w:right w:val="nil"/>
            </w:tcBorders>
            <w:shd w:val="clear" w:color="auto" w:fill="FFFFFF"/>
            <w:noWrap/>
            <w:tcMar>
              <w:top w:w="55" w:type="dxa"/>
              <w:left w:w="55" w:type="dxa"/>
              <w:bottom w:w="55" w:type="dxa"/>
              <w:right w:w="55" w:type="dxa"/>
            </w:tcMar>
            <w:vAlign w:val="center"/>
          </w:tcPr>
          <w:p w14:paraId="56653D6D">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0.03</w:t>
            </w:r>
          </w:p>
        </w:tc>
      </w:tr>
      <w:tr w14:paraId="1C540EC5">
        <w:trPr>
          <w:trHeight w:val="336" w:hRule="atLeast"/>
          <w:jc w:val="center"/>
        </w:trPr>
        <w:tc>
          <w:tcPr>
            <w:tcW w:w="0" w:type="auto"/>
            <w:tcBorders>
              <w:top w:val="nil"/>
              <w:left w:val="nil"/>
              <w:bottom w:val="nil"/>
              <w:right w:val="nil"/>
            </w:tcBorders>
            <w:shd w:val="clear" w:color="auto" w:fill="FFFFFF"/>
            <w:noWrap/>
            <w:tcMar>
              <w:top w:w="55" w:type="dxa"/>
              <w:left w:w="55" w:type="dxa"/>
              <w:bottom w:w="55" w:type="dxa"/>
              <w:right w:w="55" w:type="dxa"/>
            </w:tcMar>
            <w:vAlign w:val="center"/>
          </w:tcPr>
          <w:p w14:paraId="36C0EE8A">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ferritin_cv:sexFemale</w:t>
            </w:r>
          </w:p>
        </w:tc>
        <w:tc>
          <w:tcPr>
            <w:tcW w:w="0" w:type="auto"/>
            <w:tcBorders>
              <w:top w:val="nil"/>
              <w:left w:val="nil"/>
              <w:bottom w:val="nil"/>
              <w:right w:val="nil"/>
            </w:tcBorders>
            <w:shd w:val="clear" w:color="auto" w:fill="FFFFFF"/>
            <w:noWrap/>
            <w:tcMar>
              <w:top w:w="55" w:type="dxa"/>
              <w:left w:w="55" w:type="dxa"/>
              <w:bottom w:w="55" w:type="dxa"/>
              <w:right w:w="55" w:type="dxa"/>
            </w:tcMar>
            <w:vAlign w:val="center"/>
          </w:tcPr>
          <w:p w14:paraId="7969832C">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0.402 (-0.282, 1.085)</w:t>
            </w:r>
          </w:p>
        </w:tc>
        <w:tc>
          <w:tcPr>
            <w:tcW w:w="0" w:type="auto"/>
            <w:tcBorders>
              <w:top w:val="nil"/>
              <w:left w:val="nil"/>
              <w:bottom w:val="nil"/>
              <w:right w:val="nil"/>
            </w:tcBorders>
            <w:shd w:val="clear" w:color="auto" w:fill="FFFFFF"/>
            <w:noWrap/>
            <w:tcMar>
              <w:top w:w="55" w:type="dxa"/>
              <w:left w:w="55" w:type="dxa"/>
              <w:bottom w:w="55" w:type="dxa"/>
              <w:right w:w="55" w:type="dxa"/>
            </w:tcMar>
            <w:vAlign w:val="center"/>
          </w:tcPr>
          <w:p w14:paraId="4F0AEE4F">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0.25</w:t>
            </w:r>
          </w:p>
        </w:tc>
      </w:tr>
      <w:tr w14:paraId="701BDB5D">
        <w:trPr>
          <w:trHeight w:val="336" w:hRule="atLeast"/>
          <w:jc w:val="center"/>
        </w:trPr>
        <w:tc>
          <w:tcPr>
            <w:tcW w:w="0" w:type="auto"/>
            <w:tcBorders>
              <w:top w:val="nil"/>
              <w:left w:val="nil"/>
              <w:bottom w:val="nil"/>
              <w:right w:val="nil"/>
            </w:tcBorders>
            <w:shd w:val="clear" w:color="auto" w:fill="FFFFFF"/>
            <w:noWrap/>
            <w:tcMar>
              <w:top w:w="55" w:type="dxa"/>
              <w:left w:w="55" w:type="dxa"/>
              <w:bottom w:w="55" w:type="dxa"/>
              <w:right w:w="55" w:type="dxa"/>
            </w:tcMar>
            <w:vAlign w:val="center"/>
          </w:tcPr>
          <w:p w14:paraId="1CD471DD">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ferritin_cv:age_group60-69</w:t>
            </w:r>
          </w:p>
        </w:tc>
        <w:tc>
          <w:tcPr>
            <w:tcW w:w="0" w:type="auto"/>
            <w:tcBorders>
              <w:top w:val="nil"/>
              <w:left w:val="nil"/>
              <w:bottom w:val="nil"/>
              <w:right w:val="nil"/>
            </w:tcBorders>
            <w:shd w:val="clear" w:color="auto" w:fill="FFFFFF"/>
            <w:noWrap/>
            <w:tcMar>
              <w:top w:w="55" w:type="dxa"/>
              <w:left w:w="55" w:type="dxa"/>
              <w:bottom w:w="55" w:type="dxa"/>
              <w:right w:w="55" w:type="dxa"/>
            </w:tcMar>
            <w:vAlign w:val="center"/>
          </w:tcPr>
          <w:p w14:paraId="48E79184">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0.176 (-0.388, 0.739)</w:t>
            </w:r>
          </w:p>
        </w:tc>
        <w:tc>
          <w:tcPr>
            <w:tcW w:w="0" w:type="auto"/>
            <w:tcBorders>
              <w:top w:val="nil"/>
              <w:left w:val="nil"/>
              <w:bottom w:val="nil"/>
              <w:right w:val="nil"/>
            </w:tcBorders>
            <w:shd w:val="clear" w:color="auto" w:fill="FFFFFF"/>
            <w:noWrap/>
            <w:tcMar>
              <w:top w:w="55" w:type="dxa"/>
              <w:left w:w="55" w:type="dxa"/>
              <w:bottom w:w="55" w:type="dxa"/>
              <w:right w:w="55" w:type="dxa"/>
            </w:tcMar>
            <w:vAlign w:val="center"/>
          </w:tcPr>
          <w:p w14:paraId="4E86637B">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0.541</w:t>
            </w:r>
          </w:p>
        </w:tc>
      </w:tr>
      <w:tr w14:paraId="4421881F">
        <w:trPr>
          <w:trHeight w:val="336" w:hRule="atLeast"/>
          <w:jc w:val="center"/>
        </w:trPr>
        <w:tc>
          <w:tcPr>
            <w:tcW w:w="0" w:type="auto"/>
            <w:tcBorders>
              <w:top w:val="nil"/>
              <w:left w:val="nil"/>
              <w:bottom w:val="nil"/>
              <w:right w:val="nil"/>
            </w:tcBorders>
            <w:shd w:val="clear" w:color="auto" w:fill="FFFFFF"/>
            <w:noWrap/>
            <w:tcMar>
              <w:top w:w="55" w:type="dxa"/>
              <w:left w:w="55" w:type="dxa"/>
              <w:bottom w:w="55" w:type="dxa"/>
              <w:right w:w="55" w:type="dxa"/>
            </w:tcMar>
            <w:vAlign w:val="center"/>
          </w:tcPr>
          <w:p w14:paraId="1010DF92">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ferritin_cv:age_group70+</w:t>
            </w:r>
          </w:p>
        </w:tc>
        <w:tc>
          <w:tcPr>
            <w:tcW w:w="0" w:type="auto"/>
            <w:tcBorders>
              <w:top w:val="nil"/>
              <w:left w:val="nil"/>
              <w:bottom w:val="nil"/>
              <w:right w:val="nil"/>
            </w:tcBorders>
            <w:shd w:val="clear" w:color="auto" w:fill="FFFFFF"/>
            <w:noWrap/>
            <w:tcMar>
              <w:top w:w="55" w:type="dxa"/>
              <w:left w:w="55" w:type="dxa"/>
              <w:bottom w:w="55" w:type="dxa"/>
              <w:right w:w="55" w:type="dxa"/>
            </w:tcMar>
            <w:vAlign w:val="center"/>
          </w:tcPr>
          <w:p w14:paraId="7457D2CB">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0.294 (-0.355, 0.944)</w:t>
            </w:r>
          </w:p>
        </w:tc>
        <w:tc>
          <w:tcPr>
            <w:tcW w:w="0" w:type="auto"/>
            <w:tcBorders>
              <w:top w:val="nil"/>
              <w:left w:val="nil"/>
              <w:bottom w:val="nil"/>
              <w:right w:val="nil"/>
            </w:tcBorders>
            <w:shd w:val="clear" w:color="auto" w:fill="FFFFFF"/>
            <w:noWrap/>
            <w:tcMar>
              <w:top w:w="55" w:type="dxa"/>
              <w:left w:w="55" w:type="dxa"/>
              <w:bottom w:w="55" w:type="dxa"/>
              <w:right w:w="55" w:type="dxa"/>
            </w:tcMar>
            <w:vAlign w:val="center"/>
          </w:tcPr>
          <w:p w14:paraId="3DF7F32E">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0.374</w:t>
            </w:r>
          </w:p>
        </w:tc>
      </w:tr>
      <w:tr w14:paraId="6059F10A">
        <w:trPr>
          <w:trHeight w:val="336" w:hRule="atLeast"/>
          <w:jc w:val="center"/>
        </w:trPr>
        <w:tc>
          <w:tcPr>
            <w:tcW w:w="0" w:type="auto"/>
            <w:tcBorders>
              <w:top w:val="nil"/>
              <w:left w:val="nil"/>
              <w:bottom w:val="nil"/>
              <w:right w:val="nil"/>
            </w:tcBorders>
            <w:shd w:val="clear" w:color="auto" w:fill="FFFFFF"/>
            <w:noWrap/>
            <w:tcMar>
              <w:top w:w="55" w:type="dxa"/>
              <w:left w:w="55" w:type="dxa"/>
              <w:bottom w:w="55" w:type="dxa"/>
              <w:right w:w="55" w:type="dxa"/>
            </w:tcMar>
            <w:vAlign w:val="center"/>
          </w:tcPr>
          <w:p w14:paraId="6F4712B5">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ferritin_cv:sexFemale:age_group60-69</w:t>
            </w:r>
          </w:p>
        </w:tc>
        <w:tc>
          <w:tcPr>
            <w:tcW w:w="0" w:type="auto"/>
            <w:tcBorders>
              <w:top w:val="nil"/>
              <w:left w:val="nil"/>
              <w:bottom w:val="nil"/>
              <w:right w:val="nil"/>
            </w:tcBorders>
            <w:shd w:val="clear" w:color="auto" w:fill="FFFFFF"/>
            <w:noWrap/>
            <w:tcMar>
              <w:top w:w="55" w:type="dxa"/>
              <w:left w:w="55" w:type="dxa"/>
              <w:bottom w:w="55" w:type="dxa"/>
              <w:right w:w="55" w:type="dxa"/>
            </w:tcMar>
            <w:vAlign w:val="center"/>
          </w:tcPr>
          <w:p w14:paraId="76F50A00">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-0.255 (-0.905, 0.395)</w:t>
            </w:r>
          </w:p>
        </w:tc>
        <w:tc>
          <w:tcPr>
            <w:tcW w:w="0" w:type="auto"/>
            <w:tcBorders>
              <w:top w:val="nil"/>
              <w:left w:val="nil"/>
              <w:bottom w:val="nil"/>
              <w:right w:val="nil"/>
            </w:tcBorders>
            <w:shd w:val="clear" w:color="auto" w:fill="FFFFFF"/>
            <w:noWrap/>
            <w:tcMar>
              <w:top w:w="55" w:type="dxa"/>
              <w:left w:w="55" w:type="dxa"/>
              <w:bottom w:w="55" w:type="dxa"/>
              <w:right w:w="55" w:type="dxa"/>
            </w:tcMar>
            <w:vAlign w:val="center"/>
          </w:tcPr>
          <w:p w14:paraId="45B91730">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0.442</w:t>
            </w:r>
          </w:p>
        </w:tc>
      </w:tr>
      <w:tr w14:paraId="14723B5D">
        <w:trPr>
          <w:trHeight w:val="336" w:hRule="atLeast"/>
          <w:jc w:val="center"/>
        </w:trPr>
        <w:tc>
          <w:tcPr>
            <w:tcW w:w="0" w:type="auto"/>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2D2BA95C">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ferritin_cv:sexFemale:age_group70+</w:t>
            </w:r>
          </w:p>
        </w:tc>
        <w:tc>
          <w:tcPr>
            <w:tcW w:w="0" w:type="auto"/>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64C692DC">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-0.152 (-0.941, 0.636)</w:t>
            </w:r>
          </w:p>
        </w:tc>
        <w:tc>
          <w:tcPr>
            <w:tcW w:w="0" w:type="auto"/>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2BD2AEA8">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0.705</w:t>
            </w:r>
          </w:p>
        </w:tc>
      </w:tr>
    </w:tbl>
    <w:p w14:paraId="44B98AA1">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r>
        <w:rPr>
          <w:rFonts w:hint="default" w:ascii="Times New Roman" w:hAnsi="Times New Roman" w:eastAsia="Times New Roman" w:cs="Times New Roman Regular"/>
          <w:b/>
          <w:bCs/>
          <w:color w:val="auto"/>
          <w:sz w:val="20"/>
          <w:szCs w:val="22"/>
          <w:lang w:val="en-US" w:eastAsia="zh-CN"/>
        </w:rPr>
        <w:br w:type="textWrapping"/>
      </w:r>
      <w:r>
        <w:rPr>
          <w:rFonts w:hint="default" w:ascii="Times New Roman" w:hAnsi="Times New Roman" w:eastAsia="Times New Roman" w:cs="Times New Roman Regular"/>
          <w:b w:val="0"/>
          <w:bCs w:val="0"/>
          <w:color w:val="auto"/>
          <w:sz w:val="20"/>
          <w:szCs w:val="22"/>
          <w:lang w:val="en-US" w:eastAsia="zh-CN"/>
        </w:rPr>
        <w:t>Regression coefficients (β), 95% confidence intervals (CIs), and P values are shown from an Hb-adjusted linear mixed-effects model including ferritin coefficient of variation (CV), sex, age group, and their interaction terms for repeated forced expiratory volume in 1 second (FEV₁). Age group was defined as 50–59 years, 60–69 years, and ≥70 years. The model was adjusted for body mass index (BMI), smoking status, log-transformed C-reactive protein (CRP), and hemoglobin (Hb), with participant-level random intercepts to account for repeated measurements. This model was used to formally assess whether the ferritin CV–FEV₁ association differed jointly by sex and age group.</w:t>
      </w:r>
    </w:p>
    <w:p w14:paraId="492179CB">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DD504AF">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7C70CDA">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F4E55A1">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24CB246">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CBA6F20">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C375CE0">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CC751F9">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D207C17">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4ECC0BB">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5445181D">
      <w:pPr>
        <w:pStyle w:val="2"/>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Supplementary Table S10. Age-interaction models for dynamic iron-related measures and repeated FEV₁</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72"/>
        <w:gridCol w:w="4145"/>
        <w:gridCol w:w="3303"/>
        <w:gridCol w:w="1546"/>
      </w:tblGrid>
      <w:tr w14:paraId="793760AA">
        <w:trPr>
          <w:trHeight w:val="193" w:hRule="atLeast"/>
          <w:tblHeader/>
          <w:jc w:val="center"/>
        </w:trPr>
        <w:tc>
          <w:tcPr>
            <w:tcW w:w="186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3B9452E9">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Exposure</w:t>
            </w:r>
          </w:p>
        </w:tc>
        <w:tc>
          <w:tcPr>
            <w:tcW w:w="1442"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C6F5FD4">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Variable</w:t>
            </w:r>
          </w:p>
        </w:tc>
        <w:tc>
          <w:tcPr>
            <w:tcW w:w="114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047401A1">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β (95% CI)</w:t>
            </w:r>
          </w:p>
        </w:tc>
        <w:tc>
          <w:tcPr>
            <w:tcW w:w="538"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684433FF">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57F88C48">
        <w:trPr>
          <w:trHeight w:val="193" w:hRule="atLeast"/>
          <w:jc w:val="center"/>
        </w:trPr>
        <w:tc>
          <w:tcPr>
            <w:tcW w:w="186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6A65A3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slope</w:t>
            </w:r>
          </w:p>
        </w:tc>
        <w:tc>
          <w:tcPr>
            <w:tcW w:w="1442"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E08002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Main effect</w:t>
            </w:r>
          </w:p>
        </w:tc>
        <w:tc>
          <w:tcPr>
            <w:tcW w:w="114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2D370F4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0.10 (-0.22, 0.41)</w:t>
            </w:r>
          </w:p>
        </w:tc>
        <w:tc>
          <w:tcPr>
            <w:tcW w:w="538"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97B1F8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0.553</w:t>
            </w:r>
          </w:p>
        </w:tc>
      </w:tr>
      <w:tr w14:paraId="218028E6">
        <w:trPr>
          <w:trHeight w:val="193" w:hRule="atLeast"/>
          <w:jc w:val="center"/>
        </w:trPr>
        <w:tc>
          <w:tcPr>
            <w:tcW w:w="1869" w:type="pct"/>
            <w:tcBorders>
              <w:top w:val="nil"/>
              <w:left w:val="nil"/>
              <w:bottom w:val="nil"/>
              <w:right w:val="nil"/>
            </w:tcBorders>
            <w:shd w:val="clear" w:color="auto" w:fill="FFFFFF"/>
            <w:tcMar>
              <w:top w:w="55" w:type="dxa"/>
              <w:left w:w="55" w:type="dxa"/>
              <w:bottom w:w="55" w:type="dxa"/>
              <w:right w:w="55" w:type="dxa"/>
            </w:tcMar>
            <w:vAlign w:val="center"/>
          </w:tcPr>
          <w:p w14:paraId="7474612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slope</w:t>
            </w:r>
          </w:p>
        </w:tc>
        <w:tc>
          <w:tcPr>
            <w:tcW w:w="1442" w:type="pct"/>
            <w:tcBorders>
              <w:top w:val="nil"/>
              <w:left w:val="nil"/>
              <w:bottom w:val="nil"/>
              <w:right w:val="nil"/>
            </w:tcBorders>
            <w:shd w:val="clear" w:color="auto" w:fill="FFFFFF"/>
            <w:tcMar>
              <w:top w:w="55" w:type="dxa"/>
              <w:left w:w="55" w:type="dxa"/>
              <w:bottom w:w="55" w:type="dxa"/>
              <w:right w:w="55" w:type="dxa"/>
            </w:tcMar>
            <w:vAlign w:val="center"/>
          </w:tcPr>
          <w:p w14:paraId="6CE87BC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Age (centered)</w:t>
            </w:r>
          </w:p>
        </w:tc>
        <w:tc>
          <w:tcPr>
            <w:tcW w:w="1149" w:type="pct"/>
            <w:tcBorders>
              <w:top w:val="nil"/>
              <w:left w:val="nil"/>
              <w:bottom w:val="nil"/>
              <w:right w:val="nil"/>
            </w:tcBorders>
            <w:shd w:val="clear" w:color="auto" w:fill="FFFFFF"/>
            <w:tcMar>
              <w:top w:w="55" w:type="dxa"/>
              <w:left w:w="55" w:type="dxa"/>
              <w:bottom w:w="55" w:type="dxa"/>
              <w:right w:w="55" w:type="dxa"/>
            </w:tcMar>
            <w:vAlign w:val="center"/>
          </w:tcPr>
          <w:p w14:paraId="2C51670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-0.04 (-0.04, -0.03)</w:t>
            </w:r>
          </w:p>
        </w:tc>
        <w:tc>
          <w:tcPr>
            <w:tcW w:w="538" w:type="pct"/>
            <w:tcBorders>
              <w:top w:val="nil"/>
              <w:left w:val="nil"/>
              <w:bottom w:val="nil"/>
              <w:right w:val="nil"/>
            </w:tcBorders>
            <w:shd w:val="clear" w:color="auto" w:fill="FFFFFF"/>
            <w:tcMar>
              <w:top w:w="55" w:type="dxa"/>
              <w:left w:w="55" w:type="dxa"/>
              <w:bottom w:w="55" w:type="dxa"/>
              <w:right w:w="55" w:type="dxa"/>
            </w:tcMar>
            <w:vAlign w:val="center"/>
          </w:tcPr>
          <w:p w14:paraId="56DA394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&lt;0.001</w:t>
            </w:r>
          </w:p>
        </w:tc>
      </w:tr>
      <w:tr w14:paraId="4E82BF2F">
        <w:trPr>
          <w:trHeight w:val="193" w:hRule="atLeast"/>
          <w:jc w:val="center"/>
        </w:trPr>
        <w:tc>
          <w:tcPr>
            <w:tcW w:w="1869" w:type="pct"/>
            <w:tcBorders>
              <w:top w:val="nil"/>
              <w:left w:val="nil"/>
              <w:bottom w:val="nil"/>
              <w:right w:val="nil"/>
            </w:tcBorders>
            <w:shd w:val="clear" w:color="auto" w:fill="FFFFFF"/>
            <w:tcMar>
              <w:top w:w="55" w:type="dxa"/>
              <w:left w:w="55" w:type="dxa"/>
              <w:bottom w:w="55" w:type="dxa"/>
              <w:right w:w="55" w:type="dxa"/>
            </w:tcMar>
            <w:vAlign w:val="center"/>
          </w:tcPr>
          <w:p w14:paraId="08E46AA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slope</w:t>
            </w:r>
          </w:p>
        </w:tc>
        <w:tc>
          <w:tcPr>
            <w:tcW w:w="1442" w:type="pct"/>
            <w:tcBorders>
              <w:top w:val="nil"/>
              <w:left w:val="nil"/>
              <w:bottom w:val="nil"/>
              <w:right w:val="nil"/>
            </w:tcBorders>
            <w:shd w:val="clear" w:color="auto" w:fill="FFFFFF"/>
            <w:tcMar>
              <w:top w:w="55" w:type="dxa"/>
              <w:left w:w="55" w:type="dxa"/>
              <w:bottom w:w="55" w:type="dxa"/>
              <w:right w:w="55" w:type="dxa"/>
            </w:tcMar>
            <w:vAlign w:val="center"/>
          </w:tcPr>
          <w:p w14:paraId="2740D05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slope × age</w:t>
            </w:r>
          </w:p>
        </w:tc>
        <w:tc>
          <w:tcPr>
            <w:tcW w:w="1149" w:type="pct"/>
            <w:tcBorders>
              <w:top w:val="nil"/>
              <w:left w:val="nil"/>
              <w:bottom w:val="nil"/>
              <w:right w:val="nil"/>
            </w:tcBorders>
            <w:shd w:val="clear" w:color="auto" w:fill="FFFFFF"/>
            <w:tcMar>
              <w:top w:w="55" w:type="dxa"/>
              <w:left w:w="55" w:type="dxa"/>
              <w:bottom w:w="55" w:type="dxa"/>
              <w:right w:w="55" w:type="dxa"/>
            </w:tcMar>
            <w:vAlign w:val="center"/>
          </w:tcPr>
          <w:p w14:paraId="3111441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-0.00 (-0.03, 0.02)</w:t>
            </w:r>
          </w:p>
        </w:tc>
        <w:tc>
          <w:tcPr>
            <w:tcW w:w="538" w:type="pct"/>
            <w:tcBorders>
              <w:top w:val="nil"/>
              <w:left w:val="nil"/>
              <w:bottom w:val="nil"/>
              <w:right w:val="nil"/>
            </w:tcBorders>
            <w:shd w:val="clear" w:color="auto" w:fill="FFFFFF"/>
            <w:tcMar>
              <w:top w:w="55" w:type="dxa"/>
              <w:left w:w="55" w:type="dxa"/>
              <w:bottom w:w="55" w:type="dxa"/>
              <w:right w:w="55" w:type="dxa"/>
            </w:tcMar>
            <w:vAlign w:val="center"/>
          </w:tcPr>
          <w:p w14:paraId="1A57D7B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0.807</w:t>
            </w:r>
          </w:p>
        </w:tc>
      </w:tr>
      <w:tr w14:paraId="3C162955">
        <w:trPr>
          <w:trHeight w:val="193" w:hRule="atLeast"/>
          <w:jc w:val="center"/>
        </w:trPr>
        <w:tc>
          <w:tcPr>
            <w:tcW w:w="1869" w:type="pct"/>
            <w:tcBorders>
              <w:top w:val="nil"/>
              <w:left w:val="nil"/>
              <w:bottom w:val="nil"/>
              <w:right w:val="nil"/>
            </w:tcBorders>
            <w:shd w:val="clear" w:color="auto" w:fill="FFFFFF"/>
            <w:tcMar>
              <w:top w:w="55" w:type="dxa"/>
              <w:left w:w="55" w:type="dxa"/>
              <w:bottom w:w="55" w:type="dxa"/>
              <w:right w:w="55" w:type="dxa"/>
            </w:tcMar>
            <w:vAlign w:val="center"/>
          </w:tcPr>
          <w:p w14:paraId="3E86168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442" w:type="pct"/>
            <w:tcBorders>
              <w:top w:val="nil"/>
              <w:left w:val="nil"/>
              <w:bottom w:val="nil"/>
              <w:right w:val="nil"/>
            </w:tcBorders>
            <w:shd w:val="clear" w:color="auto" w:fill="FFFFFF"/>
            <w:tcMar>
              <w:top w:w="55" w:type="dxa"/>
              <w:left w:w="55" w:type="dxa"/>
              <w:bottom w:w="55" w:type="dxa"/>
              <w:right w:w="55" w:type="dxa"/>
            </w:tcMar>
            <w:vAlign w:val="center"/>
          </w:tcPr>
          <w:p w14:paraId="45C7F9C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Main effect</w:t>
            </w:r>
          </w:p>
        </w:tc>
        <w:tc>
          <w:tcPr>
            <w:tcW w:w="1149" w:type="pct"/>
            <w:tcBorders>
              <w:top w:val="nil"/>
              <w:left w:val="nil"/>
              <w:bottom w:val="nil"/>
              <w:right w:val="nil"/>
            </w:tcBorders>
            <w:shd w:val="clear" w:color="auto" w:fill="FFFFFF"/>
            <w:tcMar>
              <w:top w:w="55" w:type="dxa"/>
              <w:left w:w="55" w:type="dxa"/>
              <w:bottom w:w="55" w:type="dxa"/>
              <w:right w:w="55" w:type="dxa"/>
            </w:tcMar>
            <w:vAlign w:val="center"/>
          </w:tcPr>
          <w:p w14:paraId="184EBEA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-0.34 (-0.54, -0.14)</w:t>
            </w:r>
          </w:p>
        </w:tc>
        <w:tc>
          <w:tcPr>
            <w:tcW w:w="538" w:type="pct"/>
            <w:tcBorders>
              <w:top w:val="nil"/>
              <w:left w:val="nil"/>
              <w:bottom w:val="nil"/>
              <w:right w:val="nil"/>
            </w:tcBorders>
            <w:shd w:val="clear" w:color="auto" w:fill="FFFFFF"/>
            <w:tcMar>
              <w:top w:w="55" w:type="dxa"/>
              <w:left w:w="55" w:type="dxa"/>
              <w:bottom w:w="55" w:type="dxa"/>
              <w:right w:w="55" w:type="dxa"/>
            </w:tcMar>
            <w:vAlign w:val="center"/>
          </w:tcPr>
          <w:p w14:paraId="1CB91D3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&lt;0.001</w:t>
            </w:r>
          </w:p>
        </w:tc>
      </w:tr>
      <w:tr w14:paraId="46B3D1F8">
        <w:trPr>
          <w:trHeight w:val="193" w:hRule="atLeast"/>
          <w:jc w:val="center"/>
        </w:trPr>
        <w:tc>
          <w:tcPr>
            <w:tcW w:w="1869" w:type="pct"/>
            <w:tcBorders>
              <w:top w:val="nil"/>
              <w:left w:val="nil"/>
              <w:bottom w:val="nil"/>
              <w:right w:val="nil"/>
            </w:tcBorders>
            <w:shd w:val="clear" w:color="auto" w:fill="FFFFFF"/>
            <w:tcMar>
              <w:top w:w="55" w:type="dxa"/>
              <w:left w:w="55" w:type="dxa"/>
              <w:bottom w:w="55" w:type="dxa"/>
              <w:right w:w="55" w:type="dxa"/>
            </w:tcMar>
            <w:vAlign w:val="center"/>
          </w:tcPr>
          <w:p w14:paraId="6D5BC81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442" w:type="pct"/>
            <w:tcBorders>
              <w:top w:val="nil"/>
              <w:left w:val="nil"/>
              <w:bottom w:val="nil"/>
              <w:right w:val="nil"/>
            </w:tcBorders>
            <w:shd w:val="clear" w:color="auto" w:fill="FFFFFF"/>
            <w:tcMar>
              <w:top w:w="55" w:type="dxa"/>
              <w:left w:w="55" w:type="dxa"/>
              <w:bottom w:w="55" w:type="dxa"/>
              <w:right w:w="55" w:type="dxa"/>
            </w:tcMar>
            <w:vAlign w:val="center"/>
          </w:tcPr>
          <w:p w14:paraId="370E020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Age (centered)</w:t>
            </w:r>
          </w:p>
        </w:tc>
        <w:tc>
          <w:tcPr>
            <w:tcW w:w="1149" w:type="pct"/>
            <w:tcBorders>
              <w:top w:val="nil"/>
              <w:left w:val="nil"/>
              <w:bottom w:val="nil"/>
              <w:right w:val="nil"/>
            </w:tcBorders>
            <w:shd w:val="clear" w:color="auto" w:fill="FFFFFF"/>
            <w:tcMar>
              <w:top w:w="55" w:type="dxa"/>
              <w:left w:w="55" w:type="dxa"/>
              <w:bottom w:w="55" w:type="dxa"/>
              <w:right w:w="55" w:type="dxa"/>
            </w:tcMar>
            <w:vAlign w:val="center"/>
          </w:tcPr>
          <w:p w14:paraId="382E0FB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-0.04 (-0.05, -0.03)</w:t>
            </w:r>
          </w:p>
        </w:tc>
        <w:tc>
          <w:tcPr>
            <w:tcW w:w="538" w:type="pct"/>
            <w:tcBorders>
              <w:top w:val="nil"/>
              <w:left w:val="nil"/>
              <w:bottom w:val="nil"/>
              <w:right w:val="nil"/>
            </w:tcBorders>
            <w:shd w:val="clear" w:color="auto" w:fill="FFFFFF"/>
            <w:tcMar>
              <w:top w:w="55" w:type="dxa"/>
              <w:left w:w="55" w:type="dxa"/>
              <w:bottom w:w="55" w:type="dxa"/>
              <w:right w:w="55" w:type="dxa"/>
            </w:tcMar>
            <w:vAlign w:val="center"/>
          </w:tcPr>
          <w:p w14:paraId="1461BA9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&lt;0.001</w:t>
            </w:r>
          </w:p>
        </w:tc>
      </w:tr>
      <w:tr w14:paraId="319E7195">
        <w:trPr>
          <w:trHeight w:val="193" w:hRule="atLeast"/>
          <w:jc w:val="center"/>
        </w:trPr>
        <w:tc>
          <w:tcPr>
            <w:tcW w:w="1869" w:type="pct"/>
            <w:tcBorders>
              <w:top w:val="nil"/>
              <w:left w:val="nil"/>
              <w:bottom w:val="nil"/>
              <w:right w:val="nil"/>
            </w:tcBorders>
            <w:shd w:val="clear" w:color="auto" w:fill="FFFFFF"/>
            <w:tcMar>
              <w:top w:w="55" w:type="dxa"/>
              <w:left w:w="55" w:type="dxa"/>
              <w:bottom w:w="55" w:type="dxa"/>
              <w:right w:w="55" w:type="dxa"/>
            </w:tcMar>
            <w:vAlign w:val="center"/>
          </w:tcPr>
          <w:p w14:paraId="7DF268B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442" w:type="pct"/>
            <w:tcBorders>
              <w:top w:val="nil"/>
              <w:left w:val="nil"/>
              <w:bottom w:val="nil"/>
              <w:right w:val="nil"/>
            </w:tcBorders>
            <w:shd w:val="clear" w:color="auto" w:fill="FFFFFF"/>
            <w:tcMar>
              <w:top w:w="55" w:type="dxa"/>
              <w:left w:w="55" w:type="dxa"/>
              <w:bottom w:w="55" w:type="dxa"/>
              <w:right w:w="55" w:type="dxa"/>
            </w:tcMar>
            <w:vAlign w:val="center"/>
          </w:tcPr>
          <w:p w14:paraId="096D292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CV × age</w:t>
            </w:r>
          </w:p>
        </w:tc>
        <w:tc>
          <w:tcPr>
            <w:tcW w:w="1149" w:type="pct"/>
            <w:tcBorders>
              <w:top w:val="nil"/>
              <w:left w:val="nil"/>
              <w:bottom w:val="nil"/>
              <w:right w:val="nil"/>
            </w:tcBorders>
            <w:shd w:val="clear" w:color="auto" w:fill="FFFFFF"/>
            <w:tcMar>
              <w:top w:w="55" w:type="dxa"/>
              <w:left w:w="55" w:type="dxa"/>
              <w:bottom w:w="55" w:type="dxa"/>
              <w:right w:w="55" w:type="dxa"/>
            </w:tcMar>
            <w:vAlign w:val="center"/>
          </w:tcPr>
          <w:p w14:paraId="0441D9A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0.01 (-0.01, 0.03)</w:t>
            </w:r>
          </w:p>
        </w:tc>
        <w:tc>
          <w:tcPr>
            <w:tcW w:w="538" w:type="pct"/>
            <w:tcBorders>
              <w:top w:val="nil"/>
              <w:left w:val="nil"/>
              <w:bottom w:val="nil"/>
              <w:right w:val="nil"/>
            </w:tcBorders>
            <w:shd w:val="clear" w:color="auto" w:fill="FFFFFF"/>
            <w:tcMar>
              <w:top w:w="55" w:type="dxa"/>
              <w:left w:w="55" w:type="dxa"/>
              <w:bottom w:w="55" w:type="dxa"/>
              <w:right w:w="55" w:type="dxa"/>
            </w:tcMar>
            <w:vAlign w:val="center"/>
          </w:tcPr>
          <w:p w14:paraId="2DF4F50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0.312</w:t>
            </w:r>
          </w:p>
        </w:tc>
      </w:tr>
      <w:tr w14:paraId="7369C3FD">
        <w:trPr>
          <w:trHeight w:val="193" w:hRule="atLeast"/>
          <w:jc w:val="center"/>
        </w:trPr>
        <w:tc>
          <w:tcPr>
            <w:tcW w:w="1869" w:type="pct"/>
            <w:tcBorders>
              <w:top w:val="nil"/>
              <w:left w:val="nil"/>
              <w:bottom w:val="nil"/>
              <w:right w:val="nil"/>
            </w:tcBorders>
            <w:shd w:val="clear" w:color="auto" w:fill="FFFFFF"/>
            <w:tcMar>
              <w:top w:w="55" w:type="dxa"/>
              <w:left w:w="55" w:type="dxa"/>
              <w:bottom w:w="55" w:type="dxa"/>
              <w:right w:w="55" w:type="dxa"/>
            </w:tcMar>
            <w:vAlign w:val="center"/>
          </w:tcPr>
          <w:p w14:paraId="16DEEBA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Number of ferritin &lt;30 episodes</w:t>
            </w:r>
          </w:p>
        </w:tc>
        <w:tc>
          <w:tcPr>
            <w:tcW w:w="1442" w:type="pct"/>
            <w:tcBorders>
              <w:top w:val="nil"/>
              <w:left w:val="nil"/>
              <w:bottom w:val="nil"/>
              <w:right w:val="nil"/>
            </w:tcBorders>
            <w:shd w:val="clear" w:color="auto" w:fill="FFFFFF"/>
            <w:tcMar>
              <w:top w:w="55" w:type="dxa"/>
              <w:left w:w="55" w:type="dxa"/>
              <w:bottom w:w="55" w:type="dxa"/>
              <w:right w:w="55" w:type="dxa"/>
            </w:tcMar>
            <w:vAlign w:val="center"/>
          </w:tcPr>
          <w:p w14:paraId="7B25214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Main effect</w:t>
            </w:r>
          </w:p>
        </w:tc>
        <w:tc>
          <w:tcPr>
            <w:tcW w:w="1149" w:type="pct"/>
            <w:tcBorders>
              <w:top w:val="nil"/>
              <w:left w:val="nil"/>
              <w:bottom w:val="nil"/>
              <w:right w:val="nil"/>
            </w:tcBorders>
            <w:shd w:val="clear" w:color="auto" w:fill="FFFFFF"/>
            <w:tcMar>
              <w:top w:w="55" w:type="dxa"/>
              <w:left w:w="55" w:type="dxa"/>
              <w:bottom w:w="55" w:type="dxa"/>
              <w:right w:w="55" w:type="dxa"/>
            </w:tcMar>
            <w:vAlign w:val="center"/>
          </w:tcPr>
          <w:p w14:paraId="49BA0FB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-0.01 (-0.09, 0.06)</w:t>
            </w:r>
          </w:p>
        </w:tc>
        <w:tc>
          <w:tcPr>
            <w:tcW w:w="538" w:type="pct"/>
            <w:tcBorders>
              <w:top w:val="nil"/>
              <w:left w:val="nil"/>
              <w:bottom w:val="nil"/>
              <w:right w:val="nil"/>
            </w:tcBorders>
            <w:shd w:val="clear" w:color="auto" w:fill="FFFFFF"/>
            <w:tcMar>
              <w:top w:w="55" w:type="dxa"/>
              <w:left w:w="55" w:type="dxa"/>
              <w:bottom w:w="55" w:type="dxa"/>
              <w:right w:w="55" w:type="dxa"/>
            </w:tcMar>
            <w:vAlign w:val="center"/>
          </w:tcPr>
          <w:p w14:paraId="54D5F2B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0.716</w:t>
            </w:r>
          </w:p>
        </w:tc>
      </w:tr>
      <w:tr w14:paraId="73D96750">
        <w:trPr>
          <w:trHeight w:val="193" w:hRule="atLeast"/>
          <w:jc w:val="center"/>
        </w:trPr>
        <w:tc>
          <w:tcPr>
            <w:tcW w:w="1869" w:type="pct"/>
            <w:tcBorders>
              <w:top w:val="nil"/>
              <w:left w:val="nil"/>
              <w:bottom w:val="nil"/>
              <w:right w:val="nil"/>
            </w:tcBorders>
            <w:shd w:val="clear" w:color="auto" w:fill="FFFFFF"/>
            <w:tcMar>
              <w:top w:w="55" w:type="dxa"/>
              <w:left w:w="55" w:type="dxa"/>
              <w:bottom w:w="55" w:type="dxa"/>
              <w:right w:w="55" w:type="dxa"/>
            </w:tcMar>
            <w:vAlign w:val="center"/>
          </w:tcPr>
          <w:p w14:paraId="4DB9E14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Number of ferritin &lt;30 episodes</w:t>
            </w:r>
          </w:p>
        </w:tc>
        <w:tc>
          <w:tcPr>
            <w:tcW w:w="1442" w:type="pct"/>
            <w:tcBorders>
              <w:top w:val="nil"/>
              <w:left w:val="nil"/>
              <w:bottom w:val="nil"/>
              <w:right w:val="nil"/>
            </w:tcBorders>
            <w:shd w:val="clear" w:color="auto" w:fill="FFFFFF"/>
            <w:tcMar>
              <w:top w:w="55" w:type="dxa"/>
              <w:left w:w="55" w:type="dxa"/>
              <w:bottom w:w="55" w:type="dxa"/>
              <w:right w:w="55" w:type="dxa"/>
            </w:tcMar>
            <w:vAlign w:val="center"/>
          </w:tcPr>
          <w:p w14:paraId="03B20B4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Age (centered)</w:t>
            </w:r>
          </w:p>
        </w:tc>
        <w:tc>
          <w:tcPr>
            <w:tcW w:w="1149" w:type="pct"/>
            <w:tcBorders>
              <w:top w:val="nil"/>
              <w:left w:val="nil"/>
              <w:bottom w:val="nil"/>
              <w:right w:val="nil"/>
            </w:tcBorders>
            <w:shd w:val="clear" w:color="auto" w:fill="FFFFFF"/>
            <w:tcMar>
              <w:top w:w="55" w:type="dxa"/>
              <w:left w:w="55" w:type="dxa"/>
              <w:bottom w:w="55" w:type="dxa"/>
              <w:right w:w="55" w:type="dxa"/>
            </w:tcMar>
            <w:vAlign w:val="center"/>
          </w:tcPr>
          <w:p w14:paraId="5648144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-0.04 (-0.04, -0.04)</w:t>
            </w:r>
          </w:p>
        </w:tc>
        <w:tc>
          <w:tcPr>
            <w:tcW w:w="538" w:type="pct"/>
            <w:tcBorders>
              <w:top w:val="nil"/>
              <w:left w:val="nil"/>
              <w:bottom w:val="nil"/>
              <w:right w:val="nil"/>
            </w:tcBorders>
            <w:shd w:val="clear" w:color="auto" w:fill="FFFFFF"/>
            <w:tcMar>
              <w:top w:w="55" w:type="dxa"/>
              <w:left w:w="55" w:type="dxa"/>
              <w:bottom w:w="55" w:type="dxa"/>
              <w:right w:w="55" w:type="dxa"/>
            </w:tcMar>
            <w:vAlign w:val="center"/>
          </w:tcPr>
          <w:p w14:paraId="1B8CC42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&lt;0.001</w:t>
            </w:r>
          </w:p>
        </w:tc>
      </w:tr>
      <w:tr w14:paraId="48BFD38D">
        <w:trPr>
          <w:trHeight w:val="193" w:hRule="atLeast"/>
          <w:jc w:val="center"/>
        </w:trPr>
        <w:tc>
          <w:tcPr>
            <w:tcW w:w="186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53ED12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Number of ferritin &lt;30 episodes</w:t>
            </w:r>
          </w:p>
        </w:tc>
        <w:tc>
          <w:tcPr>
            <w:tcW w:w="1442"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977093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Low-ferritin count × age</w:t>
            </w:r>
          </w:p>
        </w:tc>
        <w:tc>
          <w:tcPr>
            <w:tcW w:w="114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560E4E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0.00 (-0.01, 0.01)</w:t>
            </w:r>
          </w:p>
        </w:tc>
        <w:tc>
          <w:tcPr>
            <w:tcW w:w="538"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36D975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0.701</w:t>
            </w:r>
          </w:p>
        </w:tc>
      </w:tr>
    </w:tbl>
    <w:p w14:paraId="2D8623BF">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r>
        <w:rPr>
          <w:rFonts w:hint="default" w:ascii="Times New Roman" w:hAnsi="Times New Roman" w:eastAsia="Times New Roman" w:cs="Times New Roman Regular"/>
          <w:b/>
          <w:bCs/>
          <w:color w:val="auto"/>
          <w:sz w:val="20"/>
          <w:szCs w:val="22"/>
          <w:lang w:val="en-US" w:eastAsia="zh-CN"/>
        </w:rPr>
        <w:br w:type="textWrapping"/>
      </w:r>
      <w:r>
        <w:rPr>
          <w:rFonts w:hint="default" w:ascii="Times New Roman" w:hAnsi="Times New Roman" w:eastAsia="Times New Roman" w:cs="Times New Roman Regular"/>
          <w:b w:val="0"/>
          <w:bCs w:val="0"/>
          <w:color w:val="auto"/>
          <w:sz w:val="20"/>
          <w:szCs w:val="22"/>
          <w:lang w:val="en-US" w:eastAsia="zh-CN"/>
        </w:rPr>
        <w:t>Regression coefficients (β), 95% confidence intervals (CIs), and P values are shown from Hb-adjusted linear mixed-effects models evaluating interaction terms between age and dynamic iron-related measures in relation to repeated forced expiratory volume in 1 second (FEV₁). Dynamic iron-related measures included ferritin coefficient of variation (CV), ferritin slope, and the cumulative number of ferritin measurements &lt;30 μg/L, as applicable. Models were adjusted for sex, smoking status, body mass index (BMI), log-transformed C-reactive protein (CRP), and hemoglobin (Hb), with participant-level random intercepts to account for repeated measurements. These analyses were used to assess whether the associations between dynamic iron-related measures and repeated FEV₁ differed across age.</w:t>
      </w:r>
    </w:p>
    <w:p w14:paraId="5B580795">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B1087F4">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AE7FA99">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CEE7B2A">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F1A5AEB">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E23566C">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192852E">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043B365">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DE52261">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35FCC854">
      <w:pPr>
        <w:pStyle w:val="2"/>
        <w:keepNext/>
        <w:spacing w:before="0" w:after="120" w:line="240" w:lineRule="auto"/>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Supplementary Table S11. Sensitivity analyses for the ferritin CV–FEV₁ association across age windows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26"/>
        <w:gridCol w:w="2644"/>
        <w:gridCol w:w="4030"/>
        <w:gridCol w:w="2366"/>
      </w:tblGrid>
      <w:tr w14:paraId="3B406A55">
        <w:trPr>
          <w:trHeight w:val="193" w:hRule="atLeast"/>
          <w:tblHeader/>
          <w:jc w:val="center"/>
        </w:trPr>
        <w:tc>
          <w:tcPr>
            <w:tcW w:w="1853"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87A62BE">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Sensitivity model</w:t>
            </w:r>
          </w:p>
        </w:tc>
        <w:tc>
          <w:tcPr>
            <w:tcW w:w="92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DC1FF09">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Age group</w:t>
            </w:r>
          </w:p>
        </w:tc>
        <w:tc>
          <w:tcPr>
            <w:tcW w:w="1402"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D4742C8">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β (95% CI)</w:t>
            </w:r>
          </w:p>
        </w:tc>
        <w:tc>
          <w:tcPr>
            <w:tcW w:w="823"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027DD8E">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678555DD">
        <w:trPr>
          <w:trHeight w:val="193" w:hRule="atLeast"/>
          <w:jc w:val="center"/>
        </w:trPr>
        <w:tc>
          <w:tcPr>
            <w:tcW w:w="1853"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15ED411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Non-smokers only</w:t>
            </w:r>
          </w:p>
        </w:tc>
        <w:tc>
          <w:tcPr>
            <w:tcW w:w="92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506E6A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50–59 years</w:t>
            </w:r>
          </w:p>
        </w:tc>
        <w:tc>
          <w:tcPr>
            <w:tcW w:w="1402"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2E350EE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-0.34 (-0.78, 0.11)</w:t>
            </w:r>
          </w:p>
        </w:tc>
        <w:tc>
          <w:tcPr>
            <w:tcW w:w="823"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0D4212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0.143</w:t>
            </w:r>
          </w:p>
        </w:tc>
      </w:tr>
      <w:tr w14:paraId="5192401B">
        <w:trPr>
          <w:trHeight w:val="193" w:hRule="atLeast"/>
          <w:jc w:val="center"/>
        </w:trPr>
        <w:tc>
          <w:tcPr>
            <w:tcW w:w="1853" w:type="pct"/>
            <w:tcBorders>
              <w:top w:val="nil"/>
              <w:left w:val="nil"/>
              <w:bottom w:val="nil"/>
              <w:right w:val="nil"/>
            </w:tcBorders>
            <w:shd w:val="clear" w:color="auto" w:fill="FFFFFF"/>
            <w:tcMar>
              <w:top w:w="55" w:type="dxa"/>
              <w:left w:w="55" w:type="dxa"/>
              <w:bottom w:w="55" w:type="dxa"/>
              <w:right w:w="55" w:type="dxa"/>
            </w:tcMar>
            <w:vAlign w:val="center"/>
          </w:tcPr>
          <w:p w14:paraId="4FD7E40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Non-smokers only</w:t>
            </w:r>
          </w:p>
        </w:tc>
        <w:tc>
          <w:tcPr>
            <w:tcW w:w="920" w:type="pct"/>
            <w:tcBorders>
              <w:top w:val="nil"/>
              <w:left w:val="nil"/>
              <w:bottom w:val="nil"/>
              <w:right w:val="nil"/>
            </w:tcBorders>
            <w:shd w:val="clear" w:color="auto" w:fill="FFFFFF"/>
            <w:tcMar>
              <w:top w:w="55" w:type="dxa"/>
              <w:left w:w="55" w:type="dxa"/>
              <w:bottom w:w="55" w:type="dxa"/>
              <w:right w:w="55" w:type="dxa"/>
            </w:tcMar>
            <w:vAlign w:val="center"/>
          </w:tcPr>
          <w:p w14:paraId="63F8D24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60–69 years</w:t>
            </w:r>
          </w:p>
        </w:tc>
        <w:tc>
          <w:tcPr>
            <w:tcW w:w="1402" w:type="pct"/>
            <w:tcBorders>
              <w:top w:val="nil"/>
              <w:left w:val="nil"/>
              <w:bottom w:val="nil"/>
              <w:right w:val="nil"/>
            </w:tcBorders>
            <w:shd w:val="clear" w:color="auto" w:fill="FFFFFF"/>
            <w:tcMar>
              <w:top w:w="55" w:type="dxa"/>
              <w:left w:w="55" w:type="dxa"/>
              <w:bottom w:w="55" w:type="dxa"/>
              <w:right w:w="55" w:type="dxa"/>
            </w:tcMar>
            <w:vAlign w:val="center"/>
          </w:tcPr>
          <w:p w14:paraId="26C8038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-0.38 (-0.82, 0.07)</w:t>
            </w:r>
          </w:p>
        </w:tc>
        <w:tc>
          <w:tcPr>
            <w:tcW w:w="823" w:type="pct"/>
            <w:tcBorders>
              <w:top w:val="nil"/>
              <w:left w:val="nil"/>
              <w:bottom w:val="nil"/>
              <w:right w:val="nil"/>
            </w:tcBorders>
            <w:shd w:val="clear" w:color="auto" w:fill="FFFFFF"/>
            <w:tcMar>
              <w:top w:w="55" w:type="dxa"/>
              <w:left w:w="55" w:type="dxa"/>
              <w:bottom w:w="55" w:type="dxa"/>
              <w:right w:w="55" w:type="dxa"/>
            </w:tcMar>
            <w:vAlign w:val="center"/>
          </w:tcPr>
          <w:p w14:paraId="4640BC4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0.097</w:t>
            </w:r>
          </w:p>
        </w:tc>
      </w:tr>
      <w:tr w14:paraId="30C1E522">
        <w:trPr>
          <w:trHeight w:val="193" w:hRule="atLeast"/>
          <w:jc w:val="center"/>
        </w:trPr>
        <w:tc>
          <w:tcPr>
            <w:tcW w:w="1853" w:type="pct"/>
            <w:tcBorders>
              <w:top w:val="nil"/>
              <w:left w:val="nil"/>
              <w:bottom w:val="nil"/>
              <w:right w:val="nil"/>
            </w:tcBorders>
            <w:shd w:val="clear" w:color="auto" w:fill="FFFFFF"/>
            <w:tcMar>
              <w:top w:w="55" w:type="dxa"/>
              <w:left w:w="55" w:type="dxa"/>
              <w:bottom w:w="55" w:type="dxa"/>
              <w:right w:w="55" w:type="dxa"/>
            </w:tcMar>
            <w:vAlign w:val="center"/>
          </w:tcPr>
          <w:p w14:paraId="3581106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Non-smokers only</w:t>
            </w:r>
          </w:p>
        </w:tc>
        <w:tc>
          <w:tcPr>
            <w:tcW w:w="920" w:type="pct"/>
            <w:tcBorders>
              <w:top w:val="nil"/>
              <w:left w:val="nil"/>
              <w:bottom w:val="nil"/>
              <w:right w:val="nil"/>
            </w:tcBorders>
            <w:shd w:val="clear" w:color="auto" w:fill="FFFFFF"/>
            <w:tcMar>
              <w:top w:w="55" w:type="dxa"/>
              <w:left w:w="55" w:type="dxa"/>
              <w:bottom w:w="55" w:type="dxa"/>
              <w:right w:w="55" w:type="dxa"/>
            </w:tcMar>
            <w:vAlign w:val="center"/>
          </w:tcPr>
          <w:p w14:paraId="7AE001C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≥70 years</w:t>
            </w:r>
          </w:p>
        </w:tc>
        <w:tc>
          <w:tcPr>
            <w:tcW w:w="1402" w:type="pct"/>
            <w:tcBorders>
              <w:top w:val="nil"/>
              <w:left w:val="nil"/>
              <w:bottom w:val="nil"/>
              <w:right w:val="nil"/>
            </w:tcBorders>
            <w:shd w:val="clear" w:color="auto" w:fill="FFFFFF"/>
            <w:tcMar>
              <w:top w:w="55" w:type="dxa"/>
              <w:left w:w="55" w:type="dxa"/>
              <w:bottom w:w="55" w:type="dxa"/>
              <w:right w:w="55" w:type="dxa"/>
            </w:tcMar>
            <w:vAlign w:val="center"/>
          </w:tcPr>
          <w:p w14:paraId="245E8DD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0.19 (-0.36, 0.74)</w:t>
            </w:r>
          </w:p>
        </w:tc>
        <w:tc>
          <w:tcPr>
            <w:tcW w:w="823" w:type="pct"/>
            <w:tcBorders>
              <w:top w:val="nil"/>
              <w:left w:val="nil"/>
              <w:bottom w:val="nil"/>
              <w:right w:val="nil"/>
            </w:tcBorders>
            <w:shd w:val="clear" w:color="auto" w:fill="FFFFFF"/>
            <w:tcMar>
              <w:top w:w="55" w:type="dxa"/>
              <w:left w:w="55" w:type="dxa"/>
              <w:bottom w:w="55" w:type="dxa"/>
              <w:right w:w="55" w:type="dxa"/>
            </w:tcMar>
            <w:vAlign w:val="center"/>
          </w:tcPr>
          <w:p w14:paraId="7B6A1F2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0.495</w:t>
            </w:r>
          </w:p>
        </w:tc>
      </w:tr>
      <w:tr w14:paraId="6D1AF3BB">
        <w:trPr>
          <w:trHeight w:val="193" w:hRule="atLeast"/>
          <w:jc w:val="center"/>
        </w:trPr>
        <w:tc>
          <w:tcPr>
            <w:tcW w:w="1853" w:type="pct"/>
            <w:tcBorders>
              <w:top w:val="nil"/>
              <w:left w:val="nil"/>
              <w:bottom w:val="nil"/>
              <w:right w:val="nil"/>
            </w:tcBorders>
            <w:shd w:val="clear" w:color="auto" w:fill="FFFFFF"/>
            <w:tcMar>
              <w:top w:w="55" w:type="dxa"/>
              <w:left w:w="55" w:type="dxa"/>
              <w:bottom w:w="55" w:type="dxa"/>
              <w:right w:w="55" w:type="dxa"/>
            </w:tcMar>
            <w:vAlign w:val="center"/>
          </w:tcPr>
          <w:p w14:paraId="23CF66F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No heart disease or diabetes</w:t>
            </w:r>
          </w:p>
        </w:tc>
        <w:tc>
          <w:tcPr>
            <w:tcW w:w="920" w:type="pct"/>
            <w:tcBorders>
              <w:top w:val="nil"/>
              <w:left w:val="nil"/>
              <w:bottom w:val="nil"/>
              <w:right w:val="nil"/>
            </w:tcBorders>
            <w:shd w:val="clear" w:color="auto" w:fill="FFFFFF"/>
            <w:tcMar>
              <w:top w:w="55" w:type="dxa"/>
              <w:left w:w="55" w:type="dxa"/>
              <w:bottom w:w="55" w:type="dxa"/>
              <w:right w:w="55" w:type="dxa"/>
            </w:tcMar>
            <w:vAlign w:val="center"/>
          </w:tcPr>
          <w:p w14:paraId="4405728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50–59 years</w:t>
            </w:r>
          </w:p>
        </w:tc>
        <w:tc>
          <w:tcPr>
            <w:tcW w:w="1402" w:type="pct"/>
            <w:tcBorders>
              <w:top w:val="nil"/>
              <w:left w:val="nil"/>
              <w:bottom w:val="nil"/>
              <w:right w:val="nil"/>
            </w:tcBorders>
            <w:shd w:val="clear" w:color="auto" w:fill="FFFFFF"/>
            <w:tcMar>
              <w:top w:w="55" w:type="dxa"/>
              <w:left w:w="55" w:type="dxa"/>
              <w:bottom w:w="55" w:type="dxa"/>
              <w:right w:w="55" w:type="dxa"/>
            </w:tcMar>
            <w:vAlign w:val="center"/>
          </w:tcPr>
          <w:p w14:paraId="14B2E60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-0.31 (-0.67, 0.04)</w:t>
            </w:r>
          </w:p>
        </w:tc>
        <w:tc>
          <w:tcPr>
            <w:tcW w:w="823" w:type="pct"/>
            <w:tcBorders>
              <w:top w:val="nil"/>
              <w:left w:val="nil"/>
              <w:bottom w:val="nil"/>
              <w:right w:val="nil"/>
            </w:tcBorders>
            <w:shd w:val="clear" w:color="auto" w:fill="FFFFFF"/>
            <w:tcMar>
              <w:top w:w="55" w:type="dxa"/>
              <w:left w:w="55" w:type="dxa"/>
              <w:bottom w:w="55" w:type="dxa"/>
              <w:right w:w="55" w:type="dxa"/>
            </w:tcMar>
            <w:vAlign w:val="center"/>
          </w:tcPr>
          <w:p w14:paraId="05D821C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0.088</w:t>
            </w:r>
          </w:p>
        </w:tc>
      </w:tr>
      <w:tr w14:paraId="3A01D075">
        <w:trPr>
          <w:trHeight w:val="193" w:hRule="atLeast"/>
          <w:jc w:val="center"/>
        </w:trPr>
        <w:tc>
          <w:tcPr>
            <w:tcW w:w="1853" w:type="pct"/>
            <w:tcBorders>
              <w:top w:val="nil"/>
              <w:left w:val="nil"/>
              <w:bottom w:val="nil"/>
              <w:right w:val="nil"/>
            </w:tcBorders>
            <w:shd w:val="clear" w:color="auto" w:fill="FFFFFF"/>
            <w:tcMar>
              <w:top w:w="55" w:type="dxa"/>
              <w:left w:w="55" w:type="dxa"/>
              <w:bottom w:w="55" w:type="dxa"/>
              <w:right w:w="55" w:type="dxa"/>
            </w:tcMar>
            <w:vAlign w:val="center"/>
          </w:tcPr>
          <w:p w14:paraId="036C138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No heart disease or diabetes</w:t>
            </w:r>
          </w:p>
        </w:tc>
        <w:tc>
          <w:tcPr>
            <w:tcW w:w="920" w:type="pct"/>
            <w:tcBorders>
              <w:top w:val="nil"/>
              <w:left w:val="nil"/>
              <w:bottom w:val="nil"/>
              <w:right w:val="nil"/>
            </w:tcBorders>
            <w:shd w:val="clear" w:color="auto" w:fill="FFFFFF"/>
            <w:tcMar>
              <w:top w:w="55" w:type="dxa"/>
              <w:left w:w="55" w:type="dxa"/>
              <w:bottom w:w="55" w:type="dxa"/>
              <w:right w:w="55" w:type="dxa"/>
            </w:tcMar>
            <w:vAlign w:val="center"/>
          </w:tcPr>
          <w:p w14:paraId="67A14BE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60–69 years</w:t>
            </w:r>
          </w:p>
        </w:tc>
        <w:tc>
          <w:tcPr>
            <w:tcW w:w="1402" w:type="pct"/>
            <w:tcBorders>
              <w:top w:val="nil"/>
              <w:left w:val="nil"/>
              <w:bottom w:val="nil"/>
              <w:right w:val="nil"/>
            </w:tcBorders>
            <w:shd w:val="clear" w:color="auto" w:fill="FFFFFF"/>
            <w:tcMar>
              <w:top w:w="55" w:type="dxa"/>
              <w:left w:w="55" w:type="dxa"/>
              <w:bottom w:w="55" w:type="dxa"/>
              <w:right w:w="55" w:type="dxa"/>
            </w:tcMar>
            <w:vAlign w:val="center"/>
          </w:tcPr>
          <w:p w14:paraId="06C606B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-0.53 (-0.84, -0.22)</w:t>
            </w:r>
          </w:p>
        </w:tc>
        <w:tc>
          <w:tcPr>
            <w:tcW w:w="823" w:type="pct"/>
            <w:tcBorders>
              <w:top w:val="nil"/>
              <w:left w:val="nil"/>
              <w:bottom w:val="nil"/>
              <w:right w:val="nil"/>
            </w:tcBorders>
            <w:shd w:val="clear" w:color="auto" w:fill="FFFFFF"/>
            <w:tcMar>
              <w:top w:w="55" w:type="dxa"/>
              <w:left w:w="55" w:type="dxa"/>
              <w:bottom w:w="55" w:type="dxa"/>
              <w:right w:w="55" w:type="dxa"/>
            </w:tcMar>
            <w:vAlign w:val="center"/>
          </w:tcPr>
          <w:p w14:paraId="69D7C6C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&lt;0.001</w:t>
            </w:r>
          </w:p>
        </w:tc>
      </w:tr>
      <w:tr w14:paraId="5DEDD48B">
        <w:trPr>
          <w:trHeight w:val="193" w:hRule="atLeast"/>
          <w:jc w:val="center"/>
        </w:trPr>
        <w:tc>
          <w:tcPr>
            <w:tcW w:w="1853" w:type="pct"/>
            <w:tcBorders>
              <w:top w:val="nil"/>
              <w:left w:val="nil"/>
              <w:bottom w:val="nil"/>
              <w:right w:val="nil"/>
            </w:tcBorders>
            <w:shd w:val="clear" w:color="auto" w:fill="FFFFFF"/>
            <w:tcMar>
              <w:top w:w="55" w:type="dxa"/>
              <w:left w:w="55" w:type="dxa"/>
              <w:bottom w:w="55" w:type="dxa"/>
              <w:right w:w="55" w:type="dxa"/>
            </w:tcMar>
            <w:vAlign w:val="center"/>
          </w:tcPr>
          <w:p w14:paraId="4027C81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No heart disease or diabetes</w:t>
            </w:r>
          </w:p>
        </w:tc>
        <w:tc>
          <w:tcPr>
            <w:tcW w:w="920" w:type="pct"/>
            <w:tcBorders>
              <w:top w:val="nil"/>
              <w:left w:val="nil"/>
              <w:bottom w:val="nil"/>
              <w:right w:val="nil"/>
            </w:tcBorders>
            <w:shd w:val="clear" w:color="auto" w:fill="FFFFFF"/>
            <w:tcMar>
              <w:top w:w="55" w:type="dxa"/>
              <w:left w:w="55" w:type="dxa"/>
              <w:bottom w:w="55" w:type="dxa"/>
              <w:right w:w="55" w:type="dxa"/>
            </w:tcMar>
            <w:vAlign w:val="center"/>
          </w:tcPr>
          <w:p w14:paraId="47CD9AF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≥70 years</w:t>
            </w:r>
          </w:p>
        </w:tc>
        <w:tc>
          <w:tcPr>
            <w:tcW w:w="1402" w:type="pct"/>
            <w:tcBorders>
              <w:top w:val="nil"/>
              <w:left w:val="nil"/>
              <w:bottom w:val="nil"/>
              <w:right w:val="nil"/>
            </w:tcBorders>
            <w:shd w:val="clear" w:color="auto" w:fill="FFFFFF"/>
            <w:tcMar>
              <w:top w:w="55" w:type="dxa"/>
              <w:left w:w="55" w:type="dxa"/>
              <w:bottom w:w="55" w:type="dxa"/>
              <w:right w:w="55" w:type="dxa"/>
            </w:tcMar>
            <w:vAlign w:val="center"/>
          </w:tcPr>
          <w:p w14:paraId="34C4A52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-0.31 (-0.65, 0.03)</w:t>
            </w:r>
          </w:p>
        </w:tc>
        <w:tc>
          <w:tcPr>
            <w:tcW w:w="823" w:type="pct"/>
            <w:tcBorders>
              <w:top w:val="nil"/>
              <w:left w:val="nil"/>
              <w:bottom w:val="nil"/>
              <w:right w:val="nil"/>
            </w:tcBorders>
            <w:shd w:val="clear" w:color="auto" w:fill="FFFFFF"/>
            <w:tcMar>
              <w:top w:w="55" w:type="dxa"/>
              <w:left w:w="55" w:type="dxa"/>
              <w:bottom w:w="55" w:type="dxa"/>
              <w:right w:w="55" w:type="dxa"/>
            </w:tcMar>
            <w:vAlign w:val="center"/>
          </w:tcPr>
          <w:p w14:paraId="0111E39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0.076</w:t>
            </w:r>
          </w:p>
        </w:tc>
      </w:tr>
      <w:tr w14:paraId="52067F3A">
        <w:trPr>
          <w:trHeight w:val="193" w:hRule="atLeast"/>
          <w:jc w:val="center"/>
        </w:trPr>
        <w:tc>
          <w:tcPr>
            <w:tcW w:w="1853" w:type="pct"/>
            <w:tcBorders>
              <w:top w:val="nil"/>
              <w:left w:val="nil"/>
              <w:bottom w:val="nil"/>
              <w:right w:val="nil"/>
            </w:tcBorders>
            <w:shd w:val="clear" w:color="auto" w:fill="FFFFFF"/>
            <w:tcMar>
              <w:top w:w="55" w:type="dxa"/>
              <w:left w:w="55" w:type="dxa"/>
              <w:bottom w:w="55" w:type="dxa"/>
              <w:right w:w="55" w:type="dxa"/>
            </w:tcMar>
            <w:vAlign w:val="center"/>
          </w:tcPr>
          <w:p w14:paraId="35BF443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Healthy non-smokers</w:t>
            </w:r>
          </w:p>
        </w:tc>
        <w:tc>
          <w:tcPr>
            <w:tcW w:w="920" w:type="pct"/>
            <w:tcBorders>
              <w:top w:val="nil"/>
              <w:left w:val="nil"/>
              <w:bottom w:val="nil"/>
              <w:right w:val="nil"/>
            </w:tcBorders>
            <w:shd w:val="clear" w:color="auto" w:fill="FFFFFF"/>
            <w:tcMar>
              <w:top w:w="55" w:type="dxa"/>
              <w:left w:w="55" w:type="dxa"/>
              <w:bottom w:w="55" w:type="dxa"/>
              <w:right w:w="55" w:type="dxa"/>
            </w:tcMar>
            <w:vAlign w:val="center"/>
          </w:tcPr>
          <w:p w14:paraId="04BBA41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50–59 years</w:t>
            </w:r>
          </w:p>
        </w:tc>
        <w:tc>
          <w:tcPr>
            <w:tcW w:w="1402" w:type="pct"/>
            <w:tcBorders>
              <w:top w:val="nil"/>
              <w:left w:val="nil"/>
              <w:bottom w:val="nil"/>
              <w:right w:val="nil"/>
            </w:tcBorders>
            <w:shd w:val="clear" w:color="auto" w:fill="FFFFFF"/>
            <w:tcMar>
              <w:top w:w="55" w:type="dxa"/>
              <w:left w:w="55" w:type="dxa"/>
              <w:bottom w:w="55" w:type="dxa"/>
              <w:right w:w="55" w:type="dxa"/>
            </w:tcMar>
            <w:vAlign w:val="center"/>
          </w:tcPr>
          <w:p w14:paraId="55F4AFC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-0.39 (-0.85, 0.08)</w:t>
            </w:r>
          </w:p>
        </w:tc>
        <w:tc>
          <w:tcPr>
            <w:tcW w:w="823" w:type="pct"/>
            <w:tcBorders>
              <w:top w:val="nil"/>
              <w:left w:val="nil"/>
              <w:bottom w:val="nil"/>
              <w:right w:val="nil"/>
            </w:tcBorders>
            <w:shd w:val="clear" w:color="auto" w:fill="FFFFFF"/>
            <w:tcMar>
              <w:top w:w="55" w:type="dxa"/>
              <w:left w:w="55" w:type="dxa"/>
              <w:bottom w:w="55" w:type="dxa"/>
              <w:right w:w="55" w:type="dxa"/>
            </w:tcMar>
            <w:vAlign w:val="center"/>
          </w:tcPr>
          <w:p w14:paraId="18E7E79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0.111</w:t>
            </w:r>
          </w:p>
        </w:tc>
      </w:tr>
      <w:tr w14:paraId="447D3A2E">
        <w:trPr>
          <w:trHeight w:val="193" w:hRule="atLeast"/>
          <w:jc w:val="center"/>
        </w:trPr>
        <w:tc>
          <w:tcPr>
            <w:tcW w:w="1853" w:type="pct"/>
            <w:tcBorders>
              <w:top w:val="nil"/>
              <w:left w:val="nil"/>
              <w:bottom w:val="nil"/>
              <w:right w:val="nil"/>
            </w:tcBorders>
            <w:shd w:val="clear" w:color="auto" w:fill="FFFFFF"/>
            <w:tcMar>
              <w:top w:w="55" w:type="dxa"/>
              <w:left w:w="55" w:type="dxa"/>
              <w:bottom w:w="55" w:type="dxa"/>
              <w:right w:w="55" w:type="dxa"/>
            </w:tcMar>
            <w:vAlign w:val="center"/>
          </w:tcPr>
          <w:p w14:paraId="73428C0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Healthy non-smokers</w:t>
            </w:r>
          </w:p>
        </w:tc>
        <w:tc>
          <w:tcPr>
            <w:tcW w:w="920" w:type="pct"/>
            <w:tcBorders>
              <w:top w:val="nil"/>
              <w:left w:val="nil"/>
              <w:bottom w:val="nil"/>
              <w:right w:val="nil"/>
            </w:tcBorders>
            <w:shd w:val="clear" w:color="auto" w:fill="FFFFFF"/>
            <w:tcMar>
              <w:top w:w="55" w:type="dxa"/>
              <w:left w:w="55" w:type="dxa"/>
              <w:bottom w:w="55" w:type="dxa"/>
              <w:right w:w="55" w:type="dxa"/>
            </w:tcMar>
            <w:vAlign w:val="center"/>
          </w:tcPr>
          <w:p w14:paraId="12A5A3A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60–69 years</w:t>
            </w:r>
          </w:p>
        </w:tc>
        <w:tc>
          <w:tcPr>
            <w:tcW w:w="1402" w:type="pct"/>
            <w:tcBorders>
              <w:top w:val="nil"/>
              <w:left w:val="nil"/>
              <w:bottom w:val="nil"/>
              <w:right w:val="nil"/>
            </w:tcBorders>
            <w:shd w:val="clear" w:color="auto" w:fill="FFFFFF"/>
            <w:tcMar>
              <w:top w:w="55" w:type="dxa"/>
              <w:left w:w="55" w:type="dxa"/>
              <w:bottom w:w="55" w:type="dxa"/>
              <w:right w:w="55" w:type="dxa"/>
            </w:tcMar>
            <w:vAlign w:val="center"/>
          </w:tcPr>
          <w:p w14:paraId="1EAB12B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-0.42 (-0.92, 0.09)</w:t>
            </w:r>
          </w:p>
        </w:tc>
        <w:tc>
          <w:tcPr>
            <w:tcW w:w="823" w:type="pct"/>
            <w:tcBorders>
              <w:top w:val="nil"/>
              <w:left w:val="nil"/>
              <w:bottom w:val="nil"/>
              <w:right w:val="nil"/>
            </w:tcBorders>
            <w:shd w:val="clear" w:color="auto" w:fill="FFFFFF"/>
            <w:tcMar>
              <w:top w:w="55" w:type="dxa"/>
              <w:left w:w="55" w:type="dxa"/>
              <w:bottom w:w="55" w:type="dxa"/>
              <w:right w:w="55" w:type="dxa"/>
            </w:tcMar>
            <w:vAlign w:val="center"/>
          </w:tcPr>
          <w:p w14:paraId="61AAA3B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0.107</w:t>
            </w:r>
          </w:p>
        </w:tc>
      </w:tr>
      <w:tr w14:paraId="4F2A0548">
        <w:trPr>
          <w:trHeight w:val="193" w:hRule="atLeast"/>
          <w:jc w:val="center"/>
        </w:trPr>
        <w:tc>
          <w:tcPr>
            <w:tcW w:w="1853"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1B839B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Healthy non-smokers</w:t>
            </w:r>
          </w:p>
        </w:tc>
        <w:tc>
          <w:tcPr>
            <w:tcW w:w="92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5E73E6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≥70 years</w:t>
            </w:r>
          </w:p>
        </w:tc>
        <w:tc>
          <w:tcPr>
            <w:tcW w:w="1402"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3314E6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0.20 (-0.52, 0.92)</w:t>
            </w:r>
          </w:p>
        </w:tc>
        <w:tc>
          <w:tcPr>
            <w:tcW w:w="823"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CD82BA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0.587</w:t>
            </w:r>
          </w:p>
        </w:tc>
      </w:tr>
    </w:tbl>
    <w:p w14:paraId="048B93E5">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r>
        <w:rPr>
          <w:rFonts w:hint="default" w:ascii="Times New Roman" w:hAnsi="Times New Roman" w:eastAsia="Times New Roman" w:cs="Times New Roman Regular"/>
          <w:b/>
          <w:bCs/>
          <w:color w:val="auto"/>
          <w:sz w:val="20"/>
          <w:szCs w:val="22"/>
          <w:lang w:val="en-US" w:eastAsia="zh-CN"/>
        </w:rPr>
        <w:br w:type="textWrapping"/>
      </w:r>
      <w:r>
        <w:rPr>
          <w:rFonts w:hint="default" w:ascii="Times New Roman" w:hAnsi="Times New Roman" w:eastAsia="Times New Roman" w:cs="Times New Roman Regular"/>
          <w:b w:val="0"/>
          <w:bCs w:val="0"/>
          <w:color w:val="auto"/>
          <w:sz w:val="20"/>
          <w:szCs w:val="22"/>
          <w:lang w:val="en-US" w:eastAsia="zh-CN"/>
        </w:rPr>
        <w:t>Regression coefficients (β), 95% confidence intervals (CIs), and P values are shown from sensitivity analyses examining the association between ferritin coefficient of variation (CV) and repeated forced expiratory volume in 1 second (FEV₁) across prespecified age windows under selected analytic restrictions. These restrictions may include exclusion of participants with major cardiometabolic comorbidity or smoking-related subgroups, as specified in the table. Models used the same Hb-adjusted linear mixed-effects framework as the main subgroup analyses. These results are provided to assess whether the age-window-specific pattern, particularly the signal observed in the 60–69-year group, remained directionally consistent across sensitivity analyses.</w:t>
      </w:r>
    </w:p>
    <w:p w14:paraId="2D9752E6">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EAAD0AA">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CC6887A">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D43AE4E">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4500731">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CDC3487">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1A27AB9">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A4E5744">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6737D08">
      <w:pPr>
        <w:spacing w:before="0" w:after="0" w:line="240" w:lineRule="auto"/>
        <w:rPr>
          <w:rFonts w:hint="default" w:ascii="Times New Roman Regular" w:hAnsi="Times New Roman Regular" w:cs="Times New Roman Regular"/>
          <w:b/>
          <w:bCs/>
          <w:color w:val="auto"/>
          <w:sz w:val="22"/>
          <w:szCs w:val="22"/>
          <w:lang w:val="en-US" w:eastAsia="zh-CN"/>
        </w:rPr>
      </w:pPr>
    </w:p>
    <w:p w14:paraId="79A062B0">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6B3A463E">
      <w:pPr>
        <w:spacing w:before="0" w:after="0" w:line="240" w:lineRule="auto"/>
        <w:rPr>
          <w:rFonts w:hint="default" w:ascii="Times New Roman Regular" w:hAnsi="Times New Roman Regular" w:cs="Times New Roman Regular"/>
          <w:b/>
          <w:bCs/>
          <w:color w:val="auto"/>
          <w:sz w:val="22"/>
          <w:szCs w:val="22"/>
          <w:lang w:val="en-US" w:eastAsia="zh-CN"/>
        </w:rPr>
      </w:pPr>
    </w:p>
    <w:p w14:paraId="65B25E8B">
      <w:pPr>
        <w:pStyle w:val="2"/>
        <w:keepNext/>
        <w:spacing w:before="0" w:after="120" w:line="240" w:lineRule="auto"/>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Supplementary Table S12. Interaction model of ferritin CV and current smoking for repeated FEV₁</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82"/>
        <w:gridCol w:w="3694"/>
        <w:gridCol w:w="3990"/>
      </w:tblGrid>
      <w:tr w14:paraId="5D80FACD">
        <w:trPr>
          <w:trHeight w:val="193" w:hRule="atLeast"/>
          <w:tblHeader/>
          <w:jc w:val="center"/>
        </w:trPr>
        <w:tc>
          <w:tcPr>
            <w:tcW w:w="2325"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16D4B27">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Variable</w:t>
            </w:r>
          </w:p>
        </w:tc>
        <w:tc>
          <w:tcPr>
            <w:tcW w:w="1285"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37AE0581">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β (95% CI)</w:t>
            </w:r>
          </w:p>
        </w:tc>
        <w:tc>
          <w:tcPr>
            <w:tcW w:w="1388"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D1C4CE1">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4BA71D6E">
        <w:trPr>
          <w:trHeight w:val="193" w:hRule="atLeast"/>
          <w:jc w:val="center"/>
        </w:trPr>
        <w:tc>
          <w:tcPr>
            <w:tcW w:w="2325"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03A499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285"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87884C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-0.22 (-0.50, 0.06)</w:t>
            </w:r>
          </w:p>
        </w:tc>
        <w:tc>
          <w:tcPr>
            <w:tcW w:w="1388"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67BF3BF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0.118</w:t>
            </w:r>
          </w:p>
        </w:tc>
      </w:tr>
      <w:tr w14:paraId="3152A582">
        <w:trPr>
          <w:trHeight w:val="193" w:hRule="atLeast"/>
          <w:jc w:val="center"/>
        </w:trPr>
        <w:tc>
          <w:tcPr>
            <w:tcW w:w="2325" w:type="pct"/>
            <w:tcBorders>
              <w:top w:val="nil"/>
              <w:left w:val="nil"/>
              <w:bottom w:val="nil"/>
              <w:right w:val="nil"/>
            </w:tcBorders>
            <w:shd w:val="clear" w:color="auto" w:fill="FFFFFF"/>
            <w:tcMar>
              <w:top w:w="55" w:type="dxa"/>
              <w:left w:w="55" w:type="dxa"/>
              <w:bottom w:w="55" w:type="dxa"/>
              <w:right w:w="55" w:type="dxa"/>
            </w:tcMar>
            <w:vAlign w:val="center"/>
          </w:tcPr>
          <w:p w14:paraId="5AFCD2C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Current smoking</w:t>
            </w:r>
          </w:p>
        </w:tc>
        <w:tc>
          <w:tcPr>
            <w:tcW w:w="1285" w:type="pct"/>
            <w:tcBorders>
              <w:top w:val="nil"/>
              <w:left w:val="nil"/>
              <w:bottom w:val="nil"/>
              <w:right w:val="nil"/>
            </w:tcBorders>
            <w:shd w:val="clear" w:color="auto" w:fill="FFFFFF"/>
            <w:tcMar>
              <w:top w:w="55" w:type="dxa"/>
              <w:left w:w="55" w:type="dxa"/>
              <w:bottom w:w="55" w:type="dxa"/>
              <w:right w:w="55" w:type="dxa"/>
            </w:tcMar>
            <w:vAlign w:val="center"/>
          </w:tcPr>
          <w:p w14:paraId="5B369EA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-0.03 (-0.19, 0.12)</w:t>
            </w:r>
          </w:p>
        </w:tc>
        <w:tc>
          <w:tcPr>
            <w:tcW w:w="1388" w:type="pct"/>
            <w:tcBorders>
              <w:top w:val="nil"/>
              <w:left w:val="nil"/>
              <w:bottom w:val="nil"/>
              <w:right w:val="nil"/>
            </w:tcBorders>
            <w:shd w:val="clear" w:color="auto" w:fill="FFFFFF"/>
            <w:tcMar>
              <w:top w:w="55" w:type="dxa"/>
              <w:left w:w="55" w:type="dxa"/>
              <w:bottom w:w="55" w:type="dxa"/>
              <w:right w:w="55" w:type="dxa"/>
            </w:tcMar>
            <w:vAlign w:val="center"/>
          </w:tcPr>
          <w:p w14:paraId="0462AEC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0.682</w:t>
            </w:r>
          </w:p>
        </w:tc>
      </w:tr>
      <w:tr w14:paraId="6CE1DED3">
        <w:trPr>
          <w:trHeight w:val="193" w:hRule="atLeast"/>
          <w:jc w:val="center"/>
        </w:trPr>
        <w:tc>
          <w:tcPr>
            <w:tcW w:w="2325"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C4D899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 current smoking</w:t>
            </w:r>
          </w:p>
        </w:tc>
        <w:tc>
          <w:tcPr>
            <w:tcW w:w="1285"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CD1F27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-0.15 (-0.50, 0.21)</w:t>
            </w:r>
          </w:p>
        </w:tc>
        <w:tc>
          <w:tcPr>
            <w:tcW w:w="1388"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991740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0.419</w:t>
            </w:r>
          </w:p>
        </w:tc>
      </w:tr>
    </w:tbl>
    <w:p w14:paraId="4F7D7AC3">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r>
        <w:rPr>
          <w:rFonts w:hint="default" w:ascii="Times New Roman" w:hAnsi="Times New Roman" w:eastAsia="Times New Roman" w:cs="Times New Roman Regular"/>
          <w:b/>
          <w:bCs/>
          <w:color w:val="auto"/>
          <w:sz w:val="20"/>
          <w:szCs w:val="22"/>
          <w:lang w:val="en-US" w:eastAsia="zh-CN"/>
        </w:rPr>
        <w:br w:type="textWrapping"/>
      </w:r>
      <w:r>
        <w:rPr>
          <w:rFonts w:hint="default" w:ascii="Times New Roman" w:hAnsi="Times New Roman" w:eastAsia="Times New Roman" w:cs="Times New Roman Regular"/>
          <w:b w:val="0"/>
          <w:bCs w:val="0"/>
          <w:color w:val="auto"/>
          <w:sz w:val="20"/>
          <w:szCs w:val="22"/>
          <w:lang w:val="en-US" w:eastAsia="zh-CN"/>
        </w:rPr>
        <w:t>Regression coefficients (β), 95% confidence intervals (CIs), and P values are shown from an Hb-adjusted linear mixed-effects model including ferritin coefficient of variation (CV), current smoking status, and their interaction term in relation to repeated forced expiratory volume in 1 second (FEV₁). The model was adjusted for age, sex, body mass index (BMI), log-transformed C-reactive protein (CRP), and hemoglobin (Hb), with participant-level random intercepts to account for repeated measurements. This model was used to formally assess whether the association between ferritin CV and repeated FEV₁ differed by current smoking status.</w:t>
      </w:r>
    </w:p>
    <w:p w14:paraId="28A54862">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8A77D01">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AF3D4DE">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46EAE06">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6C54096">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E474BCF">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9584A79">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0938F11">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80CD0B9">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F8DF831">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5076D9B">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2D30269">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0349956">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42D901E8">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064A2F42">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51F39C1B">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0B579EDC">
      <w:pPr>
        <w:pStyle w:val="2"/>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Supplementary Table S13. Sample sizes for smoking-stratified and smoking-interaction analyses of ferritin CV</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167"/>
        <w:gridCol w:w="4730"/>
        <w:gridCol w:w="4469"/>
      </w:tblGrid>
      <w:tr w14:paraId="5554F094">
        <w:trPr>
          <w:trHeight w:val="193" w:hRule="atLeast"/>
          <w:tblHeader/>
          <w:jc w:val="center"/>
        </w:trPr>
        <w:tc>
          <w:tcPr>
            <w:tcW w:w="1798"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3C0B4E7F">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Analysis</w:t>
            </w:r>
          </w:p>
        </w:tc>
        <w:tc>
          <w:tcPr>
            <w:tcW w:w="1646"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C73BB25">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Repeated observations</w:t>
            </w:r>
          </w:p>
        </w:tc>
        <w:tc>
          <w:tcPr>
            <w:tcW w:w="1555"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60F91B4">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Participants</w:t>
            </w:r>
          </w:p>
        </w:tc>
      </w:tr>
      <w:tr w14:paraId="4D7E1238">
        <w:trPr>
          <w:trHeight w:val="193" w:hRule="atLeast"/>
          <w:jc w:val="center"/>
        </w:trPr>
        <w:tc>
          <w:tcPr>
            <w:tcW w:w="1798"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248E813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Ferritin CV × smoking → </w:t>
            </w:r>
            <w:r>
              <w:rPr>
                <w:rFonts w:hint="default" w:ascii="Times New Roman" w:hAnsi="Times New Roman" w:eastAsia="Times New Roman" w:cs="Times New Roman Regular"/>
                <w:b w:val="0"/>
                <w:bCs w:val="0"/>
                <w:color w:val="auto"/>
                <w:sz w:val="17"/>
                <w:szCs w:val="22"/>
                <w:lang w:val="en-US" w:eastAsia="zh-CN"/>
              </w:rPr>
              <w:t>FEV₁</w:t>
            </w:r>
          </w:p>
        </w:tc>
        <w:tc>
          <w:tcPr>
            <w:tcW w:w="1646"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2E543D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1,154</w:t>
            </w:r>
          </w:p>
        </w:tc>
        <w:tc>
          <w:tcPr>
            <w:tcW w:w="1555"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611CA9B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532</w:t>
            </w:r>
          </w:p>
        </w:tc>
      </w:tr>
      <w:tr w14:paraId="0B512C9E">
        <w:trPr>
          <w:trHeight w:val="193" w:hRule="atLeast"/>
          <w:jc w:val="center"/>
        </w:trPr>
        <w:tc>
          <w:tcPr>
            <w:tcW w:w="1798" w:type="pct"/>
            <w:tcBorders>
              <w:top w:val="nil"/>
              <w:left w:val="nil"/>
              <w:bottom w:val="nil"/>
              <w:right w:val="nil"/>
            </w:tcBorders>
            <w:shd w:val="clear" w:color="auto" w:fill="FFFFFF"/>
            <w:tcMar>
              <w:top w:w="55" w:type="dxa"/>
              <w:left w:w="55" w:type="dxa"/>
              <w:bottom w:w="55" w:type="dxa"/>
              <w:right w:w="55" w:type="dxa"/>
            </w:tcMar>
            <w:vAlign w:val="center"/>
          </w:tcPr>
          <w:p w14:paraId="5270DB6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CV × smoking → symptom</w:t>
            </w:r>
          </w:p>
        </w:tc>
        <w:tc>
          <w:tcPr>
            <w:tcW w:w="1646" w:type="pct"/>
            <w:tcBorders>
              <w:top w:val="nil"/>
              <w:left w:val="nil"/>
              <w:bottom w:val="nil"/>
              <w:right w:val="nil"/>
            </w:tcBorders>
            <w:shd w:val="clear" w:color="auto" w:fill="FFFFFF"/>
            <w:tcMar>
              <w:top w:w="55" w:type="dxa"/>
              <w:left w:w="55" w:type="dxa"/>
              <w:bottom w:w="55" w:type="dxa"/>
              <w:right w:w="55" w:type="dxa"/>
            </w:tcMar>
            <w:vAlign w:val="center"/>
          </w:tcPr>
          <w:p w14:paraId="34D4746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1,479</w:t>
            </w:r>
          </w:p>
        </w:tc>
        <w:tc>
          <w:tcPr>
            <w:tcW w:w="1555" w:type="pct"/>
            <w:tcBorders>
              <w:top w:val="nil"/>
              <w:left w:val="nil"/>
              <w:bottom w:val="nil"/>
              <w:right w:val="nil"/>
            </w:tcBorders>
            <w:shd w:val="clear" w:color="auto" w:fill="FFFFFF"/>
            <w:tcMar>
              <w:top w:w="55" w:type="dxa"/>
              <w:left w:w="55" w:type="dxa"/>
              <w:bottom w:w="55" w:type="dxa"/>
              <w:right w:w="55" w:type="dxa"/>
            </w:tcMar>
            <w:vAlign w:val="center"/>
          </w:tcPr>
          <w:p w14:paraId="6EDA558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539</w:t>
            </w:r>
          </w:p>
        </w:tc>
      </w:tr>
      <w:tr w14:paraId="39756A44">
        <w:trPr>
          <w:trHeight w:val="193" w:hRule="atLeast"/>
          <w:jc w:val="center"/>
        </w:trPr>
        <w:tc>
          <w:tcPr>
            <w:tcW w:w="1798" w:type="pct"/>
            <w:tcBorders>
              <w:top w:val="nil"/>
              <w:left w:val="nil"/>
              <w:bottom w:val="nil"/>
              <w:right w:val="nil"/>
            </w:tcBorders>
            <w:shd w:val="clear" w:color="auto" w:fill="FFFFFF"/>
            <w:tcMar>
              <w:top w:w="55" w:type="dxa"/>
              <w:left w:w="55" w:type="dxa"/>
              <w:bottom w:w="55" w:type="dxa"/>
              <w:right w:w="55" w:type="dxa"/>
            </w:tcMar>
            <w:vAlign w:val="center"/>
          </w:tcPr>
          <w:p w14:paraId="0ECEE67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Smokers-only </w:t>
            </w:r>
            <w:r>
              <w:rPr>
                <w:rFonts w:hint="default" w:ascii="Times New Roman" w:hAnsi="Times New Roman" w:eastAsia="Times New Roman" w:cs="Times New Roman Regular"/>
                <w:b w:val="0"/>
                <w:bCs w:val="0"/>
                <w:color w:val="auto"/>
                <w:sz w:val="17"/>
                <w:szCs w:val="22"/>
                <w:lang w:val="en-US" w:eastAsia="zh-CN"/>
              </w:rPr>
              <w:t>FEV₁</w:t>
            </w:r>
          </w:p>
        </w:tc>
        <w:tc>
          <w:tcPr>
            <w:tcW w:w="1646" w:type="pct"/>
            <w:tcBorders>
              <w:top w:val="nil"/>
              <w:left w:val="nil"/>
              <w:bottom w:val="nil"/>
              <w:right w:val="nil"/>
            </w:tcBorders>
            <w:shd w:val="clear" w:color="auto" w:fill="FFFFFF"/>
            <w:tcMar>
              <w:top w:w="55" w:type="dxa"/>
              <w:left w:w="55" w:type="dxa"/>
              <w:bottom w:w="55" w:type="dxa"/>
              <w:right w:w="55" w:type="dxa"/>
            </w:tcMar>
            <w:vAlign w:val="center"/>
          </w:tcPr>
          <w:p w14:paraId="10DED43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757</w:t>
            </w:r>
          </w:p>
        </w:tc>
        <w:tc>
          <w:tcPr>
            <w:tcW w:w="1555" w:type="pct"/>
            <w:tcBorders>
              <w:top w:val="nil"/>
              <w:left w:val="nil"/>
              <w:bottom w:val="nil"/>
              <w:right w:val="nil"/>
            </w:tcBorders>
            <w:shd w:val="clear" w:color="auto" w:fill="FFFFFF"/>
            <w:tcMar>
              <w:top w:w="55" w:type="dxa"/>
              <w:left w:w="55" w:type="dxa"/>
              <w:bottom w:w="55" w:type="dxa"/>
              <w:right w:w="55" w:type="dxa"/>
            </w:tcMar>
            <w:vAlign w:val="center"/>
          </w:tcPr>
          <w:p w14:paraId="169CF02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359</w:t>
            </w:r>
          </w:p>
        </w:tc>
      </w:tr>
      <w:tr w14:paraId="13ED1812">
        <w:trPr>
          <w:trHeight w:val="193" w:hRule="atLeast"/>
          <w:jc w:val="center"/>
        </w:trPr>
        <w:tc>
          <w:tcPr>
            <w:tcW w:w="1798"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A54F17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Smokers-only symptom</w:t>
            </w:r>
          </w:p>
        </w:tc>
        <w:tc>
          <w:tcPr>
            <w:tcW w:w="1646"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6898F6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985</w:t>
            </w:r>
          </w:p>
        </w:tc>
        <w:tc>
          <w:tcPr>
            <w:tcW w:w="1555"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6DF1C4F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375</w:t>
            </w:r>
          </w:p>
        </w:tc>
      </w:tr>
    </w:tbl>
    <w:p w14:paraId="71DAF7DB">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r>
        <w:rPr>
          <w:rFonts w:hint="default" w:ascii="Times New Roman" w:hAnsi="Times New Roman" w:eastAsia="Times New Roman" w:cs="Times New Roman Regular"/>
          <w:b/>
          <w:bCs/>
          <w:color w:val="auto"/>
          <w:sz w:val="20"/>
          <w:szCs w:val="22"/>
          <w:lang w:val="en-US" w:eastAsia="zh-CN"/>
        </w:rPr>
        <w:br w:type="textWrapping"/>
      </w:r>
      <w:r>
        <w:rPr>
          <w:rFonts w:hint="default" w:ascii="Times New Roman" w:hAnsi="Times New Roman" w:eastAsia="Times New Roman" w:cs="Times New Roman Regular"/>
          <w:b w:val="0"/>
          <w:bCs w:val="0"/>
          <w:color w:val="auto"/>
          <w:sz w:val="20"/>
          <w:szCs w:val="22"/>
          <w:lang w:val="en-US" w:eastAsia="zh-CN"/>
        </w:rPr>
        <w:t>This table summarizes the numbers of repeated observations and unique participants included in the smoking-stratified and smoking-interaction analyses of ferritin coefficient of variation (CV). Counts are shown separately for ferritin CV × smoking interaction models and smokers-only analyses for repeated FEV₁ and, where applicable, symptom outcomes. These data are provided to document the analytic sample size underlying the smoking-related subgroup analyses.</w:t>
      </w:r>
    </w:p>
    <w:p w14:paraId="26610243">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86FF055">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E2B4E7E">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46E7704">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E952993">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656C857">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4940825">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A4D768B">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975D29B">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F795F8B">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8EE2742">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793F96F">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42E9885E">
      <w:pPr>
        <w:pStyle w:val="2"/>
        <w:keepNext/>
        <w:spacing w:before="0" w:after="120" w:line="240" w:lineRule="auto"/>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Supplementary Table S14. Grip-stratified associations between ferritin CV and repeated FEV₁ in participants aged 60 years or older</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54"/>
        <w:gridCol w:w="7282"/>
        <w:gridCol w:w="3130"/>
      </w:tblGrid>
      <w:tr w14:paraId="39352A16">
        <w:trPr>
          <w:trHeight w:val="193" w:hRule="atLeast"/>
          <w:tblHeader/>
          <w:jc w:val="center"/>
        </w:trPr>
        <w:tc>
          <w:tcPr>
            <w:tcW w:w="1376" w:type="pct"/>
            <w:tcBorders>
              <w:top w:val="single" w:color="000000" w:sz="12" w:space="0"/>
              <w:left w:val="nil"/>
              <w:bottom w:val="single" w:color="000000" w:sz="8" w:space="0"/>
              <w:right w:val="nil"/>
            </w:tcBorders>
            <w:shd w:val="clear" w:color="auto" w:fill="EAF2F8"/>
            <w:noWrap/>
            <w:tcMar>
              <w:top w:w="55" w:type="dxa"/>
              <w:left w:w="55" w:type="dxa"/>
              <w:bottom w:w="55" w:type="dxa"/>
              <w:right w:w="55" w:type="dxa"/>
            </w:tcMar>
            <w:vAlign w:val="center"/>
          </w:tcPr>
          <w:p w14:paraId="0517583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Grip group</w:t>
            </w:r>
          </w:p>
        </w:tc>
        <w:tc>
          <w:tcPr>
            <w:tcW w:w="2534" w:type="pct"/>
            <w:tcBorders>
              <w:top w:val="single" w:color="000000" w:sz="12" w:space="0"/>
              <w:left w:val="nil"/>
              <w:bottom w:val="single" w:color="000000" w:sz="8" w:space="0"/>
              <w:right w:val="nil"/>
            </w:tcBorders>
            <w:shd w:val="clear" w:color="auto" w:fill="EAF2F8"/>
            <w:noWrap/>
            <w:tcMar>
              <w:top w:w="55" w:type="dxa"/>
              <w:left w:w="55" w:type="dxa"/>
              <w:bottom w:w="55" w:type="dxa"/>
              <w:right w:w="55" w:type="dxa"/>
            </w:tcMar>
            <w:vAlign w:val="center"/>
          </w:tcPr>
          <w:p w14:paraId="7CCF21F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Beta (95% CI)</w:t>
            </w:r>
          </w:p>
        </w:tc>
        <w:tc>
          <w:tcPr>
            <w:tcW w:w="1089" w:type="pct"/>
            <w:tcBorders>
              <w:top w:val="single" w:color="000000" w:sz="12" w:space="0"/>
              <w:left w:val="nil"/>
              <w:bottom w:val="single" w:color="000000" w:sz="8" w:space="0"/>
              <w:right w:val="nil"/>
            </w:tcBorders>
            <w:shd w:val="clear" w:color="auto" w:fill="EAF2F8"/>
            <w:noWrap/>
            <w:tcMar>
              <w:top w:w="55" w:type="dxa"/>
              <w:left w:w="55" w:type="dxa"/>
              <w:bottom w:w="55" w:type="dxa"/>
              <w:right w:w="55" w:type="dxa"/>
            </w:tcMar>
            <w:vAlign w:val="center"/>
          </w:tcPr>
          <w:p w14:paraId="5F4A82C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54DD6E41">
        <w:trPr>
          <w:trHeight w:val="193" w:hRule="atLeast"/>
          <w:jc w:val="center"/>
        </w:trPr>
        <w:tc>
          <w:tcPr>
            <w:tcW w:w="1376" w:type="pct"/>
            <w:tcBorders>
              <w:top w:val="nil"/>
              <w:left w:val="nil"/>
              <w:bottom w:val="nil"/>
              <w:right w:val="nil"/>
            </w:tcBorders>
            <w:shd w:val="clear" w:color="auto" w:fill="FFFFFF"/>
            <w:noWrap/>
            <w:tcMar>
              <w:top w:w="55" w:type="dxa"/>
              <w:left w:w="55" w:type="dxa"/>
              <w:bottom w:w="55" w:type="dxa"/>
              <w:right w:w="55" w:type="dxa"/>
            </w:tcMar>
            <w:vAlign w:val="center"/>
          </w:tcPr>
          <w:p w14:paraId="5144A78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Strong grip</w:t>
            </w:r>
          </w:p>
        </w:tc>
        <w:tc>
          <w:tcPr>
            <w:tcW w:w="2534" w:type="pct"/>
            <w:tcBorders>
              <w:top w:val="nil"/>
              <w:left w:val="nil"/>
              <w:bottom w:val="nil"/>
              <w:right w:val="nil"/>
            </w:tcBorders>
            <w:shd w:val="clear" w:color="auto" w:fill="FFFFFF"/>
            <w:noWrap/>
            <w:tcMar>
              <w:top w:w="55" w:type="dxa"/>
              <w:left w:w="55" w:type="dxa"/>
              <w:bottom w:w="55" w:type="dxa"/>
              <w:right w:w="55" w:type="dxa"/>
            </w:tcMar>
            <w:vAlign w:val="center"/>
          </w:tcPr>
          <w:p w14:paraId="55556E9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-0.332 (-0.688, 0.025)</w:t>
            </w:r>
          </w:p>
        </w:tc>
        <w:tc>
          <w:tcPr>
            <w:tcW w:w="1089" w:type="pct"/>
            <w:tcBorders>
              <w:top w:val="nil"/>
              <w:left w:val="nil"/>
              <w:bottom w:val="nil"/>
              <w:right w:val="nil"/>
            </w:tcBorders>
            <w:shd w:val="clear" w:color="auto" w:fill="FFFFFF"/>
            <w:noWrap/>
            <w:tcMar>
              <w:top w:w="55" w:type="dxa"/>
              <w:left w:w="55" w:type="dxa"/>
              <w:bottom w:w="55" w:type="dxa"/>
              <w:right w:w="55" w:type="dxa"/>
            </w:tcMar>
            <w:vAlign w:val="center"/>
          </w:tcPr>
          <w:p w14:paraId="0604545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0.069</w:t>
            </w:r>
          </w:p>
        </w:tc>
      </w:tr>
      <w:tr w14:paraId="5DD7730B">
        <w:trPr>
          <w:trHeight w:val="193" w:hRule="atLeast"/>
          <w:jc w:val="center"/>
        </w:trPr>
        <w:tc>
          <w:tcPr>
            <w:tcW w:w="1376"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76F7A9D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Weak grip</w:t>
            </w:r>
          </w:p>
        </w:tc>
        <w:tc>
          <w:tcPr>
            <w:tcW w:w="2534"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7B803DF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-0.257 (-0.483, -0.032)</w:t>
            </w:r>
          </w:p>
        </w:tc>
        <w:tc>
          <w:tcPr>
            <w:tcW w:w="1089"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3B5321D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0.026</w:t>
            </w:r>
          </w:p>
        </w:tc>
      </w:tr>
    </w:tbl>
    <w:p w14:paraId="097CF257">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r>
        <w:rPr>
          <w:rFonts w:hint="default" w:ascii="Times New Roman" w:hAnsi="Times New Roman" w:eastAsia="Times New Roman" w:cs="Times New Roman Regular"/>
          <w:b/>
          <w:bCs/>
          <w:color w:val="auto"/>
          <w:sz w:val="20"/>
          <w:szCs w:val="22"/>
          <w:lang w:val="en-US" w:eastAsia="zh-CN"/>
        </w:rPr>
        <w:br w:type="textWrapping"/>
      </w:r>
      <w:r>
        <w:rPr>
          <w:rFonts w:hint="default" w:ascii="Times New Roman" w:hAnsi="Times New Roman" w:eastAsia="Times New Roman" w:cs="Times New Roman Regular"/>
          <w:b w:val="0"/>
          <w:bCs w:val="0"/>
          <w:color w:val="auto"/>
          <w:sz w:val="20"/>
          <w:szCs w:val="22"/>
          <w:lang w:val="en-US" w:eastAsia="zh-CN"/>
        </w:rPr>
        <w:t>Regression coefficients (β), 95% confidence intervals (CIs), and P values are shown from linear mixed-effects models examining the association between ferritin coefficient of variation (CV) and repeated forced expiratory volume in 1 second (FEV₁) stratified by grip strength in participants aged 60 years or older. Models were fitted separately within the strong-grip and weak-grip strata and were adjusted for age, sex, smoking status, body mass index (BMI), log-transformed C-reactive protein (CRP), and hemoglobin (Hb), with participant-level random intercepts to account for repeated measurements. These analyses were used to describe subgroup-specific patterns in the ferritin CV–FEV₁ association according to muscle strength.</w:t>
      </w:r>
    </w:p>
    <w:p w14:paraId="432270FE">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48D3D70">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81DC4DD">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FEFF249">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9F888A6">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640C298">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FF6E93E">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76BDAEE">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CF7353A">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082D579">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B5BC298">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9D4AB90">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F20A58A">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E0D6777">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4FD8E1F">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1497D09A">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0FD58A12">
      <w:pPr>
        <w:pStyle w:val="2"/>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Supplementary Table S15. Interaction model of ferritin CV and grip strength for repeated FEV₁ in the full sample</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29"/>
        <w:gridCol w:w="4503"/>
        <w:gridCol w:w="1934"/>
      </w:tblGrid>
      <w:tr w14:paraId="5A0B4513">
        <w:trPr>
          <w:trHeight w:val="193" w:hRule="atLeast"/>
          <w:tblHeader/>
          <w:jc w:val="center"/>
        </w:trPr>
        <w:tc>
          <w:tcPr>
            <w:tcW w:w="2759" w:type="pct"/>
            <w:tcBorders>
              <w:top w:val="single" w:color="000000" w:sz="12" w:space="0"/>
              <w:left w:val="nil"/>
              <w:bottom w:val="single" w:color="000000" w:sz="8" w:space="0"/>
              <w:right w:val="nil"/>
            </w:tcBorders>
            <w:shd w:val="clear" w:color="auto" w:fill="EAF2F8"/>
            <w:noWrap/>
            <w:tcMar>
              <w:top w:w="55" w:type="dxa"/>
              <w:left w:w="55" w:type="dxa"/>
              <w:bottom w:w="55" w:type="dxa"/>
              <w:right w:w="55" w:type="dxa"/>
            </w:tcMar>
            <w:vAlign w:val="center"/>
          </w:tcPr>
          <w:p w14:paraId="741CBC8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Variable</w:t>
            </w:r>
          </w:p>
        </w:tc>
        <w:tc>
          <w:tcPr>
            <w:tcW w:w="1567" w:type="pct"/>
            <w:tcBorders>
              <w:top w:val="single" w:color="000000" w:sz="12" w:space="0"/>
              <w:left w:val="nil"/>
              <w:bottom w:val="single" w:color="000000" w:sz="8" w:space="0"/>
              <w:right w:val="nil"/>
            </w:tcBorders>
            <w:shd w:val="clear" w:color="auto" w:fill="EAF2F8"/>
            <w:noWrap/>
            <w:tcMar>
              <w:top w:w="55" w:type="dxa"/>
              <w:left w:w="55" w:type="dxa"/>
              <w:bottom w:w="55" w:type="dxa"/>
              <w:right w:w="55" w:type="dxa"/>
            </w:tcMar>
            <w:vAlign w:val="center"/>
          </w:tcPr>
          <w:p w14:paraId="33DBD1A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Beta (95% CI)</w:t>
            </w:r>
          </w:p>
        </w:tc>
        <w:tc>
          <w:tcPr>
            <w:tcW w:w="673" w:type="pct"/>
            <w:tcBorders>
              <w:top w:val="single" w:color="000000" w:sz="12" w:space="0"/>
              <w:left w:val="nil"/>
              <w:bottom w:val="single" w:color="000000" w:sz="8" w:space="0"/>
              <w:right w:val="nil"/>
            </w:tcBorders>
            <w:shd w:val="clear" w:color="auto" w:fill="EAF2F8"/>
            <w:noWrap/>
            <w:tcMar>
              <w:top w:w="55" w:type="dxa"/>
              <w:left w:w="55" w:type="dxa"/>
              <w:bottom w:w="55" w:type="dxa"/>
              <w:right w:w="55" w:type="dxa"/>
            </w:tcMar>
            <w:vAlign w:val="center"/>
          </w:tcPr>
          <w:p w14:paraId="59DB7C6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1F481B86">
        <w:trPr>
          <w:trHeight w:val="193" w:hRule="atLeast"/>
          <w:jc w:val="center"/>
        </w:trPr>
        <w:tc>
          <w:tcPr>
            <w:tcW w:w="2759" w:type="pct"/>
            <w:tcBorders>
              <w:top w:val="nil"/>
              <w:left w:val="nil"/>
              <w:bottom w:val="nil"/>
              <w:right w:val="nil"/>
            </w:tcBorders>
            <w:shd w:val="clear" w:color="auto" w:fill="FFFFFF"/>
            <w:noWrap/>
            <w:tcMar>
              <w:top w:w="55" w:type="dxa"/>
              <w:left w:w="55" w:type="dxa"/>
              <w:bottom w:w="55" w:type="dxa"/>
              <w:right w:w="55" w:type="dxa"/>
            </w:tcMar>
            <w:vAlign w:val="center"/>
          </w:tcPr>
          <w:p w14:paraId="30B0607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(reference: strong grip)</w:t>
            </w:r>
          </w:p>
        </w:tc>
        <w:tc>
          <w:tcPr>
            <w:tcW w:w="1567" w:type="pct"/>
            <w:tcBorders>
              <w:top w:val="nil"/>
              <w:left w:val="nil"/>
              <w:bottom w:val="nil"/>
              <w:right w:val="nil"/>
            </w:tcBorders>
            <w:shd w:val="clear" w:color="auto" w:fill="FFFFFF"/>
            <w:noWrap/>
            <w:tcMar>
              <w:top w:w="55" w:type="dxa"/>
              <w:left w:w="55" w:type="dxa"/>
              <w:bottom w:w="55" w:type="dxa"/>
              <w:right w:w="55" w:type="dxa"/>
            </w:tcMar>
            <w:vAlign w:val="center"/>
          </w:tcPr>
          <w:p w14:paraId="1F97E9D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-0.444 (-0.698, -0.191)</w:t>
            </w:r>
          </w:p>
        </w:tc>
        <w:tc>
          <w:tcPr>
            <w:tcW w:w="673" w:type="pct"/>
            <w:tcBorders>
              <w:top w:val="nil"/>
              <w:left w:val="nil"/>
              <w:bottom w:val="nil"/>
              <w:right w:val="nil"/>
            </w:tcBorders>
            <w:shd w:val="clear" w:color="auto" w:fill="FFFFFF"/>
            <w:noWrap/>
            <w:tcMar>
              <w:top w:w="55" w:type="dxa"/>
              <w:left w:w="55" w:type="dxa"/>
              <w:bottom w:w="55" w:type="dxa"/>
              <w:right w:w="55" w:type="dxa"/>
            </w:tcMar>
            <w:vAlign w:val="center"/>
          </w:tcPr>
          <w:p w14:paraId="49C2762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&lt;0.001</w:t>
            </w:r>
          </w:p>
        </w:tc>
      </w:tr>
      <w:tr w14:paraId="7915A981">
        <w:trPr>
          <w:trHeight w:val="193" w:hRule="atLeast"/>
          <w:jc w:val="center"/>
        </w:trPr>
        <w:tc>
          <w:tcPr>
            <w:tcW w:w="2759" w:type="pct"/>
            <w:tcBorders>
              <w:top w:val="nil"/>
              <w:left w:val="nil"/>
              <w:bottom w:val="nil"/>
              <w:right w:val="nil"/>
            </w:tcBorders>
            <w:shd w:val="clear" w:color="auto" w:fill="FFFFFF"/>
            <w:noWrap/>
            <w:tcMar>
              <w:top w:w="55" w:type="dxa"/>
              <w:left w:w="55" w:type="dxa"/>
              <w:bottom w:w="55" w:type="dxa"/>
              <w:right w:w="55" w:type="dxa"/>
            </w:tcMar>
            <w:vAlign w:val="center"/>
          </w:tcPr>
          <w:p w14:paraId="62A3381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Weak grip</w:t>
            </w:r>
          </w:p>
        </w:tc>
        <w:tc>
          <w:tcPr>
            <w:tcW w:w="1567" w:type="pct"/>
            <w:tcBorders>
              <w:top w:val="nil"/>
              <w:left w:val="nil"/>
              <w:bottom w:val="nil"/>
              <w:right w:val="nil"/>
            </w:tcBorders>
            <w:shd w:val="clear" w:color="auto" w:fill="FFFFFF"/>
            <w:noWrap/>
            <w:tcMar>
              <w:top w:w="55" w:type="dxa"/>
              <w:left w:w="55" w:type="dxa"/>
              <w:bottom w:w="55" w:type="dxa"/>
              <w:right w:w="55" w:type="dxa"/>
            </w:tcMar>
            <w:vAlign w:val="center"/>
          </w:tcPr>
          <w:p w14:paraId="33C446D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-0.155 (-0.280, -0.031)</w:t>
            </w:r>
          </w:p>
        </w:tc>
        <w:tc>
          <w:tcPr>
            <w:tcW w:w="673" w:type="pct"/>
            <w:tcBorders>
              <w:top w:val="nil"/>
              <w:left w:val="nil"/>
              <w:bottom w:val="nil"/>
              <w:right w:val="nil"/>
            </w:tcBorders>
            <w:shd w:val="clear" w:color="auto" w:fill="FFFFFF"/>
            <w:noWrap/>
            <w:tcMar>
              <w:top w:w="55" w:type="dxa"/>
              <w:left w:w="55" w:type="dxa"/>
              <w:bottom w:w="55" w:type="dxa"/>
              <w:right w:w="55" w:type="dxa"/>
            </w:tcMar>
            <w:vAlign w:val="center"/>
          </w:tcPr>
          <w:p w14:paraId="55EE762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0.015</w:t>
            </w:r>
          </w:p>
        </w:tc>
      </w:tr>
      <w:tr w14:paraId="4D4639FA">
        <w:trPr>
          <w:trHeight w:val="193" w:hRule="atLeast"/>
          <w:jc w:val="center"/>
        </w:trPr>
        <w:tc>
          <w:tcPr>
            <w:tcW w:w="2759"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1B51B41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 Weak grip</w:t>
            </w:r>
          </w:p>
        </w:tc>
        <w:tc>
          <w:tcPr>
            <w:tcW w:w="1567"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698A1DB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0.248 (-0.033, 0.529)</w:t>
            </w:r>
          </w:p>
        </w:tc>
        <w:tc>
          <w:tcPr>
            <w:tcW w:w="673"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6D187B6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0.084</w:t>
            </w:r>
          </w:p>
        </w:tc>
      </w:tr>
    </w:tbl>
    <w:p w14:paraId="769F04A0">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r>
        <w:rPr>
          <w:rFonts w:hint="default" w:ascii="Times New Roman" w:hAnsi="Times New Roman" w:eastAsia="Times New Roman" w:cs="Times New Roman Regular"/>
          <w:b/>
          <w:bCs/>
          <w:color w:val="auto"/>
          <w:sz w:val="20"/>
          <w:szCs w:val="22"/>
          <w:lang w:val="en-US" w:eastAsia="zh-CN"/>
        </w:rPr>
        <w:br w:type="textWrapping"/>
      </w:r>
      <w:r>
        <w:rPr>
          <w:rFonts w:hint="default" w:ascii="Times New Roman" w:hAnsi="Times New Roman" w:eastAsia="Times New Roman" w:cs="Times New Roman Regular"/>
          <w:b w:val="0"/>
          <w:bCs w:val="0"/>
          <w:color w:val="auto"/>
          <w:sz w:val="20"/>
          <w:szCs w:val="22"/>
          <w:lang w:val="en-US" w:eastAsia="zh-CN"/>
        </w:rPr>
        <w:t>Regression coefficients (β), 95% confidence intervals (CIs), and P values are shown from a linear mixed-effects model including ferritin coefficient of variation (CV), grip strength category, and their interaction term in relation to repeated forced expiratory volume in 1 second (FEV₁) in the full analytic sample. The model was adjusted for age, sex, smoking status, body mass index (BMI), log-transformed C-reactive protein (CRP), and hemoglobin (Hb), with participant-level random intercepts to account for repeated measurements. This model was used to formally assess whether the association between ferritin CV and repeated FEV₁ differed by grip strength.</w:t>
      </w:r>
    </w:p>
    <w:p w14:paraId="32329540">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BF6F8DD">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D10F0A1">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1231C43">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D0E7E26">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6B31B14">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8668368">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DDCB84A">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2375044">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A534FE4">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29C395D">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5F0B451">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33B076DF">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3049D5CA">
      <w:pPr>
        <w:pStyle w:val="2"/>
        <w:keepNext/>
        <w:spacing w:before="0" w:after="120" w:line="240" w:lineRule="auto"/>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Supplementary Table S16. Interaction model of ferritin CV and grip strength for repeated FEV₁ in participants aged 60 years or older</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32"/>
        <w:gridCol w:w="4275"/>
        <w:gridCol w:w="2459"/>
      </w:tblGrid>
      <w:tr w14:paraId="68071658">
        <w:trPr>
          <w:trHeight w:val="193" w:hRule="atLeast"/>
          <w:tblHeader/>
          <w:jc w:val="center"/>
        </w:trPr>
        <w:tc>
          <w:tcPr>
            <w:tcW w:w="960" w:type="dxa"/>
            <w:tcBorders>
              <w:top w:val="single" w:color="000000" w:sz="12" w:space="0"/>
              <w:left w:val="nil"/>
              <w:bottom w:val="single" w:color="000000" w:sz="8" w:space="0"/>
              <w:right w:val="nil"/>
            </w:tcBorders>
            <w:shd w:val="clear" w:color="auto" w:fill="EAF2F8"/>
            <w:noWrap/>
            <w:tcMar>
              <w:top w:w="55" w:type="dxa"/>
              <w:left w:w="55" w:type="dxa"/>
              <w:bottom w:w="55" w:type="dxa"/>
              <w:right w:w="55" w:type="dxa"/>
            </w:tcMar>
            <w:vAlign w:val="center"/>
          </w:tcPr>
          <w:p w14:paraId="44EDBBE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Variable</w:t>
            </w:r>
          </w:p>
        </w:tc>
        <w:tc>
          <w:tcPr>
            <w:tcW w:w="960" w:type="dxa"/>
            <w:tcBorders>
              <w:top w:val="single" w:color="000000" w:sz="12" w:space="0"/>
              <w:left w:val="nil"/>
              <w:bottom w:val="single" w:color="000000" w:sz="8" w:space="0"/>
              <w:right w:val="nil"/>
            </w:tcBorders>
            <w:shd w:val="clear" w:color="auto" w:fill="EAF2F8"/>
            <w:noWrap/>
            <w:tcMar>
              <w:top w:w="55" w:type="dxa"/>
              <w:left w:w="55" w:type="dxa"/>
              <w:bottom w:w="55" w:type="dxa"/>
              <w:right w:w="55" w:type="dxa"/>
            </w:tcMar>
            <w:vAlign w:val="center"/>
          </w:tcPr>
          <w:p w14:paraId="34BDDAF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Beta (95% CI)</w:t>
            </w:r>
          </w:p>
        </w:tc>
        <w:tc>
          <w:tcPr>
            <w:tcW w:w="960" w:type="dxa"/>
            <w:tcBorders>
              <w:top w:val="single" w:color="000000" w:sz="12" w:space="0"/>
              <w:left w:val="nil"/>
              <w:bottom w:val="single" w:color="000000" w:sz="8" w:space="0"/>
              <w:right w:val="nil"/>
            </w:tcBorders>
            <w:shd w:val="clear" w:color="auto" w:fill="EAF2F8"/>
            <w:noWrap/>
            <w:tcMar>
              <w:top w:w="55" w:type="dxa"/>
              <w:left w:w="55" w:type="dxa"/>
              <w:bottom w:w="55" w:type="dxa"/>
              <w:right w:w="55" w:type="dxa"/>
            </w:tcMar>
            <w:vAlign w:val="center"/>
          </w:tcPr>
          <w:p w14:paraId="185A780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45AB577A">
        <w:trPr>
          <w:trHeight w:val="193" w:hRule="atLeast"/>
          <w:jc w:val="center"/>
        </w:trPr>
        <w:tc>
          <w:tcPr>
            <w:tcW w:w="0" w:type="auto"/>
            <w:tcBorders>
              <w:top w:val="nil"/>
              <w:left w:val="nil"/>
              <w:bottom w:val="nil"/>
              <w:right w:val="nil"/>
            </w:tcBorders>
            <w:shd w:val="clear" w:color="auto" w:fill="FFFFFF"/>
            <w:noWrap/>
            <w:tcMar>
              <w:top w:w="55" w:type="dxa"/>
              <w:left w:w="55" w:type="dxa"/>
              <w:bottom w:w="55" w:type="dxa"/>
              <w:right w:w="55" w:type="dxa"/>
            </w:tcMar>
            <w:vAlign w:val="center"/>
          </w:tcPr>
          <w:p w14:paraId="675120E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(reference: strong grip)</w:t>
            </w:r>
          </w:p>
        </w:tc>
        <w:tc>
          <w:tcPr>
            <w:tcW w:w="0" w:type="auto"/>
            <w:tcBorders>
              <w:top w:val="nil"/>
              <w:left w:val="nil"/>
              <w:bottom w:val="nil"/>
              <w:right w:val="nil"/>
            </w:tcBorders>
            <w:shd w:val="clear" w:color="auto" w:fill="FFFFFF"/>
            <w:noWrap/>
            <w:tcMar>
              <w:top w:w="55" w:type="dxa"/>
              <w:left w:w="55" w:type="dxa"/>
              <w:bottom w:w="55" w:type="dxa"/>
              <w:right w:w="55" w:type="dxa"/>
            </w:tcMar>
            <w:vAlign w:val="center"/>
          </w:tcPr>
          <w:p w14:paraId="524832C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-0.405 (-0.700, -0.111)</w:t>
            </w:r>
          </w:p>
        </w:tc>
        <w:tc>
          <w:tcPr>
            <w:tcW w:w="0" w:type="auto"/>
            <w:tcBorders>
              <w:top w:val="nil"/>
              <w:left w:val="nil"/>
              <w:bottom w:val="nil"/>
              <w:right w:val="nil"/>
            </w:tcBorders>
            <w:shd w:val="clear" w:color="auto" w:fill="FFFFFF"/>
            <w:noWrap/>
            <w:tcMar>
              <w:top w:w="55" w:type="dxa"/>
              <w:left w:w="55" w:type="dxa"/>
              <w:bottom w:w="55" w:type="dxa"/>
              <w:right w:w="55" w:type="dxa"/>
            </w:tcMar>
            <w:vAlign w:val="center"/>
          </w:tcPr>
          <w:p w14:paraId="3B0E262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0.007</w:t>
            </w:r>
          </w:p>
        </w:tc>
      </w:tr>
      <w:tr w14:paraId="40667577">
        <w:trPr>
          <w:trHeight w:val="193" w:hRule="atLeast"/>
          <w:jc w:val="center"/>
        </w:trPr>
        <w:tc>
          <w:tcPr>
            <w:tcW w:w="0" w:type="auto"/>
            <w:tcBorders>
              <w:top w:val="nil"/>
              <w:left w:val="nil"/>
              <w:bottom w:val="nil"/>
              <w:right w:val="nil"/>
            </w:tcBorders>
            <w:shd w:val="clear" w:color="auto" w:fill="FFFFFF"/>
            <w:noWrap/>
            <w:tcMar>
              <w:top w:w="55" w:type="dxa"/>
              <w:left w:w="55" w:type="dxa"/>
              <w:bottom w:w="55" w:type="dxa"/>
              <w:right w:w="55" w:type="dxa"/>
            </w:tcMar>
            <w:vAlign w:val="center"/>
          </w:tcPr>
          <w:p w14:paraId="1E5BB7C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Weak grip</w:t>
            </w:r>
          </w:p>
        </w:tc>
        <w:tc>
          <w:tcPr>
            <w:tcW w:w="0" w:type="auto"/>
            <w:tcBorders>
              <w:top w:val="nil"/>
              <w:left w:val="nil"/>
              <w:bottom w:val="nil"/>
              <w:right w:val="nil"/>
            </w:tcBorders>
            <w:shd w:val="clear" w:color="auto" w:fill="FFFFFF"/>
            <w:noWrap/>
            <w:tcMar>
              <w:top w:w="55" w:type="dxa"/>
              <w:left w:w="55" w:type="dxa"/>
              <w:bottom w:w="55" w:type="dxa"/>
              <w:right w:w="55" w:type="dxa"/>
            </w:tcMar>
            <w:vAlign w:val="center"/>
          </w:tcPr>
          <w:p w14:paraId="491F56E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-0.128 (-0.273, 0.018)</w:t>
            </w:r>
          </w:p>
        </w:tc>
        <w:tc>
          <w:tcPr>
            <w:tcW w:w="0" w:type="auto"/>
            <w:tcBorders>
              <w:top w:val="nil"/>
              <w:left w:val="nil"/>
              <w:bottom w:val="nil"/>
              <w:right w:val="nil"/>
            </w:tcBorders>
            <w:shd w:val="clear" w:color="auto" w:fill="FFFFFF"/>
            <w:noWrap/>
            <w:tcMar>
              <w:top w:w="55" w:type="dxa"/>
              <w:left w:w="55" w:type="dxa"/>
              <w:bottom w:w="55" w:type="dxa"/>
              <w:right w:w="55" w:type="dxa"/>
            </w:tcMar>
            <w:vAlign w:val="center"/>
          </w:tcPr>
          <w:p w14:paraId="5E328F2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0.087</w:t>
            </w:r>
          </w:p>
        </w:tc>
      </w:tr>
      <w:tr w14:paraId="51D54DD4">
        <w:trPr>
          <w:trHeight w:val="193" w:hRule="atLeast"/>
          <w:jc w:val="center"/>
        </w:trPr>
        <w:tc>
          <w:tcPr>
            <w:tcW w:w="0" w:type="auto"/>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380433D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 Weak grip</w:t>
            </w:r>
          </w:p>
        </w:tc>
        <w:tc>
          <w:tcPr>
            <w:tcW w:w="0" w:type="auto"/>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06D6002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0.181 (-0.165, 0.527)</w:t>
            </w:r>
          </w:p>
        </w:tc>
        <w:tc>
          <w:tcPr>
            <w:tcW w:w="0" w:type="auto"/>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0F42EE4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0.306</w:t>
            </w:r>
          </w:p>
        </w:tc>
      </w:tr>
    </w:tbl>
    <w:p w14:paraId="0086F3A8">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r>
        <w:rPr>
          <w:rFonts w:hint="default" w:ascii="Times New Roman" w:hAnsi="Times New Roman" w:eastAsia="Times New Roman" w:cs="Times New Roman Regular"/>
          <w:b/>
          <w:bCs/>
          <w:color w:val="auto"/>
          <w:sz w:val="20"/>
          <w:szCs w:val="22"/>
          <w:lang w:val="en-US" w:eastAsia="zh-CN"/>
        </w:rPr>
        <w:br w:type="textWrapping"/>
      </w:r>
      <w:r>
        <w:rPr>
          <w:rFonts w:hint="default" w:ascii="Times New Roman" w:hAnsi="Times New Roman" w:eastAsia="Times New Roman" w:cs="Times New Roman Regular"/>
          <w:b w:val="0"/>
          <w:bCs w:val="0"/>
          <w:color w:val="auto"/>
          <w:sz w:val="20"/>
          <w:szCs w:val="22"/>
          <w:lang w:val="en-US" w:eastAsia="zh-CN"/>
        </w:rPr>
        <w:t>Regression coefficients (β), 95% confidence intervals (CIs), and P values are shown from a linear mixed-effects model including ferritin coefficient of variation (CV), grip strength category, and their interaction term in relation to repeated forced expiratory volume in 1 second (FEV₁) among participants aged 60 years or older. The model was adjusted for age, sex, smoking status, body mass index (BMI), log-transformed C-reactive protein (CRP), and hemoglobin (Hb), with participant-level random intercepts to account for repeated measurements. This table is provided to assess whether grip-related effect modification was more evident within the older subgroup most relevant to the present study context.</w:t>
      </w:r>
    </w:p>
    <w:p w14:paraId="72DE0711">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023B2E8">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D27407B">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290580F">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4B0878B">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D4A84E0">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28EC72F">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C692428">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99F072D">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008E5A6">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AD51204">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A29C445">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18F8BF7">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2AFA051">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7501DA4">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06EFA487">
      <w:pPr>
        <w:pStyle w:val="2"/>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Supplementary Table S17. Structural equation models of ferritin CV, grip strength, and FEV₁ stratified by ADL and IADL limitation groups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283"/>
        <w:gridCol w:w="4137"/>
        <w:gridCol w:w="2007"/>
        <w:gridCol w:w="2464"/>
        <w:gridCol w:w="1475"/>
      </w:tblGrid>
      <w:tr w14:paraId="05A3C2FF">
        <w:trPr>
          <w:trHeight w:val="193" w:hRule="atLeast"/>
          <w:tblHeader/>
          <w:jc w:val="center"/>
        </w:trPr>
        <w:tc>
          <w:tcPr>
            <w:tcW w:w="149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C982C18">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Functional-status subgroup</w:t>
            </w:r>
          </w:p>
        </w:tc>
        <w:tc>
          <w:tcPr>
            <w:tcW w:w="143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A7F404C">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Path</w:t>
            </w:r>
          </w:p>
        </w:tc>
        <w:tc>
          <w:tcPr>
            <w:tcW w:w="698"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CB2D887">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Estimate</w:t>
            </w:r>
          </w:p>
        </w:tc>
        <w:tc>
          <w:tcPr>
            <w:tcW w:w="857"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30A0B750">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95% CI</w:t>
            </w:r>
          </w:p>
        </w:tc>
        <w:tc>
          <w:tcPr>
            <w:tcW w:w="513"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30A93C5F">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P value</w:t>
            </w:r>
          </w:p>
        </w:tc>
      </w:tr>
      <w:tr w14:paraId="1A5419B7">
        <w:trPr>
          <w:trHeight w:val="193" w:hRule="atLeast"/>
          <w:jc w:val="center"/>
        </w:trPr>
        <w:tc>
          <w:tcPr>
            <w:tcW w:w="149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27FA3FB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Lower ADL limitation</w:t>
            </w:r>
          </w:p>
        </w:tc>
        <w:tc>
          <w:tcPr>
            <w:tcW w:w="143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DC9044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variability → Grip</w:t>
            </w:r>
          </w:p>
        </w:tc>
        <w:tc>
          <w:tcPr>
            <w:tcW w:w="698"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2ED079D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-5.01</w:t>
            </w:r>
          </w:p>
        </w:tc>
        <w:tc>
          <w:tcPr>
            <w:tcW w:w="857"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4DAFC4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-11.94 to 1.57</w:t>
            </w:r>
          </w:p>
        </w:tc>
        <w:tc>
          <w:tcPr>
            <w:tcW w:w="513"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2D0ADF6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0.139</w:t>
            </w:r>
          </w:p>
        </w:tc>
      </w:tr>
      <w:tr w14:paraId="41D90C15">
        <w:trPr>
          <w:trHeight w:val="193" w:hRule="atLeast"/>
          <w:jc w:val="center"/>
        </w:trPr>
        <w:tc>
          <w:tcPr>
            <w:tcW w:w="1490" w:type="pct"/>
            <w:tcBorders>
              <w:top w:val="nil"/>
              <w:left w:val="nil"/>
              <w:bottom w:val="nil"/>
              <w:right w:val="nil"/>
            </w:tcBorders>
            <w:shd w:val="clear" w:color="auto" w:fill="FFFFFF"/>
            <w:tcMar>
              <w:top w:w="55" w:type="dxa"/>
              <w:left w:w="55" w:type="dxa"/>
              <w:bottom w:w="55" w:type="dxa"/>
              <w:right w:w="55" w:type="dxa"/>
            </w:tcMar>
            <w:vAlign w:val="center"/>
          </w:tcPr>
          <w:p w14:paraId="5A2A845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Lower ADL limitation</w:t>
            </w:r>
          </w:p>
        </w:tc>
        <w:tc>
          <w:tcPr>
            <w:tcW w:w="1439" w:type="pct"/>
            <w:tcBorders>
              <w:top w:val="nil"/>
              <w:left w:val="nil"/>
              <w:bottom w:val="nil"/>
              <w:right w:val="nil"/>
            </w:tcBorders>
            <w:shd w:val="clear" w:color="auto" w:fill="FFFFFF"/>
            <w:tcMar>
              <w:top w:w="55" w:type="dxa"/>
              <w:left w:w="55" w:type="dxa"/>
              <w:bottom w:w="55" w:type="dxa"/>
              <w:right w:w="55" w:type="dxa"/>
            </w:tcMar>
            <w:vAlign w:val="center"/>
          </w:tcPr>
          <w:p w14:paraId="1D90AED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Direct effect</w:t>
            </w:r>
          </w:p>
        </w:tc>
        <w:tc>
          <w:tcPr>
            <w:tcW w:w="698" w:type="pct"/>
            <w:tcBorders>
              <w:top w:val="nil"/>
              <w:left w:val="nil"/>
              <w:bottom w:val="nil"/>
              <w:right w:val="nil"/>
            </w:tcBorders>
            <w:shd w:val="clear" w:color="auto" w:fill="FFFFFF"/>
            <w:tcMar>
              <w:top w:w="55" w:type="dxa"/>
              <w:left w:w="55" w:type="dxa"/>
              <w:bottom w:w="55" w:type="dxa"/>
              <w:right w:w="55" w:type="dxa"/>
            </w:tcMar>
            <w:vAlign w:val="center"/>
          </w:tcPr>
          <w:p w14:paraId="2CAFCE0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0.02</w:t>
            </w:r>
          </w:p>
        </w:tc>
        <w:tc>
          <w:tcPr>
            <w:tcW w:w="857" w:type="pct"/>
            <w:tcBorders>
              <w:top w:val="nil"/>
              <w:left w:val="nil"/>
              <w:bottom w:val="nil"/>
              <w:right w:val="nil"/>
            </w:tcBorders>
            <w:shd w:val="clear" w:color="auto" w:fill="FFFFFF"/>
            <w:tcMar>
              <w:top w:w="55" w:type="dxa"/>
              <w:left w:w="55" w:type="dxa"/>
              <w:bottom w:w="55" w:type="dxa"/>
              <w:right w:w="55" w:type="dxa"/>
            </w:tcMar>
            <w:vAlign w:val="center"/>
          </w:tcPr>
          <w:p w14:paraId="11B6E8A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-0.64 to 0.70</w:t>
            </w:r>
          </w:p>
        </w:tc>
        <w:tc>
          <w:tcPr>
            <w:tcW w:w="513" w:type="pct"/>
            <w:tcBorders>
              <w:top w:val="nil"/>
              <w:left w:val="nil"/>
              <w:bottom w:val="nil"/>
              <w:right w:val="nil"/>
            </w:tcBorders>
            <w:shd w:val="clear" w:color="auto" w:fill="FFFFFF"/>
            <w:tcMar>
              <w:top w:w="55" w:type="dxa"/>
              <w:left w:w="55" w:type="dxa"/>
              <w:bottom w:w="55" w:type="dxa"/>
              <w:right w:w="55" w:type="dxa"/>
            </w:tcMar>
            <w:vAlign w:val="center"/>
          </w:tcPr>
          <w:p w14:paraId="27E5BB4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0.951</w:t>
            </w:r>
          </w:p>
        </w:tc>
      </w:tr>
      <w:tr w14:paraId="470AE7D9">
        <w:trPr>
          <w:trHeight w:val="193" w:hRule="atLeast"/>
          <w:jc w:val="center"/>
        </w:trPr>
        <w:tc>
          <w:tcPr>
            <w:tcW w:w="1490" w:type="pct"/>
            <w:tcBorders>
              <w:top w:val="nil"/>
              <w:left w:val="nil"/>
              <w:bottom w:val="nil"/>
              <w:right w:val="nil"/>
            </w:tcBorders>
            <w:shd w:val="clear" w:color="auto" w:fill="FFFFFF"/>
            <w:tcMar>
              <w:top w:w="55" w:type="dxa"/>
              <w:left w:w="55" w:type="dxa"/>
              <w:bottom w:w="55" w:type="dxa"/>
              <w:right w:w="55" w:type="dxa"/>
            </w:tcMar>
            <w:vAlign w:val="center"/>
          </w:tcPr>
          <w:p w14:paraId="336E208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Lower ADL limitation</w:t>
            </w:r>
          </w:p>
        </w:tc>
        <w:tc>
          <w:tcPr>
            <w:tcW w:w="1439" w:type="pct"/>
            <w:tcBorders>
              <w:top w:val="nil"/>
              <w:left w:val="nil"/>
              <w:bottom w:val="nil"/>
              <w:right w:val="nil"/>
            </w:tcBorders>
            <w:shd w:val="clear" w:color="auto" w:fill="FFFFFF"/>
            <w:tcMar>
              <w:top w:w="55" w:type="dxa"/>
              <w:left w:w="55" w:type="dxa"/>
              <w:bottom w:w="55" w:type="dxa"/>
              <w:right w:w="55" w:type="dxa"/>
            </w:tcMar>
            <w:vAlign w:val="center"/>
          </w:tcPr>
          <w:p w14:paraId="12D1746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xml:space="preserve">Grip → </w:t>
            </w:r>
            <w:r>
              <w:rPr>
                <w:rFonts w:hint="default" w:ascii="Times New Roman" w:hAnsi="Times New Roman" w:eastAsia="Times New Roman" w:cs="Times New Roman Regular"/>
                <w:b w:val="0"/>
                <w:bCs w:val="0"/>
                <w:color w:val="auto"/>
                <w:sz w:val="16"/>
                <w:szCs w:val="22"/>
                <w:lang w:val="en-US" w:eastAsia="zh-CN"/>
              </w:rPr>
              <w:t>FEV₁</w:t>
            </w:r>
          </w:p>
        </w:tc>
        <w:tc>
          <w:tcPr>
            <w:tcW w:w="698" w:type="pct"/>
            <w:tcBorders>
              <w:top w:val="nil"/>
              <w:left w:val="nil"/>
              <w:bottom w:val="nil"/>
              <w:right w:val="nil"/>
            </w:tcBorders>
            <w:shd w:val="clear" w:color="auto" w:fill="FFFFFF"/>
            <w:tcMar>
              <w:top w:w="55" w:type="dxa"/>
              <w:left w:w="55" w:type="dxa"/>
              <w:bottom w:w="55" w:type="dxa"/>
              <w:right w:w="55" w:type="dxa"/>
            </w:tcMar>
            <w:vAlign w:val="center"/>
          </w:tcPr>
          <w:p w14:paraId="1016F25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0.01</w:t>
            </w:r>
          </w:p>
        </w:tc>
        <w:tc>
          <w:tcPr>
            <w:tcW w:w="857" w:type="pct"/>
            <w:tcBorders>
              <w:top w:val="nil"/>
              <w:left w:val="nil"/>
              <w:bottom w:val="nil"/>
              <w:right w:val="nil"/>
            </w:tcBorders>
            <w:shd w:val="clear" w:color="auto" w:fill="FFFFFF"/>
            <w:tcMar>
              <w:top w:w="55" w:type="dxa"/>
              <w:left w:w="55" w:type="dxa"/>
              <w:bottom w:w="55" w:type="dxa"/>
              <w:right w:w="55" w:type="dxa"/>
            </w:tcMar>
            <w:vAlign w:val="center"/>
          </w:tcPr>
          <w:p w14:paraId="47A0237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-0.02 to 0.04</w:t>
            </w:r>
          </w:p>
        </w:tc>
        <w:tc>
          <w:tcPr>
            <w:tcW w:w="513" w:type="pct"/>
            <w:tcBorders>
              <w:top w:val="nil"/>
              <w:left w:val="nil"/>
              <w:bottom w:val="nil"/>
              <w:right w:val="nil"/>
            </w:tcBorders>
            <w:shd w:val="clear" w:color="auto" w:fill="FFFFFF"/>
            <w:tcMar>
              <w:top w:w="55" w:type="dxa"/>
              <w:left w:w="55" w:type="dxa"/>
              <w:bottom w:w="55" w:type="dxa"/>
              <w:right w:w="55" w:type="dxa"/>
            </w:tcMar>
            <w:vAlign w:val="center"/>
          </w:tcPr>
          <w:p w14:paraId="5CE3FA7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0.504</w:t>
            </w:r>
          </w:p>
        </w:tc>
      </w:tr>
      <w:tr w14:paraId="21527C48">
        <w:trPr>
          <w:trHeight w:val="193" w:hRule="atLeast"/>
          <w:jc w:val="center"/>
        </w:trPr>
        <w:tc>
          <w:tcPr>
            <w:tcW w:w="1490" w:type="pct"/>
            <w:tcBorders>
              <w:top w:val="nil"/>
              <w:left w:val="nil"/>
              <w:bottom w:val="nil"/>
              <w:right w:val="nil"/>
            </w:tcBorders>
            <w:shd w:val="clear" w:color="auto" w:fill="FFFFFF"/>
            <w:tcMar>
              <w:top w:w="55" w:type="dxa"/>
              <w:left w:w="55" w:type="dxa"/>
              <w:bottom w:w="55" w:type="dxa"/>
              <w:right w:w="55" w:type="dxa"/>
            </w:tcMar>
            <w:vAlign w:val="center"/>
          </w:tcPr>
          <w:p w14:paraId="521D23C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Lower ADL limitation</w:t>
            </w:r>
          </w:p>
        </w:tc>
        <w:tc>
          <w:tcPr>
            <w:tcW w:w="1439" w:type="pct"/>
            <w:tcBorders>
              <w:top w:val="nil"/>
              <w:left w:val="nil"/>
              <w:bottom w:val="nil"/>
              <w:right w:val="nil"/>
            </w:tcBorders>
            <w:shd w:val="clear" w:color="auto" w:fill="FFFFFF"/>
            <w:tcMar>
              <w:top w:w="55" w:type="dxa"/>
              <w:left w:w="55" w:type="dxa"/>
              <w:bottom w:w="55" w:type="dxa"/>
              <w:right w:w="55" w:type="dxa"/>
            </w:tcMar>
            <w:vAlign w:val="center"/>
          </w:tcPr>
          <w:p w14:paraId="0F849E0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Indirect effect</w:t>
            </w:r>
          </w:p>
        </w:tc>
        <w:tc>
          <w:tcPr>
            <w:tcW w:w="698" w:type="pct"/>
            <w:tcBorders>
              <w:top w:val="nil"/>
              <w:left w:val="nil"/>
              <w:bottom w:val="nil"/>
              <w:right w:val="nil"/>
            </w:tcBorders>
            <w:shd w:val="clear" w:color="auto" w:fill="FFFFFF"/>
            <w:tcMar>
              <w:top w:w="55" w:type="dxa"/>
              <w:left w:w="55" w:type="dxa"/>
              <w:bottom w:w="55" w:type="dxa"/>
              <w:right w:w="55" w:type="dxa"/>
            </w:tcMar>
            <w:vAlign w:val="center"/>
          </w:tcPr>
          <w:p w14:paraId="7438025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-0.05</w:t>
            </w:r>
          </w:p>
        </w:tc>
        <w:tc>
          <w:tcPr>
            <w:tcW w:w="857" w:type="pct"/>
            <w:tcBorders>
              <w:top w:val="nil"/>
              <w:left w:val="nil"/>
              <w:bottom w:val="nil"/>
              <w:right w:val="nil"/>
            </w:tcBorders>
            <w:shd w:val="clear" w:color="auto" w:fill="FFFFFF"/>
            <w:tcMar>
              <w:top w:w="55" w:type="dxa"/>
              <w:left w:w="55" w:type="dxa"/>
              <w:bottom w:w="55" w:type="dxa"/>
              <w:right w:w="55" w:type="dxa"/>
            </w:tcMar>
            <w:vAlign w:val="center"/>
          </w:tcPr>
          <w:p w14:paraId="1DD6B02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-0.29 to 0.13</w:t>
            </w:r>
          </w:p>
        </w:tc>
        <w:tc>
          <w:tcPr>
            <w:tcW w:w="513" w:type="pct"/>
            <w:tcBorders>
              <w:top w:val="nil"/>
              <w:left w:val="nil"/>
              <w:bottom w:val="nil"/>
              <w:right w:val="nil"/>
            </w:tcBorders>
            <w:shd w:val="clear" w:color="auto" w:fill="FFFFFF"/>
            <w:tcMar>
              <w:top w:w="55" w:type="dxa"/>
              <w:left w:w="55" w:type="dxa"/>
              <w:bottom w:w="55" w:type="dxa"/>
              <w:right w:w="55" w:type="dxa"/>
            </w:tcMar>
            <w:vAlign w:val="center"/>
          </w:tcPr>
          <w:p w14:paraId="30ABA09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0.629</w:t>
            </w:r>
          </w:p>
        </w:tc>
      </w:tr>
      <w:tr w14:paraId="59E07443">
        <w:trPr>
          <w:trHeight w:val="193" w:hRule="atLeast"/>
          <w:jc w:val="center"/>
        </w:trPr>
        <w:tc>
          <w:tcPr>
            <w:tcW w:w="1490" w:type="pct"/>
            <w:tcBorders>
              <w:top w:val="nil"/>
              <w:left w:val="nil"/>
              <w:bottom w:val="nil"/>
              <w:right w:val="nil"/>
            </w:tcBorders>
            <w:shd w:val="clear" w:color="auto" w:fill="FFFFFF"/>
            <w:tcMar>
              <w:top w:w="55" w:type="dxa"/>
              <w:left w:w="55" w:type="dxa"/>
              <w:bottom w:w="55" w:type="dxa"/>
              <w:right w:w="55" w:type="dxa"/>
            </w:tcMar>
            <w:vAlign w:val="center"/>
          </w:tcPr>
          <w:p w14:paraId="1521AC5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Lower ADL limitation</w:t>
            </w:r>
          </w:p>
        </w:tc>
        <w:tc>
          <w:tcPr>
            <w:tcW w:w="1439" w:type="pct"/>
            <w:tcBorders>
              <w:top w:val="nil"/>
              <w:left w:val="nil"/>
              <w:bottom w:val="nil"/>
              <w:right w:val="nil"/>
            </w:tcBorders>
            <w:shd w:val="clear" w:color="auto" w:fill="FFFFFF"/>
            <w:tcMar>
              <w:top w:w="55" w:type="dxa"/>
              <w:left w:w="55" w:type="dxa"/>
              <w:bottom w:w="55" w:type="dxa"/>
              <w:right w:w="55" w:type="dxa"/>
            </w:tcMar>
            <w:vAlign w:val="center"/>
          </w:tcPr>
          <w:p w14:paraId="3B91813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Total effect</w:t>
            </w:r>
          </w:p>
        </w:tc>
        <w:tc>
          <w:tcPr>
            <w:tcW w:w="698" w:type="pct"/>
            <w:tcBorders>
              <w:top w:val="nil"/>
              <w:left w:val="nil"/>
              <w:bottom w:val="nil"/>
              <w:right w:val="nil"/>
            </w:tcBorders>
            <w:shd w:val="clear" w:color="auto" w:fill="FFFFFF"/>
            <w:tcMar>
              <w:top w:w="55" w:type="dxa"/>
              <w:left w:w="55" w:type="dxa"/>
              <w:bottom w:w="55" w:type="dxa"/>
              <w:right w:w="55" w:type="dxa"/>
            </w:tcMar>
            <w:vAlign w:val="center"/>
          </w:tcPr>
          <w:p w14:paraId="2F8DEC8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-0.03</w:t>
            </w:r>
          </w:p>
        </w:tc>
        <w:tc>
          <w:tcPr>
            <w:tcW w:w="857" w:type="pct"/>
            <w:tcBorders>
              <w:top w:val="nil"/>
              <w:left w:val="nil"/>
              <w:bottom w:val="nil"/>
              <w:right w:val="nil"/>
            </w:tcBorders>
            <w:shd w:val="clear" w:color="auto" w:fill="FFFFFF"/>
            <w:tcMar>
              <w:top w:w="55" w:type="dxa"/>
              <w:left w:w="55" w:type="dxa"/>
              <w:bottom w:w="55" w:type="dxa"/>
              <w:right w:w="55" w:type="dxa"/>
            </w:tcMar>
            <w:vAlign w:val="center"/>
          </w:tcPr>
          <w:p w14:paraId="24FF108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-0.67 to 0.67</w:t>
            </w:r>
          </w:p>
        </w:tc>
        <w:tc>
          <w:tcPr>
            <w:tcW w:w="513" w:type="pct"/>
            <w:tcBorders>
              <w:top w:val="nil"/>
              <w:left w:val="nil"/>
              <w:bottom w:val="nil"/>
              <w:right w:val="nil"/>
            </w:tcBorders>
            <w:shd w:val="clear" w:color="auto" w:fill="FFFFFF"/>
            <w:tcMar>
              <w:top w:w="55" w:type="dxa"/>
              <w:left w:w="55" w:type="dxa"/>
              <w:bottom w:w="55" w:type="dxa"/>
              <w:right w:w="55" w:type="dxa"/>
            </w:tcMar>
            <w:vAlign w:val="center"/>
          </w:tcPr>
          <w:p w14:paraId="5439DFF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0.936</w:t>
            </w:r>
          </w:p>
        </w:tc>
      </w:tr>
      <w:tr w14:paraId="35EEE338">
        <w:trPr>
          <w:trHeight w:val="193" w:hRule="atLeast"/>
          <w:jc w:val="center"/>
        </w:trPr>
        <w:tc>
          <w:tcPr>
            <w:tcW w:w="1490" w:type="pct"/>
            <w:tcBorders>
              <w:top w:val="nil"/>
              <w:left w:val="nil"/>
              <w:bottom w:val="nil"/>
              <w:right w:val="nil"/>
            </w:tcBorders>
            <w:shd w:val="clear" w:color="auto" w:fill="FFFFFF"/>
            <w:tcMar>
              <w:top w:w="55" w:type="dxa"/>
              <w:left w:w="55" w:type="dxa"/>
              <w:bottom w:w="55" w:type="dxa"/>
              <w:right w:w="55" w:type="dxa"/>
            </w:tcMar>
            <w:vAlign w:val="center"/>
          </w:tcPr>
          <w:p w14:paraId="3B28132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Lower ADL limitation</w:t>
            </w:r>
          </w:p>
        </w:tc>
        <w:tc>
          <w:tcPr>
            <w:tcW w:w="1439" w:type="pct"/>
            <w:tcBorders>
              <w:top w:val="nil"/>
              <w:left w:val="nil"/>
              <w:bottom w:val="nil"/>
              <w:right w:val="nil"/>
            </w:tcBorders>
            <w:shd w:val="clear" w:color="auto" w:fill="FFFFFF"/>
            <w:tcMar>
              <w:top w:w="55" w:type="dxa"/>
              <w:left w:w="55" w:type="dxa"/>
              <w:bottom w:w="55" w:type="dxa"/>
              <w:right w:w="55" w:type="dxa"/>
            </w:tcMar>
            <w:vAlign w:val="center"/>
          </w:tcPr>
          <w:p w14:paraId="790BFD5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Proportion mediated</w:t>
            </w:r>
          </w:p>
        </w:tc>
        <w:tc>
          <w:tcPr>
            <w:tcW w:w="698" w:type="pct"/>
            <w:tcBorders>
              <w:top w:val="nil"/>
              <w:left w:val="nil"/>
              <w:bottom w:val="nil"/>
              <w:right w:val="nil"/>
            </w:tcBorders>
            <w:shd w:val="clear" w:color="auto" w:fill="FFFFFF"/>
            <w:tcMar>
              <w:top w:w="55" w:type="dxa"/>
              <w:left w:w="55" w:type="dxa"/>
              <w:bottom w:w="55" w:type="dxa"/>
              <w:right w:w="55" w:type="dxa"/>
            </w:tcMar>
            <w:vAlign w:val="center"/>
          </w:tcPr>
          <w:p w14:paraId="787D691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1.78</w:t>
            </w:r>
          </w:p>
        </w:tc>
        <w:tc>
          <w:tcPr>
            <w:tcW w:w="857" w:type="pct"/>
            <w:tcBorders>
              <w:top w:val="nil"/>
              <w:left w:val="nil"/>
              <w:bottom w:val="nil"/>
              <w:right w:val="nil"/>
            </w:tcBorders>
            <w:shd w:val="clear" w:color="auto" w:fill="FFFFFF"/>
            <w:tcMar>
              <w:top w:w="55" w:type="dxa"/>
              <w:left w:w="55" w:type="dxa"/>
              <w:bottom w:w="55" w:type="dxa"/>
              <w:right w:w="55" w:type="dxa"/>
            </w:tcMar>
            <w:vAlign w:val="center"/>
          </w:tcPr>
          <w:p w14:paraId="62A9FD1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-3.38 to 2.77</w:t>
            </w:r>
          </w:p>
        </w:tc>
        <w:tc>
          <w:tcPr>
            <w:tcW w:w="513" w:type="pct"/>
            <w:tcBorders>
              <w:top w:val="nil"/>
              <w:left w:val="nil"/>
              <w:bottom w:val="nil"/>
              <w:right w:val="nil"/>
            </w:tcBorders>
            <w:shd w:val="clear" w:color="auto" w:fill="FFFFFF"/>
            <w:tcMar>
              <w:top w:w="55" w:type="dxa"/>
              <w:left w:w="55" w:type="dxa"/>
              <w:bottom w:w="55" w:type="dxa"/>
              <w:right w:w="55" w:type="dxa"/>
            </w:tcMar>
            <w:vAlign w:val="center"/>
          </w:tcPr>
          <w:p w14:paraId="7A6AB1A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0.76</w:t>
            </w:r>
          </w:p>
        </w:tc>
      </w:tr>
      <w:tr w14:paraId="26715EBB">
        <w:trPr>
          <w:trHeight w:val="193" w:hRule="atLeast"/>
          <w:jc w:val="center"/>
        </w:trPr>
        <w:tc>
          <w:tcPr>
            <w:tcW w:w="1490" w:type="pct"/>
            <w:tcBorders>
              <w:top w:val="nil"/>
              <w:left w:val="nil"/>
              <w:bottom w:val="nil"/>
              <w:right w:val="nil"/>
            </w:tcBorders>
            <w:shd w:val="clear" w:color="auto" w:fill="FFFFFF"/>
            <w:tcMar>
              <w:top w:w="55" w:type="dxa"/>
              <w:left w:w="55" w:type="dxa"/>
              <w:bottom w:w="55" w:type="dxa"/>
              <w:right w:w="55" w:type="dxa"/>
            </w:tcMar>
            <w:vAlign w:val="center"/>
          </w:tcPr>
          <w:p w14:paraId="1F5AF52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Higher ADL limitation</w:t>
            </w:r>
          </w:p>
        </w:tc>
        <w:tc>
          <w:tcPr>
            <w:tcW w:w="1439" w:type="pct"/>
            <w:tcBorders>
              <w:top w:val="nil"/>
              <w:left w:val="nil"/>
              <w:bottom w:val="nil"/>
              <w:right w:val="nil"/>
            </w:tcBorders>
            <w:shd w:val="clear" w:color="auto" w:fill="FFFFFF"/>
            <w:tcMar>
              <w:top w:w="55" w:type="dxa"/>
              <w:left w:w="55" w:type="dxa"/>
              <w:bottom w:w="55" w:type="dxa"/>
              <w:right w:w="55" w:type="dxa"/>
            </w:tcMar>
            <w:vAlign w:val="center"/>
          </w:tcPr>
          <w:p w14:paraId="50A341F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variability → Grip</w:t>
            </w:r>
          </w:p>
        </w:tc>
        <w:tc>
          <w:tcPr>
            <w:tcW w:w="698" w:type="pct"/>
            <w:tcBorders>
              <w:top w:val="nil"/>
              <w:left w:val="nil"/>
              <w:bottom w:val="nil"/>
              <w:right w:val="nil"/>
            </w:tcBorders>
            <w:shd w:val="clear" w:color="auto" w:fill="FFFFFF"/>
            <w:tcMar>
              <w:top w:w="55" w:type="dxa"/>
              <w:left w:w="55" w:type="dxa"/>
              <w:bottom w:w="55" w:type="dxa"/>
              <w:right w:w="55" w:type="dxa"/>
            </w:tcMar>
            <w:vAlign w:val="center"/>
          </w:tcPr>
          <w:p w14:paraId="06AE8B1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-3.94</w:t>
            </w:r>
          </w:p>
        </w:tc>
        <w:tc>
          <w:tcPr>
            <w:tcW w:w="857" w:type="pct"/>
            <w:tcBorders>
              <w:top w:val="nil"/>
              <w:left w:val="nil"/>
              <w:bottom w:val="nil"/>
              <w:right w:val="nil"/>
            </w:tcBorders>
            <w:shd w:val="clear" w:color="auto" w:fill="FFFFFF"/>
            <w:tcMar>
              <w:top w:w="55" w:type="dxa"/>
              <w:left w:w="55" w:type="dxa"/>
              <w:bottom w:w="55" w:type="dxa"/>
              <w:right w:w="55" w:type="dxa"/>
            </w:tcMar>
            <w:vAlign w:val="center"/>
          </w:tcPr>
          <w:p w14:paraId="4A44254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-8.34 to 1.05</w:t>
            </w:r>
          </w:p>
        </w:tc>
        <w:tc>
          <w:tcPr>
            <w:tcW w:w="513" w:type="pct"/>
            <w:tcBorders>
              <w:top w:val="nil"/>
              <w:left w:val="nil"/>
              <w:bottom w:val="nil"/>
              <w:right w:val="nil"/>
            </w:tcBorders>
            <w:shd w:val="clear" w:color="auto" w:fill="FFFFFF"/>
            <w:tcMar>
              <w:top w:w="55" w:type="dxa"/>
              <w:left w:w="55" w:type="dxa"/>
              <w:bottom w:w="55" w:type="dxa"/>
              <w:right w:w="55" w:type="dxa"/>
            </w:tcMar>
            <w:vAlign w:val="center"/>
          </w:tcPr>
          <w:p w14:paraId="6A7742A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0.101</w:t>
            </w:r>
          </w:p>
        </w:tc>
      </w:tr>
      <w:tr w14:paraId="29EAF3D1">
        <w:trPr>
          <w:trHeight w:val="193" w:hRule="atLeast"/>
          <w:jc w:val="center"/>
        </w:trPr>
        <w:tc>
          <w:tcPr>
            <w:tcW w:w="1490" w:type="pct"/>
            <w:tcBorders>
              <w:top w:val="nil"/>
              <w:left w:val="nil"/>
              <w:bottom w:val="nil"/>
              <w:right w:val="nil"/>
            </w:tcBorders>
            <w:shd w:val="clear" w:color="auto" w:fill="FFFFFF"/>
            <w:tcMar>
              <w:top w:w="55" w:type="dxa"/>
              <w:left w:w="55" w:type="dxa"/>
              <w:bottom w:w="55" w:type="dxa"/>
              <w:right w:w="55" w:type="dxa"/>
            </w:tcMar>
            <w:vAlign w:val="center"/>
          </w:tcPr>
          <w:p w14:paraId="6B152F5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Higher ADL limitation</w:t>
            </w:r>
          </w:p>
        </w:tc>
        <w:tc>
          <w:tcPr>
            <w:tcW w:w="1439" w:type="pct"/>
            <w:tcBorders>
              <w:top w:val="nil"/>
              <w:left w:val="nil"/>
              <w:bottom w:val="nil"/>
              <w:right w:val="nil"/>
            </w:tcBorders>
            <w:shd w:val="clear" w:color="auto" w:fill="FFFFFF"/>
            <w:tcMar>
              <w:top w:w="55" w:type="dxa"/>
              <w:left w:w="55" w:type="dxa"/>
              <w:bottom w:w="55" w:type="dxa"/>
              <w:right w:w="55" w:type="dxa"/>
            </w:tcMar>
            <w:vAlign w:val="center"/>
          </w:tcPr>
          <w:p w14:paraId="591A176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Direct effect</w:t>
            </w:r>
          </w:p>
        </w:tc>
        <w:tc>
          <w:tcPr>
            <w:tcW w:w="698" w:type="pct"/>
            <w:tcBorders>
              <w:top w:val="nil"/>
              <w:left w:val="nil"/>
              <w:bottom w:val="nil"/>
              <w:right w:val="nil"/>
            </w:tcBorders>
            <w:shd w:val="clear" w:color="auto" w:fill="FFFFFF"/>
            <w:tcMar>
              <w:top w:w="55" w:type="dxa"/>
              <w:left w:w="55" w:type="dxa"/>
              <w:bottom w:w="55" w:type="dxa"/>
              <w:right w:w="55" w:type="dxa"/>
            </w:tcMar>
            <w:vAlign w:val="center"/>
          </w:tcPr>
          <w:p w14:paraId="5D86B1F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-0.18</w:t>
            </w:r>
          </w:p>
        </w:tc>
        <w:tc>
          <w:tcPr>
            <w:tcW w:w="857" w:type="pct"/>
            <w:tcBorders>
              <w:top w:val="nil"/>
              <w:left w:val="nil"/>
              <w:bottom w:val="nil"/>
              <w:right w:val="nil"/>
            </w:tcBorders>
            <w:shd w:val="clear" w:color="auto" w:fill="FFFFFF"/>
            <w:tcMar>
              <w:top w:w="55" w:type="dxa"/>
              <w:left w:w="55" w:type="dxa"/>
              <w:bottom w:w="55" w:type="dxa"/>
              <w:right w:w="55" w:type="dxa"/>
            </w:tcMar>
            <w:vAlign w:val="center"/>
          </w:tcPr>
          <w:p w14:paraId="4E47A52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-0.65 to 0.22</w:t>
            </w:r>
          </w:p>
        </w:tc>
        <w:tc>
          <w:tcPr>
            <w:tcW w:w="513" w:type="pct"/>
            <w:tcBorders>
              <w:top w:val="nil"/>
              <w:left w:val="nil"/>
              <w:bottom w:val="nil"/>
              <w:right w:val="nil"/>
            </w:tcBorders>
            <w:shd w:val="clear" w:color="auto" w:fill="FFFFFF"/>
            <w:tcMar>
              <w:top w:w="55" w:type="dxa"/>
              <w:left w:w="55" w:type="dxa"/>
              <w:bottom w:w="55" w:type="dxa"/>
              <w:right w:w="55" w:type="dxa"/>
            </w:tcMar>
            <w:vAlign w:val="center"/>
          </w:tcPr>
          <w:p w14:paraId="68B112D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0.43</w:t>
            </w:r>
          </w:p>
        </w:tc>
      </w:tr>
      <w:tr w14:paraId="2AE397A1">
        <w:trPr>
          <w:trHeight w:val="193" w:hRule="atLeast"/>
          <w:jc w:val="center"/>
        </w:trPr>
        <w:tc>
          <w:tcPr>
            <w:tcW w:w="1490" w:type="pct"/>
            <w:tcBorders>
              <w:top w:val="nil"/>
              <w:left w:val="nil"/>
              <w:bottom w:val="nil"/>
              <w:right w:val="nil"/>
            </w:tcBorders>
            <w:shd w:val="clear" w:color="auto" w:fill="FFFFFF"/>
            <w:tcMar>
              <w:top w:w="55" w:type="dxa"/>
              <w:left w:w="55" w:type="dxa"/>
              <w:bottom w:w="55" w:type="dxa"/>
              <w:right w:w="55" w:type="dxa"/>
            </w:tcMar>
            <w:vAlign w:val="center"/>
          </w:tcPr>
          <w:p w14:paraId="621C25D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Higher ADL limitation</w:t>
            </w:r>
          </w:p>
        </w:tc>
        <w:tc>
          <w:tcPr>
            <w:tcW w:w="1439" w:type="pct"/>
            <w:tcBorders>
              <w:top w:val="nil"/>
              <w:left w:val="nil"/>
              <w:bottom w:val="nil"/>
              <w:right w:val="nil"/>
            </w:tcBorders>
            <w:shd w:val="clear" w:color="auto" w:fill="FFFFFF"/>
            <w:tcMar>
              <w:top w:w="55" w:type="dxa"/>
              <w:left w:w="55" w:type="dxa"/>
              <w:bottom w:w="55" w:type="dxa"/>
              <w:right w:w="55" w:type="dxa"/>
            </w:tcMar>
            <w:vAlign w:val="center"/>
          </w:tcPr>
          <w:p w14:paraId="5BCBB11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xml:space="preserve">Grip → </w:t>
            </w:r>
            <w:r>
              <w:rPr>
                <w:rFonts w:hint="default" w:ascii="Times New Roman" w:hAnsi="Times New Roman" w:eastAsia="Times New Roman" w:cs="Times New Roman Regular"/>
                <w:b w:val="0"/>
                <w:bCs w:val="0"/>
                <w:color w:val="auto"/>
                <w:sz w:val="16"/>
                <w:szCs w:val="22"/>
                <w:lang w:val="en-US" w:eastAsia="zh-CN"/>
              </w:rPr>
              <w:t>FEV₁</w:t>
            </w:r>
          </w:p>
        </w:tc>
        <w:tc>
          <w:tcPr>
            <w:tcW w:w="698" w:type="pct"/>
            <w:tcBorders>
              <w:top w:val="nil"/>
              <w:left w:val="nil"/>
              <w:bottom w:val="nil"/>
              <w:right w:val="nil"/>
            </w:tcBorders>
            <w:shd w:val="clear" w:color="auto" w:fill="FFFFFF"/>
            <w:tcMar>
              <w:top w:w="55" w:type="dxa"/>
              <w:left w:w="55" w:type="dxa"/>
              <w:bottom w:w="55" w:type="dxa"/>
              <w:right w:w="55" w:type="dxa"/>
            </w:tcMar>
            <w:vAlign w:val="center"/>
          </w:tcPr>
          <w:p w14:paraId="515B421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0.01</w:t>
            </w:r>
          </w:p>
        </w:tc>
        <w:tc>
          <w:tcPr>
            <w:tcW w:w="857" w:type="pct"/>
            <w:tcBorders>
              <w:top w:val="nil"/>
              <w:left w:val="nil"/>
              <w:bottom w:val="nil"/>
              <w:right w:val="nil"/>
            </w:tcBorders>
            <w:shd w:val="clear" w:color="auto" w:fill="FFFFFF"/>
            <w:tcMar>
              <w:top w:w="55" w:type="dxa"/>
              <w:left w:w="55" w:type="dxa"/>
              <w:bottom w:w="55" w:type="dxa"/>
              <w:right w:w="55" w:type="dxa"/>
            </w:tcMar>
            <w:vAlign w:val="center"/>
          </w:tcPr>
          <w:p w14:paraId="445DF50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-0.01 to 0.03</w:t>
            </w:r>
          </w:p>
        </w:tc>
        <w:tc>
          <w:tcPr>
            <w:tcW w:w="513" w:type="pct"/>
            <w:tcBorders>
              <w:top w:val="nil"/>
              <w:left w:val="nil"/>
              <w:bottom w:val="nil"/>
              <w:right w:val="nil"/>
            </w:tcBorders>
            <w:shd w:val="clear" w:color="auto" w:fill="FFFFFF"/>
            <w:tcMar>
              <w:top w:w="55" w:type="dxa"/>
              <w:left w:w="55" w:type="dxa"/>
              <w:bottom w:w="55" w:type="dxa"/>
              <w:right w:w="55" w:type="dxa"/>
            </w:tcMar>
            <w:vAlign w:val="center"/>
          </w:tcPr>
          <w:p w14:paraId="527F2A9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0.185</w:t>
            </w:r>
          </w:p>
        </w:tc>
      </w:tr>
      <w:tr w14:paraId="4DE41B12">
        <w:trPr>
          <w:trHeight w:val="193" w:hRule="atLeast"/>
          <w:jc w:val="center"/>
        </w:trPr>
        <w:tc>
          <w:tcPr>
            <w:tcW w:w="1490" w:type="pct"/>
            <w:tcBorders>
              <w:top w:val="nil"/>
              <w:left w:val="nil"/>
              <w:bottom w:val="nil"/>
              <w:right w:val="nil"/>
            </w:tcBorders>
            <w:shd w:val="clear" w:color="auto" w:fill="FFFFFF"/>
            <w:tcMar>
              <w:top w:w="55" w:type="dxa"/>
              <w:left w:w="55" w:type="dxa"/>
              <w:bottom w:w="55" w:type="dxa"/>
              <w:right w:w="55" w:type="dxa"/>
            </w:tcMar>
            <w:vAlign w:val="center"/>
          </w:tcPr>
          <w:p w14:paraId="34DADAB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Higher ADL limitation</w:t>
            </w:r>
          </w:p>
        </w:tc>
        <w:tc>
          <w:tcPr>
            <w:tcW w:w="1439" w:type="pct"/>
            <w:tcBorders>
              <w:top w:val="nil"/>
              <w:left w:val="nil"/>
              <w:bottom w:val="nil"/>
              <w:right w:val="nil"/>
            </w:tcBorders>
            <w:shd w:val="clear" w:color="auto" w:fill="FFFFFF"/>
            <w:tcMar>
              <w:top w:w="55" w:type="dxa"/>
              <w:left w:w="55" w:type="dxa"/>
              <w:bottom w:w="55" w:type="dxa"/>
              <w:right w:w="55" w:type="dxa"/>
            </w:tcMar>
            <w:vAlign w:val="center"/>
          </w:tcPr>
          <w:p w14:paraId="594A79C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Indirect effect</w:t>
            </w:r>
          </w:p>
        </w:tc>
        <w:tc>
          <w:tcPr>
            <w:tcW w:w="698" w:type="pct"/>
            <w:tcBorders>
              <w:top w:val="nil"/>
              <w:left w:val="nil"/>
              <w:bottom w:val="nil"/>
              <w:right w:val="nil"/>
            </w:tcBorders>
            <w:shd w:val="clear" w:color="auto" w:fill="FFFFFF"/>
            <w:tcMar>
              <w:top w:w="55" w:type="dxa"/>
              <w:left w:w="55" w:type="dxa"/>
              <w:bottom w:w="55" w:type="dxa"/>
              <w:right w:w="55" w:type="dxa"/>
            </w:tcMar>
            <w:vAlign w:val="center"/>
          </w:tcPr>
          <w:p w14:paraId="6A8B246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-0.05</w:t>
            </w:r>
          </w:p>
        </w:tc>
        <w:tc>
          <w:tcPr>
            <w:tcW w:w="857" w:type="pct"/>
            <w:tcBorders>
              <w:top w:val="nil"/>
              <w:left w:val="nil"/>
              <w:bottom w:val="nil"/>
              <w:right w:val="nil"/>
            </w:tcBorders>
            <w:shd w:val="clear" w:color="auto" w:fill="FFFFFF"/>
            <w:tcMar>
              <w:top w:w="55" w:type="dxa"/>
              <w:left w:w="55" w:type="dxa"/>
              <w:bottom w:w="55" w:type="dxa"/>
              <w:right w:w="55" w:type="dxa"/>
            </w:tcMar>
            <w:vAlign w:val="center"/>
          </w:tcPr>
          <w:p w14:paraId="3AA8168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-0.16 to 0.03</w:t>
            </w:r>
          </w:p>
        </w:tc>
        <w:tc>
          <w:tcPr>
            <w:tcW w:w="513" w:type="pct"/>
            <w:tcBorders>
              <w:top w:val="nil"/>
              <w:left w:val="nil"/>
              <w:bottom w:val="nil"/>
              <w:right w:val="nil"/>
            </w:tcBorders>
            <w:shd w:val="clear" w:color="auto" w:fill="FFFFFF"/>
            <w:tcMar>
              <w:top w:w="55" w:type="dxa"/>
              <w:left w:w="55" w:type="dxa"/>
              <w:bottom w:w="55" w:type="dxa"/>
              <w:right w:w="55" w:type="dxa"/>
            </w:tcMar>
            <w:vAlign w:val="center"/>
          </w:tcPr>
          <w:p w14:paraId="2223BF1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0.331</w:t>
            </w:r>
          </w:p>
        </w:tc>
      </w:tr>
      <w:tr w14:paraId="6049B722">
        <w:trPr>
          <w:trHeight w:val="193" w:hRule="atLeast"/>
          <w:jc w:val="center"/>
        </w:trPr>
        <w:tc>
          <w:tcPr>
            <w:tcW w:w="1490" w:type="pct"/>
            <w:tcBorders>
              <w:top w:val="nil"/>
              <w:left w:val="nil"/>
              <w:bottom w:val="nil"/>
              <w:right w:val="nil"/>
            </w:tcBorders>
            <w:shd w:val="clear" w:color="auto" w:fill="FFFFFF"/>
            <w:tcMar>
              <w:top w:w="55" w:type="dxa"/>
              <w:left w:w="55" w:type="dxa"/>
              <w:bottom w:w="55" w:type="dxa"/>
              <w:right w:w="55" w:type="dxa"/>
            </w:tcMar>
            <w:vAlign w:val="center"/>
          </w:tcPr>
          <w:p w14:paraId="4D1DA28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Higher ADL limitation</w:t>
            </w:r>
          </w:p>
        </w:tc>
        <w:tc>
          <w:tcPr>
            <w:tcW w:w="1439" w:type="pct"/>
            <w:tcBorders>
              <w:top w:val="nil"/>
              <w:left w:val="nil"/>
              <w:bottom w:val="nil"/>
              <w:right w:val="nil"/>
            </w:tcBorders>
            <w:shd w:val="clear" w:color="auto" w:fill="FFFFFF"/>
            <w:tcMar>
              <w:top w:w="55" w:type="dxa"/>
              <w:left w:w="55" w:type="dxa"/>
              <w:bottom w:w="55" w:type="dxa"/>
              <w:right w:w="55" w:type="dxa"/>
            </w:tcMar>
            <w:vAlign w:val="center"/>
          </w:tcPr>
          <w:p w14:paraId="18C1323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Total effect</w:t>
            </w:r>
          </w:p>
        </w:tc>
        <w:tc>
          <w:tcPr>
            <w:tcW w:w="698" w:type="pct"/>
            <w:tcBorders>
              <w:top w:val="nil"/>
              <w:left w:val="nil"/>
              <w:bottom w:val="nil"/>
              <w:right w:val="nil"/>
            </w:tcBorders>
            <w:shd w:val="clear" w:color="auto" w:fill="FFFFFF"/>
            <w:tcMar>
              <w:top w:w="55" w:type="dxa"/>
              <w:left w:w="55" w:type="dxa"/>
              <w:bottom w:w="55" w:type="dxa"/>
              <w:right w:w="55" w:type="dxa"/>
            </w:tcMar>
            <w:vAlign w:val="center"/>
          </w:tcPr>
          <w:p w14:paraId="1236280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-0.22</w:t>
            </w:r>
          </w:p>
        </w:tc>
        <w:tc>
          <w:tcPr>
            <w:tcW w:w="857" w:type="pct"/>
            <w:tcBorders>
              <w:top w:val="nil"/>
              <w:left w:val="nil"/>
              <w:bottom w:val="nil"/>
              <w:right w:val="nil"/>
            </w:tcBorders>
            <w:shd w:val="clear" w:color="auto" w:fill="FFFFFF"/>
            <w:tcMar>
              <w:top w:w="55" w:type="dxa"/>
              <w:left w:w="55" w:type="dxa"/>
              <w:bottom w:w="55" w:type="dxa"/>
              <w:right w:w="55" w:type="dxa"/>
            </w:tcMar>
            <w:vAlign w:val="center"/>
          </w:tcPr>
          <w:p w14:paraId="74EE442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-0.70 to 0.18</w:t>
            </w:r>
          </w:p>
        </w:tc>
        <w:tc>
          <w:tcPr>
            <w:tcW w:w="513" w:type="pct"/>
            <w:tcBorders>
              <w:top w:val="nil"/>
              <w:left w:val="nil"/>
              <w:bottom w:val="nil"/>
              <w:right w:val="nil"/>
            </w:tcBorders>
            <w:shd w:val="clear" w:color="auto" w:fill="FFFFFF"/>
            <w:tcMar>
              <w:top w:w="55" w:type="dxa"/>
              <w:left w:w="55" w:type="dxa"/>
              <w:bottom w:w="55" w:type="dxa"/>
              <w:right w:w="55" w:type="dxa"/>
            </w:tcMar>
            <w:vAlign w:val="center"/>
          </w:tcPr>
          <w:p w14:paraId="018C9B2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0.305</w:t>
            </w:r>
          </w:p>
        </w:tc>
      </w:tr>
      <w:tr w14:paraId="561E23F6">
        <w:trPr>
          <w:trHeight w:val="193" w:hRule="atLeast"/>
          <w:jc w:val="center"/>
        </w:trPr>
        <w:tc>
          <w:tcPr>
            <w:tcW w:w="1490" w:type="pct"/>
            <w:tcBorders>
              <w:top w:val="nil"/>
              <w:left w:val="nil"/>
              <w:bottom w:val="nil"/>
              <w:right w:val="nil"/>
            </w:tcBorders>
            <w:shd w:val="clear" w:color="auto" w:fill="FFFFFF"/>
            <w:tcMar>
              <w:top w:w="55" w:type="dxa"/>
              <w:left w:w="55" w:type="dxa"/>
              <w:bottom w:w="55" w:type="dxa"/>
              <w:right w:w="55" w:type="dxa"/>
            </w:tcMar>
            <w:vAlign w:val="center"/>
          </w:tcPr>
          <w:p w14:paraId="4014ED5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Higher ADL limitation</w:t>
            </w:r>
          </w:p>
        </w:tc>
        <w:tc>
          <w:tcPr>
            <w:tcW w:w="1439" w:type="pct"/>
            <w:tcBorders>
              <w:top w:val="nil"/>
              <w:left w:val="nil"/>
              <w:bottom w:val="nil"/>
              <w:right w:val="nil"/>
            </w:tcBorders>
            <w:shd w:val="clear" w:color="auto" w:fill="FFFFFF"/>
            <w:tcMar>
              <w:top w:w="55" w:type="dxa"/>
              <w:left w:w="55" w:type="dxa"/>
              <w:bottom w:w="55" w:type="dxa"/>
              <w:right w:w="55" w:type="dxa"/>
            </w:tcMar>
            <w:vAlign w:val="center"/>
          </w:tcPr>
          <w:p w14:paraId="30B8858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Proportion mediated</w:t>
            </w:r>
          </w:p>
        </w:tc>
        <w:tc>
          <w:tcPr>
            <w:tcW w:w="698" w:type="pct"/>
            <w:tcBorders>
              <w:top w:val="nil"/>
              <w:left w:val="nil"/>
              <w:bottom w:val="nil"/>
              <w:right w:val="nil"/>
            </w:tcBorders>
            <w:shd w:val="clear" w:color="auto" w:fill="FFFFFF"/>
            <w:tcMar>
              <w:top w:w="55" w:type="dxa"/>
              <w:left w:w="55" w:type="dxa"/>
              <w:bottom w:w="55" w:type="dxa"/>
              <w:right w:w="55" w:type="dxa"/>
            </w:tcMar>
            <w:vAlign w:val="center"/>
          </w:tcPr>
          <w:p w14:paraId="077046C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0.21</w:t>
            </w:r>
          </w:p>
        </w:tc>
        <w:tc>
          <w:tcPr>
            <w:tcW w:w="857" w:type="pct"/>
            <w:tcBorders>
              <w:top w:val="nil"/>
              <w:left w:val="nil"/>
              <w:bottom w:val="nil"/>
              <w:right w:val="nil"/>
            </w:tcBorders>
            <w:shd w:val="clear" w:color="auto" w:fill="FFFFFF"/>
            <w:tcMar>
              <w:top w:w="55" w:type="dxa"/>
              <w:left w:w="55" w:type="dxa"/>
              <w:bottom w:w="55" w:type="dxa"/>
              <w:right w:w="55" w:type="dxa"/>
            </w:tcMar>
            <w:vAlign w:val="center"/>
          </w:tcPr>
          <w:p w14:paraId="745C7AD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-2.23 to 1.82</w:t>
            </w:r>
          </w:p>
        </w:tc>
        <w:tc>
          <w:tcPr>
            <w:tcW w:w="513" w:type="pct"/>
            <w:tcBorders>
              <w:top w:val="nil"/>
              <w:left w:val="nil"/>
              <w:bottom w:val="nil"/>
              <w:right w:val="nil"/>
            </w:tcBorders>
            <w:shd w:val="clear" w:color="auto" w:fill="FFFFFF"/>
            <w:tcMar>
              <w:top w:w="55" w:type="dxa"/>
              <w:left w:w="55" w:type="dxa"/>
              <w:bottom w:w="55" w:type="dxa"/>
              <w:right w:w="55" w:type="dxa"/>
            </w:tcMar>
            <w:vAlign w:val="center"/>
          </w:tcPr>
          <w:p w14:paraId="4E07904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0.948</w:t>
            </w:r>
          </w:p>
        </w:tc>
      </w:tr>
      <w:tr w14:paraId="70E9A3DC">
        <w:trPr>
          <w:trHeight w:val="193" w:hRule="atLeast"/>
          <w:jc w:val="center"/>
        </w:trPr>
        <w:tc>
          <w:tcPr>
            <w:tcW w:w="1490" w:type="pct"/>
            <w:tcBorders>
              <w:top w:val="nil"/>
              <w:left w:val="nil"/>
              <w:bottom w:val="nil"/>
              <w:right w:val="nil"/>
            </w:tcBorders>
            <w:shd w:val="clear" w:color="auto" w:fill="FFFFFF"/>
            <w:tcMar>
              <w:top w:w="55" w:type="dxa"/>
              <w:left w:w="55" w:type="dxa"/>
              <w:bottom w:w="55" w:type="dxa"/>
              <w:right w:w="55" w:type="dxa"/>
            </w:tcMar>
            <w:vAlign w:val="center"/>
          </w:tcPr>
          <w:p w14:paraId="71D20A4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Lower IADL limitation</w:t>
            </w:r>
          </w:p>
        </w:tc>
        <w:tc>
          <w:tcPr>
            <w:tcW w:w="1439" w:type="pct"/>
            <w:tcBorders>
              <w:top w:val="nil"/>
              <w:left w:val="nil"/>
              <w:bottom w:val="nil"/>
              <w:right w:val="nil"/>
            </w:tcBorders>
            <w:shd w:val="clear" w:color="auto" w:fill="FFFFFF"/>
            <w:tcMar>
              <w:top w:w="55" w:type="dxa"/>
              <w:left w:w="55" w:type="dxa"/>
              <w:bottom w:w="55" w:type="dxa"/>
              <w:right w:w="55" w:type="dxa"/>
            </w:tcMar>
            <w:vAlign w:val="center"/>
          </w:tcPr>
          <w:p w14:paraId="30D62CE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variability → Grip</w:t>
            </w:r>
          </w:p>
        </w:tc>
        <w:tc>
          <w:tcPr>
            <w:tcW w:w="698" w:type="pct"/>
            <w:tcBorders>
              <w:top w:val="nil"/>
              <w:left w:val="nil"/>
              <w:bottom w:val="nil"/>
              <w:right w:val="nil"/>
            </w:tcBorders>
            <w:shd w:val="clear" w:color="auto" w:fill="FFFFFF"/>
            <w:tcMar>
              <w:top w:w="55" w:type="dxa"/>
              <w:left w:w="55" w:type="dxa"/>
              <w:bottom w:w="55" w:type="dxa"/>
              <w:right w:w="55" w:type="dxa"/>
            </w:tcMar>
            <w:vAlign w:val="center"/>
          </w:tcPr>
          <w:p w14:paraId="04BF17B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-2.04</w:t>
            </w:r>
          </w:p>
        </w:tc>
        <w:tc>
          <w:tcPr>
            <w:tcW w:w="857" w:type="pct"/>
            <w:tcBorders>
              <w:top w:val="nil"/>
              <w:left w:val="nil"/>
              <w:bottom w:val="nil"/>
              <w:right w:val="nil"/>
            </w:tcBorders>
            <w:shd w:val="clear" w:color="auto" w:fill="FFFFFF"/>
            <w:tcMar>
              <w:top w:w="55" w:type="dxa"/>
              <w:left w:w="55" w:type="dxa"/>
              <w:bottom w:w="55" w:type="dxa"/>
              <w:right w:w="55" w:type="dxa"/>
            </w:tcMar>
            <w:vAlign w:val="center"/>
          </w:tcPr>
          <w:p w14:paraId="7A9EFD6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-6.58 to 3.13</w:t>
            </w:r>
          </w:p>
        </w:tc>
        <w:tc>
          <w:tcPr>
            <w:tcW w:w="513" w:type="pct"/>
            <w:tcBorders>
              <w:top w:val="nil"/>
              <w:left w:val="nil"/>
              <w:bottom w:val="nil"/>
              <w:right w:val="nil"/>
            </w:tcBorders>
            <w:shd w:val="clear" w:color="auto" w:fill="FFFFFF"/>
            <w:tcMar>
              <w:top w:w="55" w:type="dxa"/>
              <w:left w:w="55" w:type="dxa"/>
              <w:bottom w:w="55" w:type="dxa"/>
              <w:right w:w="55" w:type="dxa"/>
            </w:tcMar>
            <w:vAlign w:val="center"/>
          </w:tcPr>
          <w:p w14:paraId="2B93581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0.421</w:t>
            </w:r>
          </w:p>
        </w:tc>
      </w:tr>
      <w:tr w14:paraId="65F39815">
        <w:trPr>
          <w:trHeight w:val="193" w:hRule="atLeast"/>
          <w:jc w:val="center"/>
        </w:trPr>
        <w:tc>
          <w:tcPr>
            <w:tcW w:w="1490" w:type="pct"/>
            <w:tcBorders>
              <w:top w:val="nil"/>
              <w:left w:val="nil"/>
              <w:bottom w:val="nil"/>
              <w:right w:val="nil"/>
            </w:tcBorders>
            <w:shd w:val="clear" w:color="auto" w:fill="FFFFFF"/>
            <w:tcMar>
              <w:top w:w="55" w:type="dxa"/>
              <w:left w:w="55" w:type="dxa"/>
              <w:bottom w:w="55" w:type="dxa"/>
              <w:right w:w="55" w:type="dxa"/>
            </w:tcMar>
            <w:vAlign w:val="center"/>
          </w:tcPr>
          <w:p w14:paraId="3E1DCF3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Lower IADL limitation</w:t>
            </w:r>
          </w:p>
        </w:tc>
        <w:tc>
          <w:tcPr>
            <w:tcW w:w="1439" w:type="pct"/>
            <w:tcBorders>
              <w:top w:val="nil"/>
              <w:left w:val="nil"/>
              <w:bottom w:val="nil"/>
              <w:right w:val="nil"/>
            </w:tcBorders>
            <w:shd w:val="clear" w:color="auto" w:fill="FFFFFF"/>
            <w:tcMar>
              <w:top w:w="55" w:type="dxa"/>
              <w:left w:w="55" w:type="dxa"/>
              <w:bottom w:w="55" w:type="dxa"/>
              <w:right w:w="55" w:type="dxa"/>
            </w:tcMar>
            <w:vAlign w:val="center"/>
          </w:tcPr>
          <w:p w14:paraId="1A802A1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Direct effect</w:t>
            </w:r>
          </w:p>
        </w:tc>
        <w:tc>
          <w:tcPr>
            <w:tcW w:w="698" w:type="pct"/>
            <w:tcBorders>
              <w:top w:val="nil"/>
              <w:left w:val="nil"/>
              <w:bottom w:val="nil"/>
              <w:right w:val="nil"/>
            </w:tcBorders>
            <w:shd w:val="clear" w:color="auto" w:fill="FFFFFF"/>
            <w:tcMar>
              <w:top w:w="55" w:type="dxa"/>
              <w:left w:w="55" w:type="dxa"/>
              <w:bottom w:w="55" w:type="dxa"/>
              <w:right w:w="55" w:type="dxa"/>
            </w:tcMar>
            <w:vAlign w:val="center"/>
          </w:tcPr>
          <w:p w14:paraId="56D2F3A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-0.23</w:t>
            </w:r>
          </w:p>
        </w:tc>
        <w:tc>
          <w:tcPr>
            <w:tcW w:w="857" w:type="pct"/>
            <w:tcBorders>
              <w:top w:val="nil"/>
              <w:left w:val="nil"/>
              <w:bottom w:val="nil"/>
              <w:right w:val="nil"/>
            </w:tcBorders>
            <w:shd w:val="clear" w:color="auto" w:fill="FFFFFF"/>
            <w:tcMar>
              <w:top w:w="55" w:type="dxa"/>
              <w:left w:w="55" w:type="dxa"/>
              <w:bottom w:w="55" w:type="dxa"/>
              <w:right w:w="55" w:type="dxa"/>
            </w:tcMar>
            <w:vAlign w:val="center"/>
          </w:tcPr>
          <w:p w14:paraId="2049BD6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-0.85 to 0.32</w:t>
            </w:r>
          </w:p>
        </w:tc>
        <w:tc>
          <w:tcPr>
            <w:tcW w:w="513" w:type="pct"/>
            <w:tcBorders>
              <w:top w:val="nil"/>
              <w:left w:val="nil"/>
              <w:bottom w:val="nil"/>
              <w:right w:val="nil"/>
            </w:tcBorders>
            <w:shd w:val="clear" w:color="auto" w:fill="FFFFFF"/>
            <w:tcMar>
              <w:top w:w="55" w:type="dxa"/>
              <w:left w:w="55" w:type="dxa"/>
              <w:bottom w:w="55" w:type="dxa"/>
              <w:right w:w="55" w:type="dxa"/>
            </w:tcMar>
            <w:vAlign w:val="center"/>
          </w:tcPr>
          <w:p w14:paraId="6DADB41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0.442</w:t>
            </w:r>
          </w:p>
        </w:tc>
      </w:tr>
      <w:tr w14:paraId="4701AF5D">
        <w:trPr>
          <w:trHeight w:val="193" w:hRule="atLeast"/>
          <w:jc w:val="center"/>
        </w:trPr>
        <w:tc>
          <w:tcPr>
            <w:tcW w:w="1490" w:type="pct"/>
            <w:tcBorders>
              <w:top w:val="nil"/>
              <w:left w:val="nil"/>
              <w:bottom w:val="nil"/>
              <w:right w:val="nil"/>
            </w:tcBorders>
            <w:shd w:val="clear" w:color="auto" w:fill="FFFFFF"/>
            <w:tcMar>
              <w:top w:w="55" w:type="dxa"/>
              <w:left w:w="55" w:type="dxa"/>
              <w:bottom w:w="55" w:type="dxa"/>
              <w:right w:w="55" w:type="dxa"/>
            </w:tcMar>
            <w:vAlign w:val="center"/>
          </w:tcPr>
          <w:p w14:paraId="31DC1D8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Lower IADL limitation</w:t>
            </w:r>
          </w:p>
        </w:tc>
        <w:tc>
          <w:tcPr>
            <w:tcW w:w="1439" w:type="pct"/>
            <w:tcBorders>
              <w:top w:val="nil"/>
              <w:left w:val="nil"/>
              <w:bottom w:val="nil"/>
              <w:right w:val="nil"/>
            </w:tcBorders>
            <w:shd w:val="clear" w:color="auto" w:fill="FFFFFF"/>
            <w:tcMar>
              <w:top w:w="55" w:type="dxa"/>
              <w:left w:w="55" w:type="dxa"/>
              <w:bottom w:w="55" w:type="dxa"/>
              <w:right w:w="55" w:type="dxa"/>
            </w:tcMar>
            <w:vAlign w:val="center"/>
          </w:tcPr>
          <w:p w14:paraId="1742669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xml:space="preserve">Grip → </w:t>
            </w:r>
            <w:r>
              <w:rPr>
                <w:rFonts w:hint="default" w:ascii="Times New Roman" w:hAnsi="Times New Roman" w:eastAsia="Times New Roman" w:cs="Times New Roman Regular"/>
                <w:b w:val="0"/>
                <w:bCs w:val="0"/>
                <w:color w:val="auto"/>
                <w:sz w:val="16"/>
                <w:szCs w:val="22"/>
                <w:lang w:val="en-US" w:eastAsia="zh-CN"/>
              </w:rPr>
              <w:t>FEV₁</w:t>
            </w:r>
          </w:p>
        </w:tc>
        <w:tc>
          <w:tcPr>
            <w:tcW w:w="698" w:type="pct"/>
            <w:tcBorders>
              <w:top w:val="nil"/>
              <w:left w:val="nil"/>
              <w:bottom w:val="nil"/>
              <w:right w:val="nil"/>
            </w:tcBorders>
            <w:shd w:val="clear" w:color="auto" w:fill="FFFFFF"/>
            <w:tcMar>
              <w:top w:w="55" w:type="dxa"/>
              <w:left w:w="55" w:type="dxa"/>
              <w:bottom w:w="55" w:type="dxa"/>
              <w:right w:w="55" w:type="dxa"/>
            </w:tcMar>
            <w:vAlign w:val="center"/>
          </w:tcPr>
          <w:p w14:paraId="38B22DE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0.01</w:t>
            </w:r>
          </w:p>
        </w:tc>
        <w:tc>
          <w:tcPr>
            <w:tcW w:w="857" w:type="pct"/>
            <w:tcBorders>
              <w:top w:val="nil"/>
              <w:left w:val="nil"/>
              <w:bottom w:val="nil"/>
              <w:right w:val="nil"/>
            </w:tcBorders>
            <w:shd w:val="clear" w:color="auto" w:fill="FFFFFF"/>
            <w:tcMar>
              <w:top w:w="55" w:type="dxa"/>
              <w:left w:w="55" w:type="dxa"/>
              <w:bottom w:w="55" w:type="dxa"/>
              <w:right w:w="55" w:type="dxa"/>
            </w:tcMar>
            <w:vAlign w:val="center"/>
          </w:tcPr>
          <w:p w14:paraId="6EF191E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-0.01 to 0.04</w:t>
            </w:r>
          </w:p>
        </w:tc>
        <w:tc>
          <w:tcPr>
            <w:tcW w:w="513" w:type="pct"/>
            <w:tcBorders>
              <w:top w:val="nil"/>
              <w:left w:val="nil"/>
              <w:bottom w:val="nil"/>
              <w:right w:val="nil"/>
            </w:tcBorders>
            <w:shd w:val="clear" w:color="auto" w:fill="FFFFFF"/>
            <w:tcMar>
              <w:top w:w="55" w:type="dxa"/>
              <w:left w:w="55" w:type="dxa"/>
              <w:bottom w:w="55" w:type="dxa"/>
              <w:right w:w="55" w:type="dxa"/>
            </w:tcMar>
            <w:vAlign w:val="center"/>
          </w:tcPr>
          <w:p w14:paraId="7DA8BCB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0.211</w:t>
            </w:r>
          </w:p>
        </w:tc>
      </w:tr>
      <w:tr w14:paraId="7C7000A8">
        <w:trPr>
          <w:trHeight w:val="193" w:hRule="atLeast"/>
          <w:jc w:val="center"/>
        </w:trPr>
        <w:tc>
          <w:tcPr>
            <w:tcW w:w="1490" w:type="pct"/>
            <w:tcBorders>
              <w:top w:val="nil"/>
              <w:left w:val="nil"/>
              <w:bottom w:val="nil"/>
              <w:right w:val="nil"/>
            </w:tcBorders>
            <w:shd w:val="clear" w:color="auto" w:fill="FFFFFF"/>
            <w:tcMar>
              <w:top w:w="55" w:type="dxa"/>
              <w:left w:w="55" w:type="dxa"/>
              <w:bottom w:w="55" w:type="dxa"/>
              <w:right w:w="55" w:type="dxa"/>
            </w:tcMar>
            <w:vAlign w:val="center"/>
          </w:tcPr>
          <w:p w14:paraId="18A9A05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Lower IADL limitation</w:t>
            </w:r>
          </w:p>
        </w:tc>
        <w:tc>
          <w:tcPr>
            <w:tcW w:w="1439" w:type="pct"/>
            <w:tcBorders>
              <w:top w:val="nil"/>
              <w:left w:val="nil"/>
              <w:bottom w:val="nil"/>
              <w:right w:val="nil"/>
            </w:tcBorders>
            <w:shd w:val="clear" w:color="auto" w:fill="FFFFFF"/>
            <w:tcMar>
              <w:top w:w="55" w:type="dxa"/>
              <w:left w:w="55" w:type="dxa"/>
              <w:bottom w:w="55" w:type="dxa"/>
              <w:right w:w="55" w:type="dxa"/>
            </w:tcMar>
            <w:vAlign w:val="center"/>
          </w:tcPr>
          <w:p w14:paraId="0AD47E6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Indirect effect</w:t>
            </w:r>
          </w:p>
        </w:tc>
        <w:tc>
          <w:tcPr>
            <w:tcW w:w="698" w:type="pct"/>
            <w:tcBorders>
              <w:top w:val="nil"/>
              <w:left w:val="nil"/>
              <w:bottom w:val="nil"/>
              <w:right w:val="nil"/>
            </w:tcBorders>
            <w:shd w:val="clear" w:color="auto" w:fill="FFFFFF"/>
            <w:tcMar>
              <w:top w:w="55" w:type="dxa"/>
              <w:left w:w="55" w:type="dxa"/>
              <w:bottom w:w="55" w:type="dxa"/>
              <w:right w:w="55" w:type="dxa"/>
            </w:tcMar>
            <w:vAlign w:val="center"/>
          </w:tcPr>
          <w:p w14:paraId="64C6A8E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-0.03</w:t>
            </w:r>
          </w:p>
        </w:tc>
        <w:tc>
          <w:tcPr>
            <w:tcW w:w="857" w:type="pct"/>
            <w:tcBorders>
              <w:top w:val="nil"/>
              <w:left w:val="nil"/>
              <w:bottom w:val="nil"/>
              <w:right w:val="nil"/>
            </w:tcBorders>
            <w:shd w:val="clear" w:color="auto" w:fill="FFFFFF"/>
            <w:tcMar>
              <w:top w:w="55" w:type="dxa"/>
              <w:left w:w="55" w:type="dxa"/>
              <w:bottom w:w="55" w:type="dxa"/>
              <w:right w:w="55" w:type="dxa"/>
            </w:tcMar>
            <w:vAlign w:val="center"/>
          </w:tcPr>
          <w:p w14:paraId="2F8244A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-0.14 to 0.06</w:t>
            </w:r>
          </w:p>
        </w:tc>
        <w:tc>
          <w:tcPr>
            <w:tcW w:w="513" w:type="pct"/>
            <w:tcBorders>
              <w:top w:val="nil"/>
              <w:left w:val="nil"/>
              <w:bottom w:val="nil"/>
              <w:right w:val="nil"/>
            </w:tcBorders>
            <w:shd w:val="clear" w:color="auto" w:fill="FFFFFF"/>
            <w:tcMar>
              <w:top w:w="55" w:type="dxa"/>
              <w:left w:w="55" w:type="dxa"/>
              <w:bottom w:w="55" w:type="dxa"/>
              <w:right w:w="55" w:type="dxa"/>
            </w:tcMar>
            <w:vAlign w:val="center"/>
          </w:tcPr>
          <w:p w14:paraId="047B5FC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0.585</w:t>
            </w:r>
          </w:p>
        </w:tc>
      </w:tr>
      <w:tr w14:paraId="3DC591F8">
        <w:trPr>
          <w:trHeight w:val="193" w:hRule="atLeast"/>
          <w:jc w:val="center"/>
        </w:trPr>
        <w:tc>
          <w:tcPr>
            <w:tcW w:w="1490" w:type="pct"/>
            <w:tcBorders>
              <w:top w:val="nil"/>
              <w:left w:val="nil"/>
              <w:bottom w:val="nil"/>
              <w:right w:val="nil"/>
            </w:tcBorders>
            <w:shd w:val="clear" w:color="auto" w:fill="FFFFFF"/>
            <w:tcMar>
              <w:top w:w="55" w:type="dxa"/>
              <w:left w:w="55" w:type="dxa"/>
              <w:bottom w:w="55" w:type="dxa"/>
              <w:right w:w="55" w:type="dxa"/>
            </w:tcMar>
            <w:vAlign w:val="center"/>
          </w:tcPr>
          <w:p w14:paraId="7696436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Lower IADL limitation</w:t>
            </w:r>
          </w:p>
        </w:tc>
        <w:tc>
          <w:tcPr>
            <w:tcW w:w="1439" w:type="pct"/>
            <w:tcBorders>
              <w:top w:val="nil"/>
              <w:left w:val="nil"/>
              <w:bottom w:val="nil"/>
              <w:right w:val="nil"/>
            </w:tcBorders>
            <w:shd w:val="clear" w:color="auto" w:fill="FFFFFF"/>
            <w:tcMar>
              <w:top w:w="55" w:type="dxa"/>
              <w:left w:w="55" w:type="dxa"/>
              <w:bottom w:w="55" w:type="dxa"/>
              <w:right w:w="55" w:type="dxa"/>
            </w:tcMar>
            <w:vAlign w:val="center"/>
          </w:tcPr>
          <w:p w14:paraId="10698CA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Total effect</w:t>
            </w:r>
          </w:p>
        </w:tc>
        <w:tc>
          <w:tcPr>
            <w:tcW w:w="698" w:type="pct"/>
            <w:tcBorders>
              <w:top w:val="nil"/>
              <w:left w:val="nil"/>
              <w:bottom w:val="nil"/>
              <w:right w:val="nil"/>
            </w:tcBorders>
            <w:shd w:val="clear" w:color="auto" w:fill="FFFFFF"/>
            <w:tcMar>
              <w:top w:w="55" w:type="dxa"/>
              <w:left w:w="55" w:type="dxa"/>
              <w:bottom w:w="55" w:type="dxa"/>
              <w:right w:w="55" w:type="dxa"/>
            </w:tcMar>
            <w:vAlign w:val="center"/>
          </w:tcPr>
          <w:p w14:paraId="5972778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-0.26</w:t>
            </w:r>
          </w:p>
        </w:tc>
        <w:tc>
          <w:tcPr>
            <w:tcW w:w="857" w:type="pct"/>
            <w:tcBorders>
              <w:top w:val="nil"/>
              <w:left w:val="nil"/>
              <w:bottom w:val="nil"/>
              <w:right w:val="nil"/>
            </w:tcBorders>
            <w:shd w:val="clear" w:color="auto" w:fill="FFFFFF"/>
            <w:tcMar>
              <w:top w:w="55" w:type="dxa"/>
              <w:left w:w="55" w:type="dxa"/>
              <w:bottom w:w="55" w:type="dxa"/>
              <w:right w:w="55" w:type="dxa"/>
            </w:tcMar>
            <w:vAlign w:val="center"/>
          </w:tcPr>
          <w:p w14:paraId="7688E34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-0.88 to 0.28</w:t>
            </w:r>
          </w:p>
        </w:tc>
        <w:tc>
          <w:tcPr>
            <w:tcW w:w="513" w:type="pct"/>
            <w:tcBorders>
              <w:top w:val="nil"/>
              <w:left w:val="nil"/>
              <w:bottom w:val="nil"/>
              <w:right w:val="nil"/>
            </w:tcBorders>
            <w:shd w:val="clear" w:color="auto" w:fill="FFFFFF"/>
            <w:tcMar>
              <w:top w:w="55" w:type="dxa"/>
              <w:left w:w="55" w:type="dxa"/>
              <w:bottom w:w="55" w:type="dxa"/>
              <w:right w:w="55" w:type="dxa"/>
            </w:tcMar>
            <w:vAlign w:val="center"/>
          </w:tcPr>
          <w:p w14:paraId="07F868E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0.383</w:t>
            </w:r>
          </w:p>
        </w:tc>
      </w:tr>
      <w:tr w14:paraId="37D7891F">
        <w:trPr>
          <w:trHeight w:val="193" w:hRule="atLeast"/>
          <w:jc w:val="center"/>
        </w:trPr>
        <w:tc>
          <w:tcPr>
            <w:tcW w:w="1490" w:type="pct"/>
            <w:tcBorders>
              <w:top w:val="nil"/>
              <w:left w:val="nil"/>
              <w:bottom w:val="nil"/>
              <w:right w:val="nil"/>
            </w:tcBorders>
            <w:shd w:val="clear" w:color="auto" w:fill="FFFFFF"/>
            <w:tcMar>
              <w:top w:w="55" w:type="dxa"/>
              <w:left w:w="55" w:type="dxa"/>
              <w:bottom w:w="55" w:type="dxa"/>
              <w:right w:w="55" w:type="dxa"/>
            </w:tcMar>
            <w:vAlign w:val="center"/>
          </w:tcPr>
          <w:p w14:paraId="639ACD5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Lower IADL limitation</w:t>
            </w:r>
          </w:p>
        </w:tc>
        <w:tc>
          <w:tcPr>
            <w:tcW w:w="1439" w:type="pct"/>
            <w:tcBorders>
              <w:top w:val="nil"/>
              <w:left w:val="nil"/>
              <w:bottom w:val="nil"/>
              <w:right w:val="nil"/>
            </w:tcBorders>
            <w:shd w:val="clear" w:color="auto" w:fill="FFFFFF"/>
            <w:tcMar>
              <w:top w:w="55" w:type="dxa"/>
              <w:left w:w="55" w:type="dxa"/>
              <w:bottom w:w="55" w:type="dxa"/>
              <w:right w:w="55" w:type="dxa"/>
            </w:tcMar>
            <w:vAlign w:val="center"/>
          </w:tcPr>
          <w:p w14:paraId="201364A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Proportion mediated</w:t>
            </w:r>
          </w:p>
        </w:tc>
        <w:tc>
          <w:tcPr>
            <w:tcW w:w="698" w:type="pct"/>
            <w:tcBorders>
              <w:top w:val="nil"/>
              <w:left w:val="nil"/>
              <w:bottom w:val="nil"/>
              <w:right w:val="nil"/>
            </w:tcBorders>
            <w:shd w:val="clear" w:color="auto" w:fill="FFFFFF"/>
            <w:tcMar>
              <w:top w:w="55" w:type="dxa"/>
              <w:left w:w="55" w:type="dxa"/>
              <w:bottom w:w="55" w:type="dxa"/>
              <w:right w:w="55" w:type="dxa"/>
            </w:tcMar>
            <w:vAlign w:val="center"/>
          </w:tcPr>
          <w:p w14:paraId="088BD78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0.11</w:t>
            </w:r>
          </w:p>
        </w:tc>
        <w:tc>
          <w:tcPr>
            <w:tcW w:w="857" w:type="pct"/>
            <w:tcBorders>
              <w:top w:val="nil"/>
              <w:left w:val="nil"/>
              <w:bottom w:val="nil"/>
              <w:right w:val="nil"/>
            </w:tcBorders>
            <w:shd w:val="clear" w:color="auto" w:fill="FFFFFF"/>
            <w:tcMar>
              <w:top w:w="55" w:type="dxa"/>
              <w:left w:w="55" w:type="dxa"/>
              <w:bottom w:w="55" w:type="dxa"/>
              <w:right w:w="55" w:type="dxa"/>
            </w:tcMar>
            <w:vAlign w:val="center"/>
          </w:tcPr>
          <w:p w14:paraId="6CBF791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-1.24 to 1.18</w:t>
            </w:r>
          </w:p>
        </w:tc>
        <w:tc>
          <w:tcPr>
            <w:tcW w:w="513" w:type="pct"/>
            <w:tcBorders>
              <w:top w:val="nil"/>
              <w:left w:val="nil"/>
              <w:bottom w:val="nil"/>
              <w:right w:val="nil"/>
            </w:tcBorders>
            <w:shd w:val="clear" w:color="auto" w:fill="FFFFFF"/>
            <w:tcMar>
              <w:top w:w="55" w:type="dxa"/>
              <w:left w:w="55" w:type="dxa"/>
              <w:bottom w:w="55" w:type="dxa"/>
              <w:right w:w="55" w:type="dxa"/>
            </w:tcMar>
            <w:vAlign w:val="center"/>
          </w:tcPr>
          <w:p w14:paraId="6BB8BE8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0.986</w:t>
            </w:r>
          </w:p>
        </w:tc>
      </w:tr>
      <w:tr w14:paraId="0770A881">
        <w:trPr>
          <w:trHeight w:val="193" w:hRule="atLeast"/>
          <w:jc w:val="center"/>
        </w:trPr>
        <w:tc>
          <w:tcPr>
            <w:tcW w:w="1490" w:type="pct"/>
            <w:tcBorders>
              <w:top w:val="nil"/>
              <w:left w:val="nil"/>
              <w:bottom w:val="nil"/>
              <w:right w:val="nil"/>
            </w:tcBorders>
            <w:shd w:val="clear" w:color="auto" w:fill="FFFFFF"/>
            <w:tcMar>
              <w:top w:w="55" w:type="dxa"/>
              <w:left w:w="55" w:type="dxa"/>
              <w:bottom w:w="55" w:type="dxa"/>
              <w:right w:w="55" w:type="dxa"/>
            </w:tcMar>
            <w:vAlign w:val="center"/>
          </w:tcPr>
          <w:p w14:paraId="505D7B7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Higher IADL limitation</w:t>
            </w:r>
          </w:p>
        </w:tc>
        <w:tc>
          <w:tcPr>
            <w:tcW w:w="1439" w:type="pct"/>
            <w:tcBorders>
              <w:top w:val="nil"/>
              <w:left w:val="nil"/>
              <w:bottom w:val="nil"/>
              <w:right w:val="nil"/>
            </w:tcBorders>
            <w:shd w:val="clear" w:color="auto" w:fill="FFFFFF"/>
            <w:tcMar>
              <w:top w:w="55" w:type="dxa"/>
              <w:left w:w="55" w:type="dxa"/>
              <w:bottom w:w="55" w:type="dxa"/>
              <w:right w:w="55" w:type="dxa"/>
            </w:tcMar>
            <w:vAlign w:val="center"/>
          </w:tcPr>
          <w:p w14:paraId="0C4B5D4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variability → Grip</w:t>
            </w:r>
          </w:p>
        </w:tc>
        <w:tc>
          <w:tcPr>
            <w:tcW w:w="698" w:type="pct"/>
            <w:tcBorders>
              <w:top w:val="nil"/>
              <w:left w:val="nil"/>
              <w:bottom w:val="nil"/>
              <w:right w:val="nil"/>
            </w:tcBorders>
            <w:shd w:val="clear" w:color="auto" w:fill="FFFFFF"/>
            <w:tcMar>
              <w:top w:w="55" w:type="dxa"/>
              <w:left w:w="55" w:type="dxa"/>
              <w:bottom w:w="55" w:type="dxa"/>
              <w:right w:w="55" w:type="dxa"/>
            </w:tcMar>
            <w:vAlign w:val="center"/>
          </w:tcPr>
          <w:p w14:paraId="6624B17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-7.51</w:t>
            </w:r>
          </w:p>
        </w:tc>
        <w:tc>
          <w:tcPr>
            <w:tcW w:w="857" w:type="pct"/>
            <w:tcBorders>
              <w:top w:val="nil"/>
              <w:left w:val="nil"/>
              <w:bottom w:val="nil"/>
              <w:right w:val="nil"/>
            </w:tcBorders>
            <w:shd w:val="clear" w:color="auto" w:fill="FFFFFF"/>
            <w:tcMar>
              <w:top w:w="55" w:type="dxa"/>
              <w:left w:w="55" w:type="dxa"/>
              <w:bottom w:w="55" w:type="dxa"/>
              <w:right w:w="55" w:type="dxa"/>
            </w:tcMar>
            <w:vAlign w:val="center"/>
          </w:tcPr>
          <w:p w14:paraId="33E294F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-14.25 to -1.96</w:t>
            </w:r>
          </w:p>
        </w:tc>
        <w:tc>
          <w:tcPr>
            <w:tcW w:w="513" w:type="pct"/>
            <w:tcBorders>
              <w:top w:val="nil"/>
              <w:left w:val="nil"/>
              <w:bottom w:val="nil"/>
              <w:right w:val="nil"/>
            </w:tcBorders>
            <w:shd w:val="clear" w:color="auto" w:fill="FFFFFF"/>
            <w:tcMar>
              <w:top w:w="55" w:type="dxa"/>
              <w:left w:w="55" w:type="dxa"/>
              <w:bottom w:w="55" w:type="dxa"/>
              <w:right w:w="55" w:type="dxa"/>
            </w:tcMar>
            <w:vAlign w:val="center"/>
          </w:tcPr>
          <w:p w14:paraId="35FDACB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0.013</w:t>
            </w:r>
          </w:p>
        </w:tc>
      </w:tr>
      <w:tr w14:paraId="3DD1438E">
        <w:trPr>
          <w:trHeight w:val="193" w:hRule="atLeast"/>
          <w:jc w:val="center"/>
        </w:trPr>
        <w:tc>
          <w:tcPr>
            <w:tcW w:w="1490" w:type="pct"/>
            <w:tcBorders>
              <w:top w:val="nil"/>
              <w:left w:val="nil"/>
              <w:bottom w:val="nil"/>
              <w:right w:val="nil"/>
            </w:tcBorders>
            <w:shd w:val="clear" w:color="auto" w:fill="FFFFFF"/>
            <w:tcMar>
              <w:top w:w="55" w:type="dxa"/>
              <w:left w:w="55" w:type="dxa"/>
              <w:bottom w:w="55" w:type="dxa"/>
              <w:right w:w="55" w:type="dxa"/>
            </w:tcMar>
            <w:vAlign w:val="center"/>
          </w:tcPr>
          <w:p w14:paraId="3B0E743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Higher IADL limitation</w:t>
            </w:r>
          </w:p>
        </w:tc>
        <w:tc>
          <w:tcPr>
            <w:tcW w:w="1439" w:type="pct"/>
            <w:tcBorders>
              <w:top w:val="nil"/>
              <w:left w:val="nil"/>
              <w:bottom w:val="nil"/>
              <w:right w:val="nil"/>
            </w:tcBorders>
            <w:shd w:val="clear" w:color="auto" w:fill="FFFFFF"/>
            <w:tcMar>
              <w:top w:w="55" w:type="dxa"/>
              <w:left w:w="55" w:type="dxa"/>
              <w:bottom w:w="55" w:type="dxa"/>
              <w:right w:w="55" w:type="dxa"/>
            </w:tcMar>
            <w:vAlign w:val="center"/>
          </w:tcPr>
          <w:p w14:paraId="52854A8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Direct effect</w:t>
            </w:r>
          </w:p>
        </w:tc>
        <w:tc>
          <w:tcPr>
            <w:tcW w:w="698" w:type="pct"/>
            <w:tcBorders>
              <w:top w:val="nil"/>
              <w:left w:val="nil"/>
              <w:bottom w:val="nil"/>
              <w:right w:val="nil"/>
            </w:tcBorders>
            <w:shd w:val="clear" w:color="auto" w:fill="FFFFFF"/>
            <w:tcMar>
              <w:top w:w="55" w:type="dxa"/>
              <w:left w:w="55" w:type="dxa"/>
              <w:bottom w:w="55" w:type="dxa"/>
              <w:right w:w="55" w:type="dxa"/>
            </w:tcMar>
            <w:vAlign w:val="center"/>
          </w:tcPr>
          <w:p w14:paraId="3798013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w:t>
            </w:r>
          </w:p>
        </w:tc>
        <w:tc>
          <w:tcPr>
            <w:tcW w:w="857" w:type="pct"/>
            <w:tcBorders>
              <w:top w:val="nil"/>
              <w:left w:val="nil"/>
              <w:bottom w:val="nil"/>
              <w:right w:val="nil"/>
            </w:tcBorders>
            <w:shd w:val="clear" w:color="auto" w:fill="FFFFFF"/>
            <w:tcMar>
              <w:top w:w="55" w:type="dxa"/>
              <w:left w:w="55" w:type="dxa"/>
              <w:bottom w:w="55" w:type="dxa"/>
              <w:right w:w="55" w:type="dxa"/>
            </w:tcMar>
            <w:vAlign w:val="center"/>
          </w:tcPr>
          <w:p w14:paraId="1DF9805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-0.42 to 0.41</w:t>
            </w:r>
          </w:p>
        </w:tc>
        <w:tc>
          <w:tcPr>
            <w:tcW w:w="513" w:type="pct"/>
            <w:tcBorders>
              <w:top w:val="nil"/>
              <w:left w:val="nil"/>
              <w:bottom w:val="nil"/>
              <w:right w:val="nil"/>
            </w:tcBorders>
            <w:shd w:val="clear" w:color="auto" w:fill="FFFFFF"/>
            <w:tcMar>
              <w:top w:w="55" w:type="dxa"/>
              <w:left w:w="55" w:type="dxa"/>
              <w:bottom w:w="55" w:type="dxa"/>
              <w:right w:w="55" w:type="dxa"/>
            </w:tcMar>
            <w:vAlign w:val="center"/>
          </w:tcPr>
          <w:p w14:paraId="3FEF24E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0.641</w:t>
            </w:r>
          </w:p>
        </w:tc>
      </w:tr>
      <w:tr w14:paraId="05C48300">
        <w:trPr>
          <w:trHeight w:val="193" w:hRule="atLeast"/>
          <w:jc w:val="center"/>
        </w:trPr>
        <w:tc>
          <w:tcPr>
            <w:tcW w:w="1490" w:type="pct"/>
            <w:tcBorders>
              <w:top w:val="nil"/>
              <w:left w:val="nil"/>
              <w:bottom w:val="nil"/>
              <w:right w:val="nil"/>
            </w:tcBorders>
            <w:shd w:val="clear" w:color="auto" w:fill="FFFFFF"/>
            <w:tcMar>
              <w:top w:w="55" w:type="dxa"/>
              <w:left w:w="55" w:type="dxa"/>
              <w:bottom w:w="55" w:type="dxa"/>
              <w:right w:w="55" w:type="dxa"/>
            </w:tcMar>
            <w:vAlign w:val="center"/>
          </w:tcPr>
          <w:p w14:paraId="77F5BB0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Higher IADL limitation</w:t>
            </w:r>
          </w:p>
        </w:tc>
        <w:tc>
          <w:tcPr>
            <w:tcW w:w="1439" w:type="pct"/>
            <w:tcBorders>
              <w:top w:val="nil"/>
              <w:left w:val="nil"/>
              <w:bottom w:val="nil"/>
              <w:right w:val="nil"/>
            </w:tcBorders>
            <w:shd w:val="clear" w:color="auto" w:fill="FFFFFF"/>
            <w:tcMar>
              <w:top w:w="55" w:type="dxa"/>
              <w:left w:w="55" w:type="dxa"/>
              <w:bottom w:w="55" w:type="dxa"/>
              <w:right w:w="55" w:type="dxa"/>
            </w:tcMar>
            <w:vAlign w:val="center"/>
          </w:tcPr>
          <w:p w14:paraId="1BA1F88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xml:space="preserve">Grip → </w:t>
            </w:r>
            <w:r>
              <w:rPr>
                <w:rFonts w:hint="default" w:ascii="Times New Roman" w:hAnsi="Times New Roman" w:eastAsia="Times New Roman" w:cs="Times New Roman Regular"/>
                <w:b w:val="0"/>
                <w:bCs w:val="0"/>
                <w:color w:val="auto"/>
                <w:sz w:val="16"/>
                <w:szCs w:val="22"/>
                <w:lang w:val="en-US" w:eastAsia="zh-CN"/>
              </w:rPr>
              <w:t>FEV₁</w:t>
            </w:r>
          </w:p>
        </w:tc>
        <w:tc>
          <w:tcPr>
            <w:tcW w:w="698" w:type="pct"/>
            <w:tcBorders>
              <w:top w:val="nil"/>
              <w:left w:val="nil"/>
              <w:bottom w:val="nil"/>
              <w:right w:val="nil"/>
            </w:tcBorders>
            <w:shd w:val="clear" w:color="auto" w:fill="FFFFFF"/>
            <w:tcMar>
              <w:top w:w="55" w:type="dxa"/>
              <w:left w:w="55" w:type="dxa"/>
              <w:bottom w:w="55" w:type="dxa"/>
              <w:right w:w="55" w:type="dxa"/>
            </w:tcMar>
            <w:vAlign w:val="center"/>
          </w:tcPr>
          <w:p w14:paraId="73BD58A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w:t>
            </w:r>
          </w:p>
        </w:tc>
        <w:tc>
          <w:tcPr>
            <w:tcW w:w="857" w:type="pct"/>
            <w:tcBorders>
              <w:top w:val="nil"/>
              <w:left w:val="nil"/>
              <w:bottom w:val="nil"/>
              <w:right w:val="nil"/>
            </w:tcBorders>
            <w:shd w:val="clear" w:color="auto" w:fill="FFFFFF"/>
            <w:tcMar>
              <w:top w:w="55" w:type="dxa"/>
              <w:left w:w="55" w:type="dxa"/>
              <w:bottom w:w="55" w:type="dxa"/>
              <w:right w:w="55" w:type="dxa"/>
            </w:tcMar>
            <w:vAlign w:val="center"/>
          </w:tcPr>
          <w:p w14:paraId="22FA17A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-0.02 to 0.02</w:t>
            </w:r>
          </w:p>
        </w:tc>
        <w:tc>
          <w:tcPr>
            <w:tcW w:w="513" w:type="pct"/>
            <w:tcBorders>
              <w:top w:val="nil"/>
              <w:left w:val="nil"/>
              <w:bottom w:val="nil"/>
              <w:right w:val="nil"/>
            </w:tcBorders>
            <w:shd w:val="clear" w:color="auto" w:fill="FFFFFF"/>
            <w:tcMar>
              <w:top w:w="55" w:type="dxa"/>
              <w:left w:w="55" w:type="dxa"/>
              <w:bottom w:w="55" w:type="dxa"/>
              <w:right w:w="55" w:type="dxa"/>
            </w:tcMar>
            <w:vAlign w:val="center"/>
          </w:tcPr>
          <w:p w14:paraId="13AB21F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0.808</w:t>
            </w:r>
          </w:p>
        </w:tc>
      </w:tr>
      <w:tr w14:paraId="36353EF2">
        <w:trPr>
          <w:trHeight w:val="193" w:hRule="atLeast"/>
          <w:jc w:val="center"/>
        </w:trPr>
        <w:tc>
          <w:tcPr>
            <w:tcW w:w="1490" w:type="pct"/>
            <w:tcBorders>
              <w:top w:val="nil"/>
              <w:left w:val="nil"/>
              <w:bottom w:val="nil"/>
              <w:right w:val="nil"/>
            </w:tcBorders>
            <w:shd w:val="clear" w:color="auto" w:fill="FFFFFF"/>
            <w:tcMar>
              <w:top w:w="55" w:type="dxa"/>
              <w:left w:w="55" w:type="dxa"/>
              <w:bottom w:w="55" w:type="dxa"/>
              <w:right w:w="55" w:type="dxa"/>
            </w:tcMar>
            <w:vAlign w:val="center"/>
          </w:tcPr>
          <w:p w14:paraId="4417639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Higher IADL limitation</w:t>
            </w:r>
          </w:p>
        </w:tc>
        <w:tc>
          <w:tcPr>
            <w:tcW w:w="1439" w:type="pct"/>
            <w:tcBorders>
              <w:top w:val="nil"/>
              <w:left w:val="nil"/>
              <w:bottom w:val="nil"/>
              <w:right w:val="nil"/>
            </w:tcBorders>
            <w:shd w:val="clear" w:color="auto" w:fill="FFFFFF"/>
            <w:tcMar>
              <w:top w:w="55" w:type="dxa"/>
              <w:left w:w="55" w:type="dxa"/>
              <w:bottom w:w="55" w:type="dxa"/>
              <w:right w:w="55" w:type="dxa"/>
            </w:tcMar>
            <w:vAlign w:val="center"/>
          </w:tcPr>
          <w:p w14:paraId="57E7755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Indirect effect</w:t>
            </w:r>
          </w:p>
        </w:tc>
        <w:tc>
          <w:tcPr>
            <w:tcW w:w="698" w:type="pct"/>
            <w:tcBorders>
              <w:top w:val="nil"/>
              <w:left w:val="nil"/>
              <w:bottom w:val="nil"/>
              <w:right w:val="nil"/>
            </w:tcBorders>
            <w:shd w:val="clear" w:color="auto" w:fill="FFFFFF"/>
            <w:tcMar>
              <w:top w:w="55" w:type="dxa"/>
              <w:left w:w="55" w:type="dxa"/>
              <w:bottom w:w="55" w:type="dxa"/>
              <w:right w:w="55" w:type="dxa"/>
            </w:tcMar>
            <w:vAlign w:val="center"/>
          </w:tcPr>
          <w:p w14:paraId="6EB1B10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-0.02</w:t>
            </w:r>
          </w:p>
        </w:tc>
        <w:tc>
          <w:tcPr>
            <w:tcW w:w="857" w:type="pct"/>
            <w:tcBorders>
              <w:top w:val="nil"/>
              <w:left w:val="nil"/>
              <w:bottom w:val="nil"/>
              <w:right w:val="nil"/>
            </w:tcBorders>
            <w:shd w:val="clear" w:color="auto" w:fill="FFFFFF"/>
            <w:tcMar>
              <w:top w:w="55" w:type="dxa"/>
              <w:left w:w="55" w:type="dxa"/>
              <w:bottom w:w="55" w:type="dxa"/>
              <w:right w:w="55" w:type="dxa"/>
            </w:tcMar>
            <w:vAlign w:val="center"/>
          </w:tcPr>
          <w:p w14:paraId="6ED540B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-0.17 to 0.14</w:t>
            </w:r>
          </w:p>
        </w:tc>
        <w:tc>
          <w:tcPr>
            <w:tcW w:w="513" w:type="pct"/>
            <w:tcBorders>
              <w:top w:val="nil"/>
              <w:left w:val="nil"/>
              <w:bottom w:val="nil"/>
              <w:right w:val="nil"/>
            </w:tcBorders>
            <w:shd w:val="clear" w:color="auto" w:fill="FFFFFF"/>
            <w:tcMar>
              <w:top w:w="55" w:type="dxa"/>
              <w:left w:w="55" w:type="dxa"/>
              <w:bottom w:w="55" w:type="dxa"/>
              <w:right w:w="55" w:type="dxa"/>
            </w:tcMar>
            <w:vAlign w:val="center"/>
          </w:tcPr>
          <w:p w14:paraId="0BFFC67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0.821</w:t>
            </w:r>
          </w:p>
        </w:tc>
      </w:tr>
      <w:tr w14:paraId="1E35A428">
        <w:trPr>
          <w:trHeight w:val="193" w:hRule="atLeast"/>
          <w:jc w:val="center"/>
        </w:trPr>
        <w:tc>
          <w:tcPr>
            <w:tcW w:w="1490" w:type="pct"/>
            <w:tcBorders>
              <w:top w:val="nil"/>
              <w:left w:val="nil"/>
              <w:bottom w:val="nil"/>
              <w:right w:val="nil"/>
            </w:tcBorders>
            <w:shd w:val="clear" w:color="auto" w:fill="FFFFFF"/>
            <w:tcMar>
              <w:top w:w="55" w:type="dxa"/>
              <w:left w:w="55" w:type="dxa"/>
              <w:bottom w:w="55" w:type="dxa"/>
              <w:right w:w="55" w:type="dxa"/>
            </w:tcMar>
            <w:vAlign w:val="center"/>
          </w:tcPr>
          <w:p w14:paraId="682B9BB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Higher IADL limitation</w:t>
            </w:r>
          </w:p>
        </w:tc>
        <w:tc>
          <w:tcPr>
            <w:tcW w:w="1439" w:type="pct"/>
            <w:tcBorders>
              <w:top w:val="nil"/>
              <w:left w:val="nil"/>
              <w:bottom w:val="nil"/>
              <w:right w:val="nil"/>
            </w:tcBorders>
            <w:shd w:val="clear" w:color="auto" w:fill="FFFFFF"/>
            <w:tcMar>
              <w:top w:w="55" w:type="dxa"/>
              <w:left w:w="55" w:type="dxa"/>
              <w:bottom w:w="55" w:type="dxa"/>
              <w:right w:w="55" w:type="dxa"/>
            </w:tcMar>
            <w:vAlign w:val="center"/>
          </w:tcPr>
          <w:p w14:paraId="4B7FD56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Total effect</w:t>
            </w:r>
          </w:p>
        </w:tc>
        <w:tc>
          <w:tcPr>
            <w:tcW w:w="698" w:type="pct"/>
            <w:tcBorders>
              <w:top w:val="nil"/>
              <w:left w:val="nil"/>
              <w:bottom w:val="nil"/>
              <w:right w:val="nil"/>
            </w:tcBorders>
            <w:shd w:val="clear" w:color="auto" w:fill="FFFFFF"/>
            <w:tcMar>
              <w:top w:w="55" w:type="dxa"/>
              <w:left w:w="55" w:type="dxa"/>
              <w:bottom w:w="55" w:type="dxa"/>
              <w:right w:w="55" w:type="dxa"/>
            </w:tcMar>
            <w:vAlign w:val="center"/>
          </w:tcPr>
          <w:p w14:paraId="349507B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0.08</w:t>
            </w:r>
          </w:p>
        </w:tc>
        <w:tc>
          <w:tcPr>
            <w:tcW w:w="857" w:type="pct"/>
            <w:tcBorders>
              <w:top w:val="nil"/>
              <w:left w:val="nil"/>
              <w:bottom w:val="nil"/>
              <w:right w:val="nil"/>
            </w:tcBorders>
            <w:shd w:val="clear" w:color="auto" w:fill="FFFFFF"/>
            <w:tcMar>
              <w:top w:w="55" w:type="dxa"/>
              <w:left w:w="55" w:type="dxa"/>
              <w:bottom w:w="55" w:type="dxa"/>
              <w:right w:w="55" w:type="dxa"/>
            </w:tcMar>
            <w:vAlign w:val="center"/>
          </w:tcPr>
          <w:p w14:paraId="305ABC2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-0.36 to 0.39</w:t>
            </w:r>
          </w:p>
        </w:tc>
        <w:tc>
          <w:tcPr>
            <w:tcW w:w="513" w:type="pct"/>
            <w:tcBorders>
              <w:top w:val="nil"/>
              <w:left w:val="nil"/>
              <w:bottom w:val="nil"/>
              <w:right w:val="nil"/>
            </w:tcBorders>
            <w:shd w:val="clear" w:color="auto" w:fill="FFFFFF"/>
            <w:tcMar>
              <w:top w:w="55" w:type="dxa"/>
              <w:left w:w="55" w:type="dxa"/>
              <w:bottom w:w="55" w:type="dxa"/>
              <w:right w:w="55" w:type="dxa"/>
            </w:tcMar>
            <w:vAlign w:val="center"/>
          </w:tcPr>
          <w:p w14:paraId="56E8ABD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0.673</w:t>
            </w:r>
          </w:p>
        </w:tc>
      </w:tr>
      <w:tr w14:paraId="285FCBCF">
        <w:trPr>
          <w:trHeight w:val="193" w:hRule="atLeast"/>
          <w:jc w:val="center"/>
        </w:trPr>
        <w:tc>
          <w:tcPr>
            <w:tcW w:w="149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70C738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Higher IADL limitation</w:t>
            </w:r>
          </w:p>
        </w:tc>
        <w:tc>
          <w:tcPr>
            <w:tcW w:w="143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1A6F8D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Proportion mediated</w:t>
            </w:r>
          </w:p>
        </w:tc>
        <w:tc>
          <w:tcPr>
            <w:tcW w:w="698"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456362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-0.22</w:t>
            </w:r>
          </w:p>
        </w:tc>
        <w:tc>
          <w:tcPr>
            <w:tcW w:w="85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C5C04E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-5.35 to 4.72</w:t>
            </w:r>
          </w:p>
        </w:tc>
        <w:tc>
          <w:tcPr>
            <w:tcW w:w="513"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F65087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0.981</w:t>
            </w:r>
          </w:p>
        </w:tc>
      </w:tr>
    </w:tbl>
    <w:p w14:paraId="6046EAE1">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r>
        <w:rPr>
          <w:rFonts w:hint="default" w:ascii="Times New Roman" w:hAnsi="Times New Roman" w:eastAsia="Times New Roman" w:cs="Times New Roman Regular"/>
          <w:b/>
          <w:bCs/>
          <w:color w:val="auto"/>
          <w:sz w:val="20"/>
          <w:szCs w:val="22"/>
          <w:lang w:val="en-US" w:eastAsia="zh-CN"/>
        </w:rPr>
        <w:br w:type="textWrapping"/>
      </w:r>
      <w:r>
        <w:rPr>
          <w:rFonts w:hint="default" w:ascii="Times New Roman" w:hAnsi="Times New Roman" w:eastAsia="Times New Roman" w:cs="Times New Roman Regular"/>
          <w:b w:val="0"/>
          <w:bCs w:val="0"/>
          <w:color w:val="auto"/>
          <w:sz w:val="20"/>
          <w:szCs w:val="22"/>
          <w:lang w:val="en-US" w:eastAsia="zh-CN"/>
        </w:rPr>
        <w:t>Path estimates, 95% confidence intervals (CIs), and P values are shown from structural equation models examining the relationships among ferritin coefficient of variation (CV), grip strength, and forced expiratory volume in 1 second (FEV₁) across subgroups defined by activities of daily living (ADL) and instrumental activities of daily living (IADL) limitation status. Models were fitted separately within the prespecified ADL and IADL limitation groups and were adjusted for age, sex, smoking status, body mass index (BMI), log-transformed C-reactive protein (CRP), and hemoglobin (Hb), as applicable. Reported estimates include the ferritin CV→grip path, the grip→FEV₁ path, and the corresponding direct, indirect, and total effects. These analyses were used to explore whether the joint pattern linking ferritin CV, muscle strength, and lung function was directionally consistent across functional-status subgroups.</w:t>
      </w:r>
    </w:p>
    <w:p w14:paraId="0D57A72C">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B10DF3D">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CD48DE7">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A903D0D">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3D92E68">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E581F27">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C093D73">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2029A58">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4F20600">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A445DF2">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5382D9F">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46EDCA5">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A92A30D">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37EAA59">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D2A61F1">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7AE4754">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6F81B1D">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C4B4A31">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D32F60B">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7C748E0">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CE7E8EB">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2F6346DD">
      <w:pPr>
        <w:pStyle w:val="2"/>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Supplementary Table S18. Iron–muscle phenotype groups and mean FEV₁</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222"/>
        <w:gridCol w:w="5144"/>
      </w:tblGrid>
      <w:tr w14:paraId="2A129B6B">
        <w:trPr>
          <w:trHeight w:val="193" w:hRule="atLeast"/>
          <w:tblHeader/>
          <w:jc w:val="center"/>
        </w:trPr>
        <w:tc>
          <w:tcPr>
            <w:tcW w:w="320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EB4313E">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Iron–muscle phenotype group</w:t>
            </w:r>
          </w:p>
        </w:tc>
        <w:tc>
          <w:tcPr>
            <w:tcW w:w="179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D51642E">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 xml:space="preserve">Mean </w:t>
            </w:r>
            <w:r>
              <w:rPr>
                <w:rFonts w:hint="default" w:ascii="Times New Roman" w:hAnsi="Times New Roman" w:eastAsia="Times New Roman" w:cs="Times New Roman Regular"/>
                <w:b/>
                <w:bCs w:val="0"/>
                <w:color w:val="auto"/>
                <w:sz w:val="17"/>
                <w:szCs w:val="22"/>
                <w:lang w:val="en-US" w:eastAsia="zh-CN"/>
              </w:rPr>
              <w:t>FEV₁</w:t>
            </w:r>
          </w:p>
        </w:tc>
      </w:tr>
      <w:tr w14:paraId="602332E6">
        <w:trPr>
          <w:trHeight w:val="193" w:hRule="atLeast"/>
          <w:jc w:val="center"/>
        </w:trPr>
        <w:tc>
          <w:tcPr>
            <w:tcW w:w="320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12CF6D1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Low instability + Strong grip</w:t>
            </w:r>
          </w:p>
        </w:tc>
        <w:tc>
          <w:tcPr>
            <w:tcW w:w="179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A8F114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2.1</w:t>
            </w:r>
          </w:p>
        </w:tc>
      </w:tr>
      <w:tr w14:paraId="5BD941CB">
        <w:trPr>
          <w:trHeight w:val="193" w:hRule="atLeast"/>
          <w:jc w:val="center"/>
        </w:trPr>
        <w:tc>
          <w:tcPr>
            <w:tcW w:w="3209" w:type="pct"/>
            <w:tcBorders>
              <w:top w:val="nil"/>
              <w:left w:val="nil"/>
              <w:bottom w:val="nil"/>
              <w:right w:val="nil"/>
            </w:tcBorders>
            <w:shd w:val="clear" w:color="auto" w:fill="FFFFFF"/>
            <w:tcMar>
              <w:top w:w="55" w:type="dxa"/>
              <w:left w:w="55" w:type="dxa"/>
              <w:bottom w:w="55" w:type="dxa"/>
              <w:right w:w="55" w:type="dxa"/>
            </w:tcMar>
            <w:vAlign w:val="center"/>
          </w:tcPr>
          <w:p w14:paraId="2C80599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High instability + Strong grip</w:t>
            </w:r>
          </w:p>
        </w:tc>
        <w:tc>
          <w:tcPr>
            <w:tcW w:w="1790" w:type="pct"/>
            <w:tcBorders>
              <w:top w:val="nil"/>
              <w:left w:val="nil"/>
              <w:bottom w:val="nil"/>
              <w:right w:val="nil"/>
            </w:tcBorders>
            <w:shd w:val="clear" w:color="auto" w:fill="FFFFFF"/>
            <w:tcMar>
              <w:top w:w="55" w:type="dxa"/>
              <w:left w:w="55" w:type="dxa"/>
              <w:bottom w:w="55" w:type="dxa"/>
              <w:right w:w="55" w:type="dxa"/>
            </w:tcMar>
            <w:vAlign w:val="center"/>
          </w:tcPr>
          <w:p w14:paraId="1C2F645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1.97</w:t>
            </w:r>
          </w:p>
        </w:tc>
      </w:tr>
      <w:tr w14:paraId="6539C495">
        <w:trPr>
          <w:trHeight w:val="193" w:hRule="atLeast"/>
          <w:jc w:val="center"/>
        </w:trPr>
        <w:tc>
          <w:tcPr>
            <w:tcW w:w="3209" w:type="pct"/>
            <w:tcBorders>
              <w:top w:val="nil"/>
              <w:left w:val="nil"/>
              <w:bottom w:val="nil"/>
              <w:right w:val="nil"/>
            </w:tcBorders>
            <w:shd w:val="clear" w:color="auto" w:fill="FFFFFF"/>
            <w:tcMar>
              <w:top w:w="55" w:type="dxa"/>
              <w:left w:w="55" w:type="dxa"/>
              <w:bottom w:w="55" w:type="dxa"/>
              <w:right w:w="55" w:type="dxa"/>
            </w:tcMar>
            <w:vAlign w:val="center"/>
          </w:tcPr>
          <w:p w14:paraId="34749FE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Low instability + Weak grip</w:t>
            </w:r>
          </w:p>
        </w:tc>
        <w:tc>
          <w:tcPr>
            <w:tcW w:w="1790" w:type="pct"/>
            <w:tcBorders>
              <w:top w:val="nil"/>
              <w:left w:val="nil"/>
              <w:bottom w:val="nil"/>
              <w:right w:val="nil"/>
            </w:tcBorders>
            <w:shd w:val="clear" w:color="auto" w:fill="FFFFFF"/>
            <w:tcMar>
              <w:top w:w="55" w:type="dxa"/>
              <w:left w:w="55" w:type="dxa"/>
              <w:bottom w:w="55" w:type="dxa"/>
              <w:right w:w="55" w:type="dxa"/>
            </w:tcMar>
            <w:vAlign w:val="center"/>
          </w:tcPr>
          <w:p w14:paraId="350C24C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1.74</w:t>
            </w:r>
          </w:p>
        </w:tc>
      </w:tr>
      <w:tr w14:paraId="7CB87B26">
        <w:trPr>
          <w:trHeight w:val="193" w:hRule="atLeast"/>
          <w:jc w:val="center"/>
        </w:trPr>
        <w:tc>
          <w:tcPr>
            <w:tcW w:w="320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2BFA3E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High instability + Weak grip</w:t>
            </w:r>
          </w:p>
        </w:tc>
        <w:tc>
          <w:tcPr>
            <w:tcW w:w="179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B89150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1.47</w:t>
            </w:r>
          </w:p>
        </w:tc>
      </w:tr>
    </w:tbl>
    <w:p w14:paraId="3F7C7C8B">
      <w:pPr>
        <w:keepNext/>
        <w:spacing w:before="0" w:after="4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p>
    <w:p w14:paraId="65D9A744">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val="0"/>
          <w:bCs w:val="0"/>
          <w:color w:val="auto"/>
          <w:sz w:val="20"/>
          <w:szCs w:val="22"/>
          <w:lang w:val="en-US" w:eastAsia="zh-CN"/>
        </w:rPr>
        <w:t>Mean forced expiratory volume in 1 second (FEV₁) and related descriptive characteristics are shown across four iron–muscle phenotype groups defined by ferritin coefficient of variation (CV) and mean grip strength. The phenotype groups were constructed by combining lower versus higher ferritin CV with stronger versus weaker grip strength. This table was used to compare the overall lung function pattern across joint phenotype groups and to describe whether the combination of higher ferritin instability and weaker muscle strength was associated with less favorable FEV₁.</w:t>
      </w:r>
    </w:p>
    <w:p w14:paraId="0D3E8B27">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2985FC3">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B1996BE">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F331763">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419CC28">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0943085">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475BD54">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002E912">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F4758E9">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18EB6B3">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A3E30A3">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0E55FC5">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DF23329">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1B3313F">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487E36C">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56FB522F">
      <w:pPr>
        <w:pStyle w:val="2"/>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Supplementary Table S19. Structural equation model of ferritin CV, grip strength, and FEV₁</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32"/>
        <w:gridCol w:w="4760"/>
        <w:gridCol w:w="2788"/>
        <w:gridCol w:w="2486"/>
      </w:tblGrid>
      <w:tr w14:paraId="70A2574E">
        <w:trPr>
          <w:trHeight w:val="193" w:hRule="atLeast"/>
          <w:tblHeader/>
          <w:jc w:val="center"/>
        </w:trPr>
        <w:tc>
          <w:tcPr>
            <w:tcW w:w="1507"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37EEC620">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Path</w:t>
            </w:r>
          </w:p>
        </w:tc>
        <w:tc>
          <w:tcPr>
            <w:tcW w:w="1656"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C1D67EC">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Estimate</w:t>
            </w:r>
          </w:p>
        </w:tc>
        <w:tc>
          <w:tcPr>
            <w:tcW w:w="97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65D36F08">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95% CI</w:t>
            </w:r>
          </w:p>
        </w:tc>
        <w:tc>
          <w:tcPr>
            <w:tcW w:w="865"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3DBE4219">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6755572C">
        <w:trPr>
          <w:trHeight w:val="193" w:hRule="atLeast"/>
          <w:jc w:val="center"/>
        </w:trPr>
        <w:tc>
          <w:tcPr>
            <w:tcW w:w="1507"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1A8E5309">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 Grip</w:t>
            </w:r>
          </w:p>
        </w:tc>
        <w:tc>
          <w:tcPr>
            <w:tcW w:w="1656"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69331EB9">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-5.27</w:t>
            </w:r>
          </w:p>
        </w:tc>
        <w:tc>
          <w:tcPr>
            <w:tcW w:w="97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2E9CF0FF">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-8.97 to -1.40</w:t>
            </w:r>
          </w:p>
        </w:tc>
        <w:tc>
          <w:tcPr>
            <w:tcW w:w="865"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60A12BD0">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0.005</w:t>
            </w:r>
          </w:p>
        </w:tc>
      </w:tr>
      <w:tr w14:paraId="3DAC5B82">
        <w:trPr>
          <w:trHeight w:val="193" w:hRule="atLeast"/>
          <w:jc w:val="center"/>
        </w:trPr>
        <w:tc>
          <w:tcPr>
            <w:tcW w:w="1507" w:type="pct"/>
            <w:tcBorders>
              <w:top w:val="nil"/>
              <w:left w:val="nil"/>
              <w:bottom w:val="nil"/>
              <w:right w:val="nil"/>
            </w:tcBorders>
            <w:shd w:val="clear" w:color="auto" w:fill="FFFFFF"/>
            <w:tcMar>
              <w:top w:w="55" w:type="dxa"/>
              <w:left w:w="55" w:type="dxa"/>
              <w:bottom w:w="55" w:type="dxa"/>
              <w:right w:w="55" w:type="dxa"/>
            </w:tcMar>
            <w:vAlign w:val="center"/>
          </w:tcPr>
          <w:p w14:paraId="1E471492">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Direct effect</w:t>
            </w:r>
          </w:p>
        </w:tc>
        <w:tc>
          <w:tcPr>
            <w:tcW w:w="1656" w:type="pct"/>
            <w:tcBorders>
              <w:top w:val="nil"/>
              <w:left w:val="nil"/>
              <w:bottom w:val="nil"/>
              <w:right w:val="nil"/>
            </w:tcBorders>
            <w:shd w:val="clear" w:color="auto" w:fill="FFFFFF"/>
            <w:tcMar>
              <w:top w:w="55" w:type="dxa"/>
              <w:left w:w="55" w:type="dxa"/>
              <w:bottom w:w="55" w:type="dxa"/>
              <w:right w:w="55" w:type="dxa"/>
            </w:tcMar>
            <w:vAlign w:val="center"/>
          </w:tcPr>
          <w:p w14:paraId="6A6D259C">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-0.09</w:t>
            </w:r>
          </w:p>
        </w:tc>
        <w:tc>
          <w:tcPr>
            <w:tcW w:w="970" w:type="pct"/>
            <w:tcBorders>
              <w:top w:val="nil"/>
              <w:left w:val="nil"/>
              <w:bottom w:val="nil"/>
              <w:right w:val="nil"/>
            </w:tcBorders>
            <w:shd w:val="clear" w:color="auto" w:fill="FFFFFF"/>
            <w:tcMar>
              <w:top w:w="55" w:type="dxa"/>
              <w:left w:w="55" w:type="dxa"/>
              <w:bottom w:w="55" w:type="dxa"/>
              <w:right w:w="55" w:type="dxa"/>
            </w:tcMar>
            <w:vAlign w:val="center"/>
          </w:tcPr>
          <w:p w14:paraId="2E8853BB">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-0.44 to 0.21</w:t>
            </w:r>
          </w:p>
        </w:tc>
        <w:tc>
          <w:tcPr>
            <w:tcW w:w="865" w:type="pct"/>
            <w:tcBorders>
              <w:top w:val="nil"/>
              <w:left w:val="nil"/>
              <w:bottom w:val="nil"/>
              <w:right w:val="nil"/>
            </w:tcBorders>
            <w:shd w:val="clear" w:color="auto" w:fill="FFFFFF"/>
            <w:tcMar>
              <w:top w:w="55" w:type="dxa"/>
              <w:left w:w="55" w:type="dxa"/>
              <w:bottom w:w="55" w:type="dxa"/>
              <w:right w:w="55" w:type="dxa"/>
            </w:tcMar>
            <w:vAlign w:val="center"/>
          </w:tcPr>
          <w:p w14:paraId="6CDBF50C">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0.568</w:t>
            </w:r>
          </w:p>
        </w:tc>
      </w:tr>
      <w:tr w14:paraId="74F9A9F4">
        <w:trPr>
          <w:trHeight w:val="193" w:hRule="atLeast"/>
          <w:jc w:val="center"/>
        </w:trPr>
        <w:tc>
          <w:tcPr>
            <w:tcW w:w="1507" w:type="pct"/>
            <w:tcBorders>
              <w:top w:val="nil"/>
              <w:left w:val="nil"/>
              <w:bottom w:val="nil"/>
              <w:right w:val="nil"/>
            </w:tcBorders>
            <w:shd w:val="clear" w:color="auto" w:fill="FFFFFF"/>
            <w:tcMar>
              <w:top w:w="55" w:type="dxa"/>
              <w:left w:w="55" w:type="dxa"/>
              <w:bottom w:w="55" w:type="dxa"/>
              <w:right w:w="55" w:type="dxa"/>
            </w:tcMar>
            <w:vAlign w:val="center"/>
          </w:tcPr>
          <w:p w14:paraId="58DFDA84">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Grip → </w:t>
            </w:r>
            <w:r>
              <w:rPr>
                <w:rFonts w:hint="default" w:ascii="Times New Roman" w:hAnsi="Times New Roman" w:eastAsia="Times New Roman" w:cs="Times New Roman Regular"/>
                <w:b w:val="0"/>
                <w:bCs w:val="0"/>
                <w:color w:val="auto"/>
                <w:sz w:val="17"/>
                <w:szCs w:val="22"/>
                <w:lang w:val="en-US" w:eastAsia="zh-CN"/>
              </w:rPr>
              <w:t>FEV₁</w:t>
            </w:r>
          </w:p>
        </w:tc>
        <w:tc>
          <w:tcPr>
            <w:tcW w:w="1656" w:type="pct"/>
            <w:tcBorders>
              <w:top w:val="nil"/>
              <w:left w:val="nil"/>
              <w:bottom w:val="nil"/>
              <w:right w:val="nil"/>
            </w:tcBorders>
            <w:shd w:val="clear" w:color="auto" w:fill="FFFFFF"/>
            <w:tcMar>
              <w:top w:w="55" w:type="dxa"/>
              <w:left w:w="55" w:type="dxa"/>
              <w:bottom w:w="55" w:type="dxa"/>
              <w:right w:w="55" w:type="dxa"/>
            </w:tcMar>
            <w:vAlign w:val="center"/>
          </w:tcPr>
          <w:p w14:paraId="168A4922">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0.01</w:t>
            </w:r>
          </w:p>
        </w:tc>
        <w:tc>
          <w:tcPr>
            <w:tcW w:w="970" w:type="pct"/>
            <w:tcBorders>
              <w:top w:val="nil"/>
              <w:left w:val="nil"/>
              <w:bottom w:val="nil"/>
              <w:right w:val="nil"/>
            </w:tcBorders>
            <w:shd w:val="clear" w:color="auto" w:fill="FFFFFF"/>
            <w:tcMar>
              <w:top w:w="55" w:type="dxa"/>
              <w:left w:w="55" w:type="dxa"/>
              <w:bottom w:w="55" w:type="dxa"/>
              <w:right w:w="55" w:type="dxa"/>
            </w:tcMar>
            <w:vAlign w:val="center"/>
          </w:tcPr>
          <w:p w14:paraId="6550AE35">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-0.00 to 0.03</w:t>
            </w:r>
          </w:p>
        </w:tc>
        <w:tc>
          <w:tcPr>
            <w:tcW w:w="865" w:type="pct"/>
            <w:tcBorders>
              <w:top w:val="nil"/>
              <w:left w:val="nil"/>
              <w:bottom w:val="nil"/>
              <w:right w:val="nil"/>
            </w:tcBorders>
            <w:shd w:val="clear" w:color="auto" w:fill="FFFFFF"/>
            <w:tcMar>
              <w:top w:w="55" w:type="dxa"/>
              <w:left w:w="55" w:type="dxa"/>
              <w:bottom w:w="55" w:type="dxa"/>
              <w:right w:w="55" w:type="dxa"/>
            </w:tcMar>
            <w:vAlign w:val="center"/>
          </w:tcPr>
          <w:p w14:paraId="20D6C0A8">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0.155</w:t>
            </w:r>
          </w:p>
        </w:tc>
      </w:tr>
      <w:tr w14:paraId="58876D7E">
        <w:trPr>
          <w:trHeight w:val="193" w:hRule="atLeast"/>
          <w:jc w:val="center"/>
        </w:trPr>
        <w:tc>
          <w:tcPr>
            <w:tcW w:w="1507" w:type="pct"/>
            <w:tcBorders>
              <w:top w:val="nil"/>
              <w:left w:val="nil"/>
              <w:bottom w:val="nil"/>
              <w:right w:val="nil"/>
            </w:tcBorders>
            <w:shd w:val="clear" w:color="auto" w:fill="FFFFFF"/>
            <w:tcMar>
              <w:top w:w="55" w:type="dxa"/>
              <w:left w:w="55" w:type="dxa"/>
              <w:bottom w:w="55" w:type="dxa"/>
              <w:right w:w="55" w:type="dxa"/>
            </w:tcMar>
            <w:vAlign w:val="center"/>
          </w:tcPr>
          <w:p w14:paraId="475AED0A">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Indirect effect</w:t>
            </w:r>
          </w:p>
        </w:tc>
        <w:tc>
          <w:tcPr>
            <w:tcW w:w="1656" w:type="pct"/>
            <w:tcBorders>
              <w:top w:val="nil"/>
              <w:left w:val="nil"/>
              <w:bottom w:val="nil"/>
              <w:right w:val="nil"/>
            </w:tcBorders>
            <w:shd w:val="clear" w:color="auto" w:fill="FFFFFF"/>
            <w:tcMar>
              <w:top w:w="55" w:type="dxa"/>
              <w:left w:w="55" w:type="dxa"/>
              <w:bottom w:w="55" w:type="dxa"/>
              <w:right w:w="55" w:type="dxa"/>
            </w:tcMar>
            <w:vAlign w:val="center"/>
          </w:tcPr>
          <w:p w14:paraId="6EE1493B">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-0.06</w:t>
            </w:r>
          </w:p>
        </w:tc>
        <w:tc>
          <w:tcPr>
            <w:tcW w:w="970" w:type="pct"/>
            <w:tcBorders>
              <w:top w:val="nil"/>
              <w:left w:val="nil"/>
              <w:bottom w:val="nil"/>
              <w:right w:val="nil"/>
            </w:tcBorders>
            <w:shd w:val="clear" w:color="auto" w:fill="FFFFFF"/>
            <w:tcMar>
              <w:top w:w="55" w:type="dxa"/>
              <w:left w:w="55" w:type="dxa"/>
              <w:bottom w:w="55" w:type="dxa"/>
              <w:right w:w="55" w:type="dxa"/>
            </w:tcMar>
            <w:vAlign w:val="center"/>
          </w:tcPr>
          <w:p w14:paraId="73C1BECE">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-0.17 to 0.02</w:t>
            </w:r>
          </w:p>
        </w:tc>
        <w:tc>
          <w:tcPr>
            <w:tcW w:w="865" w:type="pct"/>
            <w:tcBorders>
              <w:top w:val="nil"/>
              <w:left w:val="nil"/>
              <w:bottom w:val="nil"/>
              <w:right w:val="nil"/>
            </w:tcBorders>
            <w:shd w:val="clear" w:color="auto" w:fill="FFFFFF"/>
            <w:tcMar>
              <w:top w:w="55" w:type="dxa"/>
              <w:left w:w="55" w:type="dxa"/>
              <w:bottom w:w="55" w:type="dxa"/>
              <w:right w:w="55" w:type="dxa"/>
            </w:tcMar>
            <w:vAlign w:val="center"/>
          </w:tcPr>
          <w:p w14:paraId="24E1A2C9">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0.225</w:t>
            </w:r>
          </w:p>
        </w:tc>
      </w:tr>
      <w:tr w14:paraId="07A4A17D">
        <w:trPr>
          <w:trHeight w:val="193" w:hRule="atLeast"/>
          <w:jc w:val="center"/>
        </w:trPr>
        <w:tc>
          <w:tcPr>
            <w:tcW w:w="1507" w:type="pct"/>
            <w:tcBorders>
              <w:top w:val="nil"/>
              <w:left w:val="nil"/>
              <w:bottom w:val="nil"/>
              <w:right w:val="nil"/>
            </w:tcBorders>
            <w:shd w:val="clear" w:color="auto" w:fill="FFFFFF"/>
            <w:tcMar>
              <w:top w:w="55" w:type="dxa"/>
              <w:left w:w="55" w:type="dxa"/>
              <w:bottom w:w="55" w:type="dxa"/>
              <w:right w:w="55" w:type="dxa"/>
            </w:tcMar>
            <w:vAlign w:val="center"/>
          </w:tcPr>
          <w:p w14:paraId="0721ABDA">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Total effect</w:t>
            </w:r>
          </w:p>
        </w:tc>
        <w:tc>
          <w:tcPr>
            <w:tcW w:w="1656" w:type="pct"/>
            <w:tcBorders>
              <w:top w:val="nil"/>
              <w:left w:val="nil"/>
              <w:bottom w:val="nil"/>
              <w:right w:val="nil"/>
            </w:tcBorders>
            <w:shd w:val="clear" w:color="auto" w:fill="FFFFFF"/>
            <w:tcMar>
              <w:top w:w="55" w:type="dxa"/>
              <w:left w:w="55" w:type="dxa"/>
              <w:bottom w:w="55" w:type="dxa"/>
              <w:right w:w="55" w:type="dxa"/>
            </w:tcMar>
            <w:vAlign w:val="center"/>
          </w:tcPr>
          <w:p w14:paraId="4F9080B5">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-0.15</w:t>
            </w:r>
          </w:p>
        </w:tc>
        <w:tc>
          <w:tcPr>
            <w:tcW w:w="970" w:type="pct"/>
            <w:tcBorders>
              <w:top w:val="nil"/>
              <w:left w:val="nil"/>
              <w:bottom w:val="nil"/>
              <w:right w:val="nil"/>
            </w:tcBorders>
            <w:shd w:val="clear" w:color="auto" w:fill="FFFFFF"/>
            <w:tcMar>
              <w:top w:w="55" w:type="dxa"/>
              <w:left w:w="55" w:type="dxa"/>
              <w:bottom w:w="55" w:type="dxa"/>
              <w:right w:w="55" w:type="dxa"/>
            </w:tcMar>
            <w:vAlign w:val="center"/>
          </w:tcPr>
          <w:p w14:paraId="076BCCC8">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-0.47 to 0.14</w:t>
            </w:r>
          </w:p>
        </w:tc>
        <w:tc>
          <w:tcPr>
            <w:tcW w:w="865" w:type="pct"/>
            <w:tcBorders>
              <w:top w:val="nil"/>
              <w:left w:val="nil"/>
              <w:bottom w:val="nil"/>
              <w:right w:val="nil"/>
            </w:tcBorders>
            <w:shd w:val="clear" w:color="auto" w:fill="FFFFFF"/>
            <w:tcMar>
              <w:top w:w="55" w:type="dxa"/>
              <w:left w:w="55" w:type="dxa"/>
              <w:bottom w:w="55" w:type="dxa"/>
              <w:right w:w="55" w:type="dxa"/>
            </w:tcMar>
            <w:vAlign w:val="center"/>
          </w:tcPr>
          <w:p w14:paraId="14B37B5C">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0.347</w:t>
            </w:r>
          </w:p>
        </w:tc>
      </w:tr>
      <w:tr w14:paraId="78C00E01">
        <w:trPr>
          <w:trHeight w:val="193" w:hRule="atLeast"/>
          <w:jc w:val="center"/>
        </w:trPr>
        <w:tc>
          <w:tcPr>
            <w:tcW w:w="150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8E36F40">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Proportion mediated</w:t>
            </w:r>
          </w:p>
        </w:tc>
        <w:tc>
          <w:tcPr>
            <w:tcW w:w="1656"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5F42F14">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0.37</w:t>
            </w:r>
          </w:p>
        </w:tc>
        <w:tc>
          <w:tcPr>
            <w:tcW w:w="97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31072DC">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-4.27 to 3.85</w:t>
            </w:r>
          </w:p>
        </w:tc>
        <w:tc>
          <w:tcPr>
            <w:tcW w:w="865"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6E5AB38B">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0.94</w:t>
            </w:r>
          </w:p>
        </w:tc>
      </w:tr>
    </w:tbl>
    <w:p w14:paraId="4F908781">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r>
        <w:rPr>
          <w:rFonts w:hint="default" w:ascii="Times New Roman" w:hAnsi="Times New Roman" w:eastAsia="Times New Roman" w:cs="Times New Roman Regular"/>
          <w:b/>
          <w:bCs/>
          <w:color w:val="auto"/>
          <w:sz w:val="20"/>
          <w:szCs w:val="22"/>
          <w:lang w:val="en-US" w:eastAsia="zh-CN"/>
        </w:rPr>
        <w:br w:type="textWrapping"/>
      </w:r>
      <w:r>
        <w:rPr>
          <w:rFonts w:hint="default" w:ascii="Times New Roman" w:hAnsi="Times New Roman" w:eastAsia="Times New Roman" w:cs="Times New Roman Regular"/>
          <w:b w:val="0"/>
          <w:bCs w:val="0"/>
          <w:color w:val="auto"/>
          <w:sz w:val="20"/>
          <w:szCs w:val="22"/>
          <w:lang w:val="en-US" w:eastAsia="zh-CN"/>
        </w:rPr>
        <w:t>Path estimates, 95% confidence intervals (CIs), and P values are shown from a structural equation model examining the relationships among ferritin coefficient of variation (CV), mean grip strength, and mean forced expiratory volume in 1 second (FEV₁). The model was adjusted for age, sex, smoking status, body mass index (BMI), log-transformed C-reactive protein (CRP), and hemoglobin (Hb), as applicable. Reported estimates include the ferritin CV→grip path, the grip→FEV₁ path, and the corresponding direct, indirect, and total effects, together with the proportion mediated. This analysis was used to evaluate whether the relationship between ferritin CV and FEV₁ was partly explained by grip strength.</w:t>
      </w:r>
    </w:p>
    <w:p w14:paraId="7BD412DF">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3876E2F">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A850CD9">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E630308">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C521B90">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06C6C0B">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DB2984C">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34E636A">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0FA786E">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760D539">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534E002">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2503BC1F">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00F2C0EA">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2BF283CE">
      <w:pPr>
        <w:pStyle w:val="2"/>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Supplementary Table S20. ADL-stratified associations of dynamic iron-related measures with repeated FEV₁</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77"/>
        <w:gridCol w:w="4477"/>
        <w:gridCol w:w="3428"/>
        <w:gridCol w:w="1484"/>
      </w:tblGrid>
      <w:tr w14:paraId="6E9459C8">
        <w:trPr>
          <w:trHeight w:val="193" w:hRule="atLeast"/>
          <w:tblHeader/>
          <w:jc w:val="center"/>
        </w:trPr>
        <w:tc>
          <w:tcPr>
            <w:tcW w:w="1732"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DEC273B">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Exposure</w:t>
            </w:r>
          </w:p>
        </w:tc>
        <w:tc>
          <w:tcPr>
            <w:tcW w:w="1558"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8DBF45D">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ADL limitation group</w:t>
            </w:r>
          </w:p>
        </w:tc>
        <w:tc>
          <w:tcPr>
            <w:tcW w:w="1193"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07E6BE52">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β (95% CI)</w:t>
            </w:r>
          </w:p>
        </w:tc>
        <w:tc>
          <w:tcPr>
            <w:tcW w:w="516"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08586703">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68630450">
        <w:trPr>
          <w:trHeight w:val="193" w:hRule="atLeast"/>
          <w:jc w:val="center"/>
        </w:trPr>
        <w:tc>
          <w:tcPr>
            <w:tcW w:w="1732"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532459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558"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59F0C5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Lower ADL limitation</w:t>
            </w:r>
          </w:p>
        </w:tc>
        <w:tc>
          <w:tcPr>
            <w:tcW w:w="1193"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6C380F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-0.34 (-0.56, -0.11)</w:t>
            </w:r>
          </w:p>
        </w:tc>
        <w:tc>
          <w:tcPr>
            <w:tcW w:w="516"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11AD13B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0.004</w:t>
            </w:r>
          </w:p>
        </w:tc>
      </w:tr>
      <w:tr w14:paraId="5232A5A6">
        <w:trPr>
          <w:trHeight w:val="193" w:hRule="atLeast"/>
          <w:jc w:val="center"/>
        </w:trPr>
        <w:tc>
          <w:tcPr>
            <w:tcW w:w="1732" w:type="pct"/>
            <w:tcBorders>
              <w:top w:val="nil"/>
              <w:left w:val="nil"/>
              <w:bottom w:val="nil"/>
              <w:right w:val="nil"/>
            </w:tcBorders>
            <w:shd w:val="clear" w:color="auto" w:fill="FFFFFF"/>
            <w:tcMar>
              <w:top w:w="55" w:type="dxa"/>
              <w:left w:w="55" w:type="dxa"/>
              <w:bottom w:w="55" w:type="dxa"/>
              <w:right w:w="55" w:type="dxa"/>
            </w:tcMar>
            <w:vAlign w:val="center"/>
          </w:tcPr>
          <w:p w14:paraId="38EF96E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558" w:type="pct"/>
            <w:tcBorders>
              <w:top w:val="nil"/>
              <w:left w:val="nil"/>
              <w:bottom w:val="nil"/>
              <w:right w:val="nil"/>
            </w:tcBorders>
            <w:shd w:val="clear" w:color="auto" w:fill="FFFFFF"/>
            <w:tcMar>
              <w:top w:w="55" w:type="dxa"/>
              <w:left w:w="55" w:type="dxa"/>
              <w:bottom w:w="55" w:type="dxa"/>
              <w:right w:w="55" w:type="dxa"/>
            </w:tcMar>
            <w:vAlign w:val="center"/>
          </w:tcPr>
          <w:p w14:paraId="157C583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Higher ADL limitation</w:t>
            </w:r>
          </w:p>
        </w:tc>
        <w:tc>
          <w:tcPr>
            <w:tcW w:w="1193" w:type="pct"/>
            <w:tcBorders>
              <w:top w:val="nil"/>
              <w:left w:val="nil"/>
              <w:bottom w:val="nil"/>
              <w:right w:val="nil"/>
            </w:tcBorders>
            <w:shd w:val="clear" w:color="auto" w:fill="FFFFFF"/>
            <w:tcMar>
              <w:top w:w="55" w:type="dxa"/>
              <w:left w:w="55" w:type="dxa"/>
              <w:bottom w:w="55" w:type="dxa"/>
              <w:right w:w="55" w:type="dxa"/>
            </w:tcMar>
            <w:vAlign w:val="center"/>
          </w:tcPr>
          <w:p w14:paraId="4A250C6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-0.10 (-0.42, 0.21)</w:t>
            </w:r>
          </w:p>
        </w:tc>
        <w:tc>
          <w:tcPr>
            <w:tcW w:w="516" w:type="pct"/>
            <w:tcBorders>
              <w:top w:val="nil"/>
              <w:left w:val="nil"/>
              <w:bottom w:val="nil"/>
              <w:right w:val="nil"/>
            </w:tcBorders>
            <w:shd w:val="clear" w:color="auto" w:fill="FFFFFF"/>
            <w:tcMar>
              <w:top w:w="55" w:type="dxa"/>
              <w:left w:w="55" w:type="dxa"/>
              <w:bottom w:w="55" w:type="dxa"/>
              <w:right w:w="55" w:type="dxa"/>
            </w:tcMar>
            <w:vAlign w:val="center"/>
          </w:tcPr>
          <w:p w14:paraId="6980C7B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0.529</w:t>
            </w:r>
          </w:p>
        </w:tc>
      </w:tr>
      <w:tr w14:paraId="68CEF459">
        <w:trPr>
          <w:trHeight w:val="193" w:hRule="atLeast"/>
          <w:jc w:val="center"/>
        </w:trPr>
        <w:tc>
          <w:tcPr>
            <w:tcW w:w="1732" w:type="pct"/>
            <w:tcBorders>
              <w:top w:val="nil"/>
              <w:left w:val="nil"/>
              <w:bottom w:val="nil"/>
              <w:right w:val="nil"/>
            </w:tcBorders>
            <w:shd w:val="clear" w:color="auto" w:fill="FFFFFF"/>
            <w:tcMar>
              <w:top w:w="55" w:type="dxa"/>
              <w:left w:w="55" w:type="dxa"/>
              <w:bottom w:w="55" w:type="dxa"/>
              <w:right w:w="55" w:type="dxa"/>
            </w:tcMar>
            <w:vAlign w:val="center"/>
          </w:tcPr>
          <w:p w14:paraId="6FE42BE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slope</w:t>
            </w:r>
          </w:p>
        </w:tc>
        <w:tc>
          <w:tcPr>
            <w:tcW w:w="1558" w:type="pct"/>
            <w:tcBorders>
              <w:top w:val="nil"/>
              <w:left w:val="nil"/>
              <w:bottom w:val="nil"/>
              <w:right w:val="nil"/>
            </w:tcBorders>
            <w:shd w:val="clear" w:color="auto" w:fill="FFFFFF"/>
            <w:tcMar>
              <w:top w:w="55" w:type="dxa"/>
              <w:left w:w="55" w:type="dxa"/>
              <w:bottom w:w="55" w:type="dxa"/>
              <w:right w:w="55" w:type="dxa"/>
            </w:tcMar>
            <w:vAlign w:val="center"/>
          </w:tcPr>
          <w:p w14:paraId="3971D71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Lower ADL limitation</w:t>
            </w:r>
          </w:p>
        </w:tc>
        <w:tc>
          <w:tcPr>
            <w:tcW w:w="1193" w:type="pct"/>
            <w:tcBorders>
              <w:top w:val="nil"/>
              <w:left w:val="nil"/>
              <w:bottom w:val="nil"/>
              <w:right w:val="nil"/>
            </w:tcBorders>
            <w:shd w:val="clear" w:color="auto" w:fill="FFFFFF"/>
            <w:tcMar>
              <w:top w:w="55" w:type="dxa"/>
              <w:left w:w="55" w:type="dxa"/>
              <w:bottom w:w="55" w:type="dxa"/>
              <w:right w:w="55" w:type="dxa"/>
            </w:tcMar>
            <w:vAlign w:val="center"/>
          </w:tcPr>
          <w:p w14:paraId="73B66B5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0.20 (-0.18, 0.57)</w:t>
            </w:r>
          </w:p>
        </w:tc>
        <w:tc>
          <w:tcPr>
            <w:tcW w:w="516" w:type="pct"/>
            <w:tcBorders>
              <w:top w:val="nil"/>
              <w:left w:val="nil"/>
              <w:bottom w:val="nil"/>
              <w:right w:val="nil"/>
            </w:tcBorders>
            <w:shd w:val="clear" w:color="auto" w:fill="FFFFFF"/>
            <w:tcMar>
              <w:top w:w="55" w:type="dxa"/>
              <w:left w:w="55" w:type="dxa"/>
              <w:bottom w:w="55" w:type="dxa"/>
              <w:right w:w="55" w:type="dxa"/>
            </w:tcMar>
            <w:vAlign w:val="center"/>
          </w:tcPr>
          <w:p w14:paraId="4A01037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0.301</w:t>
            </w:r>
          </w:p>
        </w:tc>
      </w:tr>
      <w:tr w14:paraId="356AFB77">
        <w:trPr>
          <w:trHeight w:val="193" w:hRule="atLeast"/>
          <w:jc w:val="center"/>
        </w:trPr>
        <w:tc>
          <w:tcPr>
            <w:tcW w:w="1732" w:type="pct"/>
            <w:tcBorders>
              <w:top w:val="nil"/>
              <w:left w:val="nil"/>
              <w:bottom w:val="nil"/>
              <w:right w:val="nil"/>
            </w:tcBorders>
            <w:shd w:val="clear" w:color="auto" w:fill="FFFFFF"/>
            <w:tcMar>
              <w:top w:w="55" w:type="dxa"/>
              <w:left w:w="55" w:type="dxa"/>
              <w:bottom w:w="55" w:type="dxa"/>
              <w:right w:w="55" w:type="dxa"/>
            </w:tcMar>
            <w:vAlign w:val="center"/>
          </w:tcPr>
          <w:p w14:paraId="3B53722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slope</w:t>
            </w:r>
          </w:p>
        </w:tc>
        <w:tc>
          <w:tcPr>
            <w:tcW w:w="1558" w:type="pct"/>
            <w:tcBorders>
              <w:top w:val="nil"/>
              <w:left w:val="nil"/>
              <w:bottom w:val="nil"/>
              <w:right w:val="nil"/>
            </w:tcBorders>
            <w:shd w:val="clear" w:color="auto" w:fill="FFFFFF"/>
            <w:tcMar>
              <w:top w:w="55" w:type="dxa"/>
              <w:left w:w="55" w:type="dxa"/>
              <w:bottom w:w="55" w:type="dxa"/>
              <w:right w:w="55" w:type="dxa"/>
            </w:tcMar>
            <w:vAlign w:val="center"/>
          </w:tcPr>
          <w:p w14:paraId="68CCB94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Higher ADL limitation</w:t>
            </w:r>
          </w:p>
        </w:tc>
        <w:tc>
          <w:tcPr>
            <w:tcW w:w="1193" w:type="pct"/>
            <w:tcBorders>
              <w:top w:val="nil"/>
              <w:left w:val="nil"/>
              <w:bottom w:val="nil"/>
              <w:right w:val="nil"/>
            </w:tcBorders>
            <w:shd w:val="clear" w:color="auto" w:fill="FFFFFF"/>
            <w:tcMar>
              <w:top w:w="55" w:type="dxa"/>
              <w:left w:w="55" w:type="dxa"/>
              <w:bottom w:w="55" w:type="dxa"/>
              <w:right w:w="55" w:type="dxa"/>
            </w:tcMar>
            <w:vAlign w:val="center"/>
          </w:tcPr>
          <w:p w14:paraId="1B0964A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0.13 (-0.28, 0.53)</w:t>
            </w:r>
          </w:p>
        </w:tc>
        <w:tc>
          <w:tcPr>
            <w:tcW w:w="516" w:type="pct"/>
            <w:tcBorders>
              <w:top w:val="nil"/>
              <w:left w:val="nil"/>
              <w:bottom w:val="nil"/>
              <w:right w:val="nil"/>
            </w:tcBorders>
            <w:shd w:val="clear" w:color="auto" w:fill="FFFFFF"/>
            <w:tcMar>
              <w:top w:w="55" w:type="dxa"/>
              <w:left w:w="55" w:type="dxa"/>
              <w:bottom w:w="55" w:type="dxa"/>
              <w:right w:w="55" w:type="dxa"/>
            </w:tcMar>
            <w:vAlign w:val="center"/>
          </w:tcPr>
          <w:p w14:paraId="00EC2EC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0.549</w:t>
            </w:r>
          </w:p>
        </w:tc>
      </w:tr>
      <w:tr w14:paraId="42F2D410">
        <w:trPr>
          <w:trHeight w:val="193" w:hRule="atLeast"/>
          <w:jc w:val="center"/>
        </w:trPr>
        <w:tc>
          <w:tcPr>
            <w:tcW w:w="1732" w:type="pct"/>
            <w:tcBorders>
              <w:top w:val="nil"/>
              <w:left w:val="nil"/>
              <w:bottom w:val="nil"/>
              <w:right w:val="nil"/>
            </w:tcBorders>
            <w:shd w:val="clear" w:color="auto" w:fill="FFFFFF"/>
            <w:tcMar>
              <w:top w:w="55" w:type="dxa"/>
              <w:left w:w="55" w:type="dxa"/>
              <w:bottom w:w="55" w:type="dxa"/>
              <w:right w:w="55" w:type="dxa"/>
            </w:tcMar>
            <w:vAlign w:val="center"/>
          </w:tcPr>
          <w:p w14:paraId="42BD837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Number of ferritin &lt;30 episodes</w:t>
            </w:r>
          </w:p>
        </w:tc>
        <w:tc>
          <w:tcPr>
            <w:tcW w:w="1558" w:type="pct"/>
            <w:tcBorders>
              <w:top w:val="nil"/>
              <w:left w:val="nil"/>
              <w:bottom w:val="nil"/>
              <w:right w:val="nil"/>
            </w:tcBorders>
            <w:shd w:val="clear" w:color="auto" w:fill="FFFFFF"/>
            <w:tcMar>
              <w:top w:w="55" w:type="dxa"/>
              <w:left w:w="55" w:type="dxa"/>
              <w:bottom w:w="55" w:type="dxa"/>
              <w:right w:w="55" w:type="dxa"/>
            </w:tcMar>
            <w:vAlign w:val="center"/>
          </w:tcPr>
          <w:p w14:paraId="22762B7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Lower ADL limitation</w:t>
            </w:r>
          </w:p>
        </w:tc>
        <w:tc>
          <w:tcPr>
            <w:tcW w:w="1193" w:type="pct"/>
            <w:tcBorders>
              <w:top w:val="nil"/>
              <w:left w:val="nil"/>
              <w:bottom w:val="nil"/>
              <w:right w:val="nil"/>
            </w:tcBorders>
            <w:shd w:val="clear" w:color="auto" w:fill="FFFFFF"/>
            <w:tcMar>
              <w:top w:w="55" w:type="dxa"/>
              <w:left w:w="55" w:type="dxa"/>
              <w:bottom w:w="55" w:type="dxa"/>
              <w:right w:w="55" w:type="dxa"/>
            </w:tcMar>
            <w:vAlign w:val="center"/>
          </w:tcPr>
          <w:p w14:paraId="6549742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-0.03 (-0.11, 0.05)</w:t>
            </w:r>
          </w:p>
        </w:tc>
        <w:tc>
          <w:tcPr>
            <w:tcW w:w="516" w:type="pct"/>
            <w:tcBorders>
              <w:top w:val="nil"/>
              <w:left w:val="nil"/>
              <w:bottom w:val="nil"/>
              <w:right w:val="nil"/>
            </w:tcBorders>
            <w:shd w:val="clear" w:color="auto" w:fill="FFFFFF"/>
            <w:tcMar>
              <w:top w:w="55" w:type="dxa"/>
              <w:left w:w="55" w:type="dxa"/>
              <w:bottom w:w="55" w:type="dxa"/>
              <w:right w:w="55" w:type="dxa"/>
            </w:tcMar>
            <w:vAlign w:val="center"/>
          </w:tcPr>
          <w:p w14:paraId="49B7090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0.479</w:t>
            </w:r>
          </w:p>
        </w:tc>
      </w:tr>
      <w:tr w14:paraId="3D9A5404">
        <w:trPr>
          <w:trHeight w:val="193" w:hRule="atLeast"/>
          <w:jc w:val="center"/>
        </w:trPr>
        <w:tc>
          <w:tcPr>
            <w:tcW w:w="1732"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8FF247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Number of ferritin &lt;30 episodes</w:t>
            </w:r>
          </w:p>
        </w:tc>
        <w:tc>
          <w:tcPr>
            <w:tcW w:w="1558"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C95810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Higher ADL limitation</w:t>
            </w:r>
          </w:p>
        </w:tc>
        <w:tc>
          <w:tcPr>
            <w:tcW w:w="1193"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B7B789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0.07 (-0.04, 0.18)</w:t>
            </w:r>
          </w:p>
        </w:tc>
        <w:tc>
          <w:tcPr>
            <w:tcW w:w="516"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AEE830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0.23</w:t>
            </w:r>
          </w:p>
        </w:tc>
      </w:tr>
    </w:tbl>
    <w:p w14:paraId="3D1EF86B">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r>
        <w:rPr>
          <w:rFonts w:hint="default" w:ascii="Times New Roman" w:hAnsi="Times New Roman" w:eastAsia="Times New Roman" w:cs="Times New Roman Regular"/>
          <w:b/>
          <w:bCs/>
          <w:color w:val="auto"/>
          <w:sz w:val="20"/>
          <w:szCs w:val="22"/>
          <w:lang w:val="en-US" w:eastAsia="zh-CN"/>
        </w:rPr>
        <w:br w:type="textWrapping"/>
      </w:r>
      <w:r>
        <w:rPr>
          <w:rFonts w:hint="default" w:ascii="Times New Roman" w:hAnsi="Times New Roman" w:eastAsia="Times New Roman" w:cs="Times New Roman Regular"/>
          <w:b w:val="0"/>
          <w:bCs w:val="0"/>
          <w:color w:val="auto"/>
          <w:sz w:val="20"/>
          <w:szCs w:val="22"/>
          <w:lang w:val="en-US" w:eastAsia="zh-CN"/>
        </w:rPr>
        <w:t>Regression coefficients (β), 95% confidence intervals (CIs), and P values are shown from linear mixed-effects models examining the associations between dynamic iron-related measures and repeated forced expiratory volume in 1 second (FEV₁) within strata defined by activities of daily living (ADL) limitation status. Dynamic iron-related measures included ferritin coefficient of variation (CV), ferritin slope, and the cumulative number of ferritin measurements &lt;30 μg/L, as applicable. Models were fitted separately within the prespecified ADL limitation strata and were adjusted for age, sex, smoking status, body mass index (BMI), log-transformed C-reactive protein (CRP), and hemoglobin (Hb), with participant-level random intercepts to account for repeated measurements. These analyses were used to assess whether subgroup-specific patterns differed according to baseline functional status.</w:t>
      </w:r>
    </w:p>
    <w:p w14:paraId="0555D402">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F4831E3">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8162466">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655E349">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8BB5336">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EDD41B4">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0458B6F">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DAE6FF7">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03287E3">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33A253F">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493FAAB9">
      <w:pPr>
        <w:pStyle w:val="2"/>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Supplementary Table S21. IADL-stratified associations of dynamic iron-related measures with repeated FEV₁</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150"/>
        <w:gridCol w:w="3633"/>
        <w:gridCol w:w="4016"/>
        <w:gridCol w:w="1567"/>
      </w:tblGrid>
      <w:tr w14:paraId="4E5C88AF">
        <w:trPr>
          <w:trHeight w:val="193" w:hRule="atLeast"/>
          <w:tblHeader/>
          <w:jc w:val="center"/>
        </w:trPr>
        <w:tc>
          <w:tcPr>
            <w:tcW w:w="1792"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294FB84">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Exposure</w:t>
            </w:r>
          </w:p>
        </w:tc>
        <w:tc>
          <w:tcPr>
            <w:tcW w:w="1264"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31E8915D">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IADL limitation group</w:t>
            </w:r>
          </w:p>
        </w:tc>
        <w:tc>
          <w:tcPr>
            <w:tcW w:w="1397"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01D3AFC">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β (95% CI)</w:t>
            </w:r>
          </w:p>
        </w:tc>
        <w:tc>
          <w:tcPr>
            <w:tcW w:w="545"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0D20566C">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3F317146">
        <w:trPr>
          <w:trHeight w:val="193" w:hRule="atLeast"/>
          <w:jc w:val="center"/>
        </w:trPr>
        <w:tc>
          <w:tcPr>
            <w:tcW w:w="1792"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F012ED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264"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817F5A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Lower IADL limitation</w:t>
            </w:r>
          </w:p>
        </w:tc>
        <w:tc>
          <w:tcPr>
            <w:tcW w:w="1397"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19D88A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-0.30 (-0.51, -0.10)</w:t>
            </w:r>
          </w:p>
        </w:tc>
        <w:tc>
          <w:tcPr>
            <w:tcW w:w="545"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ED1DBB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0.005</w:t>
            </w:r>
          </w:p>
        </w:tc>
      </w:tr>
      <w:tr w14:paraId="1702B4E1">
        <w:trPr>
          <w:trHeight w:val="193" w:hRule="atLeast"/>
          <w:jc w:val="center"/>
        </w:trPr>
        <w:tc>
          <w:tcPr>
            <w:tcW w:w="1792" w:type="pct"/>
            <w:tcBorders>
              <w:top w:val="nil"/>
              <w:left w:val="nil"/>
              <w:bottom w:val="nil"/>
              <w:right w:val="nil"/>
            </w:tcBorders>
            <w:shd w:val="clear" w:color="auto" w:fill="FFFFFF"/>
            <w:tcMar>
              <w:top w:w="55" w:type="dxa"/>
              <w:left w:w="55" w:type="dxa"/>
              <w:bottom w:w="55" w:type="dxa"/>
              <w:right w:w="55" w:type="dxa"/>
            </w:tcMar>
            <w:vAlign w:val="center"/>
          </w:tcPr>
          <w:p w14:paraId="4B31BFF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264" w:type="pct"/>
            <w:tcBorders>
              <w:top w:val="nil"/>
              <w:left w:val="nil"/>
              <w:bottom w:val="nil"/>
              <w:right w:val="nil"/>
            </w:tcBorders>
            <w:shd w:val="clear" w:color="auto" w:fill="FFFFFF"/>
            <w:tcMar>
              <w:top w:w="55" w:type="dxa"/>
              <w:left w:w="55" w:type="dxa"/>
              <w:bottom w:w="55" w:type="dxa"/>
              <w:right w:w="55" w:type="dxa"/>
            </w:tcMar>
            <w:vAlign w:val="center"/>
          </w:tcPr>
          <w:p w14:paraId="2794D6B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Higher IADL limitation</w:t>
            </w:r>
          </w:p>
        </w:tc>
        <w:tc>
          <w:tcPr>
            <w:tcW w:w="1397" w:type="pct"/>
            <w:tcBorders>
              <w:top w:val="nil"/>
              <w:left w:val="nil"/>
              <w:bottom w:val="nil"/>
              <w:right w:val="nil"/>
            </w:tcBorders>
            <w:shd w:val="clear" w:color="auto" w:fill="FFFFFF"/>
            <w:tcMar>
              <w:top w:w="55" w:type="dxa"/>
              <w:left w:w="55" w:type="dxa"/>
              <w:bottom w:w="55" w:type="dxa"/>
              <w:right w:w="55" w:type="dxa"/>
            </w:tcMar>
            <w:vAlign w:val="center"/>
          </w:tcPr>
          <w:p w14:paraId="5C736A5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-0.05 (-0.42, 0.32)</w:t>
            </w:r>
          </w:p>
        </w:tc>
        <w:tc>
          <w:tcPr>
            <w:tcW w:w="545" w:type="pct"/>
            <w:tcBorders>
              <w:top w:val="nil"/>
              <w:left w:val="nil"/>
              <w:bottom w:val="nil"/>
              <w:right w:val="nil"/>
            </w:tcBorders>
            <w:shd w:val="clear" w:color="auto" w:fill="FFFFFF"/>
            <w:tcMar>
              <w:top w:w="55" w:type="dxa"/>
              <w:left w:w="55" w:type="dxa"/>
              <w:bottom w:w="55" w:type="dxa"/>
              <w:right w:w="55" w:type="dxa"/>
            </w:tcMar>
            <w:vAlign w:val="center"/>
          </w:tcPr>
          <w:p w14:paraId="2539830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0.789</w:t>
            </w:r>
          </w:p>
        </w:tc>
      </w:tr>
      <w:tr w14:paraId="185976FA">
        <w:trPr>
          <w:trHeight w:val="193" w:hRule="atLeast"/>
          <w:jc w:val="center"/>
        </w:trPr>
        <w:tc>
          <w:tcPr>
            <w:tcW w:w="1792" w:type="pct"/>
            <w:tcBorders>
              <w:top w:val="nil"/>
              <w:left w:val="nil"/>
              <w:bottom w:val="nil"/>
              <w:right w:val="nil"/>
            </w:tcBorders>
            <w:shd w:val="clear" w:color="auto" w:fill="FFFFFF"/>
            <w:tcMar>
              <w:top w:w="55" w:type="dxa"/>
              <w:left w:w="55" w:type="dxa"/>
              <w:bottom w:w="55" w:type="dxa"/>
              <w:right w:w="55" w:type="dxa"/>
            </w:tcMar>
            <w:vAlign w:val="center"/>
          </w:tcPr>
          <w:p w14:paraId="559C93A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slope</w:t>
            </w:r>
          </w:p>
        </w:tc>
        <w:tc>
          <w:tcPr>
            <w:tcW w:w="1264" w:type="pct"/>
            <w:tcBorders>
              <w:top w:val="nil"/>
              <w:left w:val="nil"/>
              <w:bottom w:val="nil"/>
              <w:right w:val="nil"/>
            </w:tcBorders>
            <w:shd w:val="clear" w:color="auto" w:fill="FFFFFF"/>
            <w:tcMar>
              <w:top w:w="55" w:type="dxa"/>
              <w:left w:w="55" w:type="dxa"/>
              <w:bottom w:w="55" w:type="dxa"/>
              <w:right w:w="55" w:type="dxa"/>
            </w:tcMar>
            <w:vAlign w:val="center"/>
          </w:tcPr>
          <w:p w14:paraId="2C8E1F0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Lower IADL limitation</w:t>
            </w:r>
          </w:p>
        </w:tc>
        <w:tc>
          <w:tcPr>
            <w:tcW w:w="1397" w:type="pct"/>
            <w:tcBorders>
              <w:top w:val="nil"/>
              <w:left w:val="nil"/>
              <w:bottom w:val="nil"/>
              <w:right w:val="nil"/>
            </w:tcBorders>
            <w:shd w:val="clear" w:color="auto" w:fill="FFFFFF"/>
            <w:tcMar>
              <w:top w:w="55" w:type="dxa"/>
              <w:left w:w="55" w:type="dxa"/>
              <w:bottom w:w="55" w:type="dxa"/>
              <w:right w:w="55" w:type="dxa"/>
            </w:tcMar>
            <w:vAlign w:val="center"/>
          </w:tcPr>
          <w:p w14:paraId="3C0C8DC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0.13 (-0.21, 0.47)</w:t>
            </w:r>
          </w:p>
        </w:tc>
        <w:tc>
          <w:tcPr>
            <w:tcW w:w="545" w:type="pct"/>
            <w:tcBorders>
              <w:top w:val="nil"/>
              <w:left w:val="nil"/>
              <w:bottom w:val="nil"/>
              <w:right w:val="nil"/>
            </w:tcBorders>
            <w:shd w:val="clear" w:color="auto" w:fill="FFFFFF"/>
            <w:tcMar>
              <w:top w:w="55" w:type="dxa"/>
              <w:left w:w="55" w:type="dxa"/>
              <w:bottom w:w="55" w:type="dxa"/>
              <w:right w:w="55" w:type="dxa"/>
            </w:tcMar>
            <w:vAlign w:val="center"/>
          </w:tcPr>
          <w:p w14:paraId="0653CA2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0.459</w:t>
            </w:r>
          </w:p>
        </w:tc>
      </w:tr>
      <w:tr w14:paraId="157B1051">
        <w:trPr>
          <w:trHeight w:val="193" w:hRule="atLeast"/>
          <w:jc w:val="center"/>
        </w:trPr>
        <w:tc>
          <w:tcPr>
            <w:tcW w:w="1792" w:type="pct"/>
            <w:tcBorders>
              <w:top w:val="nil"/>
              <w:left w:val="nil"/>
              <w:bottom w:val="nil"/>
              <w:right w:val="nil"/>
            </w:tcBorders>
            <w:shd w:val="clear" w:color="auto" w:fill="FFFFFF"/>
            <w:tcMar>
              <w:top w:w="55" w:type="dxa"/>
              <w:left w:w="55" w:type="dxa"/>
              <w:bottom w:w="55" w:type="dxa"/>
              <w:right w:w="55" w:type="dxa"/>
            </w:tcMar>
            <w:vAlign w:val="center"/>
          </w:tcPr>
          <w:p w14:paraId="563876B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slope</w:t>
            </w:r>
          </w:p>
        </w:tc>
        <w:tc>
          <w:tcPr>
            <w:tcW w:w="1264" w:type="pct"/>
            <w:tcBorders>
              <w:top w:val="nil"/>
              <w:left w:val="nil"/>
              <w:bottom w:val="nil"/>
              <w:right w:val="nil"/>
            </w:tcBorders>
            <w:shd w:val="clear" w:color="auto" w:fill="FFFFFF"/>
            <w:tcMar>
              <w:top w:w="55" w:type="dxa"/>
              <w:left w:w="55" w:type="dxa"/>
              <w:bottom w:w="55" w:type="dxa"/>
              <w:right w:w="55" w:type="dxa"/>
            </w:tcMar>
            <w:vAlign w:val="center"/>
          </w:tcPr>
          <w:p w14:paraId="58389C8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Higher IADL limitation</w:t>
            </w:r>
          </w:p>
        </w:tc>
        <w:tc>
          <w:tcPr>
            <w:tcW w:w="1397" w:type="pct"/>
            <w:tcBorders>
              <w:top w:val="nil"/>
              <w:left w:val="nil"/>
              <w:bottom w:val="nil"/>
              <w:right w:val="nil"/>
            </w:tcBorders>
            <w:shd w:val="clear" w:color="auto" w:fill="FFFFFF"/>
            <w:tcMar>
              <w:top w:w="55" w:type="dxa"/>
              <w:left w:w="55" w:type="dxa"/>
              <w:bottom w:w="55" w:type="dxa"/>
              <w:right w:w="55" w:type="dxa"/>
            </w:tcMar>
            <w:vAlign w:val="center"/>
          </w:tcPr>
          <w:p w14:paraId="7FFB32C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-0.01 (-0.45, 0.43)</w:t>
            </w:r>
          </w:p>
        </w:tc>
        <w:tc>
          <w:tcPr>
            <w:tcW w:w="545" w:type="pct"/>
            <w:tcBorders>
              <w:top w:val="nil"/>
              <w:left w:val="nil"/>
              <w:bottom w:val="nil"/>
              <w:right w:val="nil"/>
            </w:tcBorders>
            <w:shd w:val="clear" w:color="auto" w:fill="FFFFFF"/>
            <w:tcMar>
              <w:top w:w="55" w:type="dxa"/>
              <w:left w:w="55" w:type="dxa"/>
              <w:bottom w:w="55" w:type="dxa"/>
              <w:right w:w="55" w:type="dxa"/>
            </w:tcMar>
            <w:vAlign w:val="center"/>
          </w:tcPr>
          <w:p w14:paraId="66649AC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0.956</w:t>
            </w:r>
          </w:p>
        </w:tc>
      </w:tr>
      <w:tr w14:paraId="41890C31">
        <w:trPr>
          <w:trHeight w:val="193" w:hRule="atLeast"/>
          <w:jc w:val="center"/>
        </w:trPr>
        <w:tc>
          <w:tcPr>
            <w:tcW w:w="1792" w:type="pct"/>
            <w:tcBorders>
              <w:top w:val="nil"/>
              <w:left w:val="nil"/>
              <w:bottom w:val="nil"/>
              <w:right w:val="nil"/>
            </w:tcBorders>
            <w:shd w:val="clear" w:color="auto" w:fill="FFFFFF"/>
            <w:tcMar>
              <w:top w:w="55" w:type="dxa"/>
              <w:left w:w="55" w:type="dxa"/>
              <w:bottom w:w="55" w:type="dxa"/>
              <w:right w:w="55" w:type="dxa"/>
            </w:tcMar>
            <w:vAlign w:val="center"/>
          </w:tcPr>
          <w:p w14:paraId="61345A5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Number of ferritin &lt;30 episodes</w:t>
            </w:r>
          </w:p>
        </w:tc>
        <w:tc>
          <w:tcPr>
            <w:tcW w:w="1264" w:type="pct"/>
            <w:tcBorders>
              <w:top w:val="nil"/>
              <w:left w:val="nil"/>
              <w:bottom w:val="nil"/>
              <w:right w:val="nil"/>
            </w:tcBorders>
            <w:shd w:val="clear" w:color="auto" w:fill="FFFFFF"/>
            <w:tcMar>
              <w:top w:w="55" w:type="dxa"/>
              <w:left w:w="55" w:type="dxa"/>
              <w:bottom w:w="55" w:type="dxa"/>
              <w:right w:w="55" w:type="dxa"/>
            </w:tcMar>
            <w:vAlign w:val="center"/>
          </w:tcPr>
          <w:p w14:paraId="52F824B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Lower IADL limitation</w:t>
            </w:r>
          </w:p>
        </w:tc>
        <w:tc>
          <w:tcPr>
            <w:tcW w:w="1397" w:type="pct"/>
            <w:tcBorders>
              <w:top w:val="nil"/>
              <w:left w:val="nil"/>
              <w:bottom w:val="nil"/>
              <w:right w:val="nil"/>
            </w:tcBorders>
            <w:shd w:val="clear" w:color="auto" w:fill="FFFFFF"/>
            <w:tcMar>
              <w:top w:w="55" w:type="dxa"/>
              <w:left w:w="55" w:type="dxa"/>
              <w:bottom w:w="55" w:type="dxa"/>
              <w:right w:w="55" w:type="dxa"/>
            </w:tcMar>
            <w:vAlign w:val="center"/>
          </w:tcPr>
          <w:p w14:paraId="251191C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-0.02 (-0.10, 0.05)</w:t>
            </w:r>
          </w:p>
        </w:tc>
        <w:tc>
          <w:tcPr>
            <w:tcW w:w="545" w:type="pct"/>
            <w:tcBorders>
              <w:top w:val="nil"/>
              <w:left w:val="nil"/>
              <w:bottom w:val="nil"/>
              <w:right w:val="nil"/>
            </w:tcBorders>
            <w:shd w:val="clear" w:color="auto" w:fill="FFFFFF"/>
            <w:tcMar>
              <w:top w:w="55" w:type="dxa"/>
              <w:left w:w="55" w:type="dxa"/>
              <w:bottom w:w="55" w:type="dxa"/>
              <w:right w:w="55" w:type="dxa"/>
            </w:tcMar>
            <w:vAlign w:val="center"/>
          </w:tcPr>
          <w:p w14:paraId="55AA20D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0.54</w:t>
            </w:r>
          </w:p>
        </w:tc>
      </w:tr>
      <w:tr w14:paraId="7B190D58">
        <w:trPr>
          <w:trHeight w:val="193" w:hRule="atLeast"/>
          <w:jc w:val="center"/>
        </w:trPr>
        <w:tc>
          <w:tcPr>
            <w:tcW w:w="1792"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BF0A3C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Number of ferritin &lt;30 episodes</w:t>
            </w:r>
          </w:p>
        </w:tc>
        <w:tc>
          <w:tcPr>
            <w:tcW w:w="1264"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CED975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Higher IADL limitation</w:t>
            </w:r>
          </w:p>
        </w:tc>
        <w:tc>
          <w:tcPr>
            <w:tcW w:w="139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66D3F7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0.12 (-0.02, 0.25)</w:t>
            </w:r>
          </w:p>
        </w:tc>
        <w:tc>
          <w:tcPr>
            <w:tcW w:w="545"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444150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0.086</w:t>
            </w:r>
          </w:p>
        </w:tc>
      </w:tr>
    </w:tbl>
    <w:p w14:paraId="603294F0">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r>
        <w:rPr>
          <w:rFonts w:hint="default" w:ascii="Times New Roman" w:hAnsi="Times New Roman" w:eastAsia="Times New Roman" w:cs="Times New Roman Regular"/>
          <w:b/>
          <w:bCs/>
          <w:color w:val="auto"/>
          <w:sz w:val="20"/>
          <w:szCs w:val="22"/>
          <w:lang w:val="en-US" w:eastAsia="zh-CN"/>
        </w:rPr>
        <w:br w:type="textWrapping"/>
      </w:r>
      <w:r>
        <w:rPr>
          <w:rFonts w:hint="default" w:ascii="Times New Roman" w:hAnsi="Times New Roman" w:eastAsia="Times New Roman" w:cs="Times New Roman Regular"/>
          <w:b w:val="0"/>
          <w:bCs w:val="0"/>
          <w:color w:val="auto"/>
          <w:sz w:val="20"/>
          <w:szCs w:val="22"/>
          <w:lang w:val="en-US" w:eastAsia="zh-CN"/>
        </w:rPr>
        <w:t>Regression coefficients (β), 95% confidence intervals (CIs), and P values are shown from linear mixed-effects models examining the associations between dynamic iron-related measures and repeated forced expiratory volume in 1 second (FEV₁) within strata defined by instrumental activities of daily living (IADL) limitation status. Dynamic iron-related measures included ferritin coefficient of variation (CV), ferritin slope, and the cumulative number of ferritin measurements &lt;30 μg/L, as applicable. Models were fitted separately within the prespecified IADL limitation strata and were adjusted for age, sex, smoking status, body mass index (BMI), log-transformed C-reactive protein (CRP), and hemoglobin (Hb), with participant-level random intercepts to account for repeated measurements. These analyses were used to assess whether subgroup-specific patterns differed according to instrumental functional status.</w:t>
      </w:r>
    </w:p>
    <w:p w14:paraId="7EAC845D">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626B7632">
      <w:pPr>
        <w:pStyle w:val="2"/>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highlight w:val="none"/>
          <w:lang w:val="en-US" w:eastAsia="zh-CN"/>
        </w:rPr>
        <w:t xml:space="preserve">Supplementary Table S22. Interaction models of dynamic iron-related measures </w:t>
      </w:r>
      <w:r>
        <w:rPr>
          <w:rFonts w:hint="default" w:ascii="Times New Roman" w:hAnsi="Times New Roman" w:eastAsia="Times New Roman" w:cs="Times New Roman Regular"/>
          <w:b/>
          <w:bCs/>
          <w:color w:val="auto"/>
          <w:sz w:val="20"/>
          <w:szCs w:val="22"/>
          <w:lang w:val="en-US" w:eastAsia="zh-CN"/>
        </w:rPr>
        <w:t>with ADL and IADL limitation status for repeated FEV₁</w:t>
      </w:r>
    </w:p>
    <w:p w14:paraId="64A7D380">
      <w:pPr>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Panel A. ADL interaction models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39"/>
        <w:gridCol w:w="4533"/>
        <w:gridCol w:w="3659"/>
        <w:gridCol w:w="1535"/>
      </w:tblGrid>
      <w:tr w14:paraId="176706B0">
        <w:trPr>
          <w:trHeight w:val="193" w:hRule="atLeast"/>
          <w:tblHeader/>
          <w:jc w:val="center"/>
        </w:trPr>
        <w:tc>
          <w:tcPr>
            <w:tcW w:w="1614"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38B61D21">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Exposure</w:t>
            </w:r>
          </w:p>
        </w:tc>
        <w:tc>
          <w:tcPr>
            <w:tcW w:w="1577"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6B6B270E">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Variable</w:t>
            </w:r>
          </w:p>
        </w:tc>
        <w:tc>
          <w:tcPr>
            <w:tcW w:w="1273"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7D35AA4">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β (95% CI)</w:t>
            </w:r>
          </w:p>
        </w:tc>
        <w:tc>
          <w:tcPr>
            <w:tcW w:w="534"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6EEC763">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4618F1C6">
        <w:trPr>
          <w:trHeight w:val="193" w:hRule="atLeast"/>
          <w:jc w:val="center"/>
        </w:trPr>
        <w:tc>
          <w:tcPr>
            <w:tcW w:w="1614"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17C4F48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577"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C7DBF1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Main effect</w:t>
            </w:r>
          </w:p>
        </w:tc>
        <w:tc>
          <w:tcPr>
            <w:tcW w:w="1273"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1CB7440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-0.39 (-0.60, -0.18)</w:t>
            </w:r>
          </w:p>
        </w:tc>
        <w:tc>
          <w:tcPr>
            <w:tcW w:w="534"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175DEE1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&lt;0.001</w:t>
            </w:r>
          </w:p>
        </w:tc>
      </w:tr>
      <w:tr w14:paraId="473BF7C1">
        <w:trPr>
          <w:trHeight w:val="193" w:hRule="atLeast"/>
          <w:jc w:val="center"/>
        </w:trPr>
        <w:tc>
          <w:tcPr>
            <w:tcW w:w="1614" w:type="pct"/>
            <w:tcBorders>
              <w:top w:val="nil"/>
              <w:left w:val="nil"/>
              <w:bottom w:val="nil"/>
              <w:right w:val="nil"/>
            </w:tcBorders>
            <w:shd w:val="clear" w:color="auto" w:fill="FFFFFF"/>
            <w:tcMar>
              <w:top w:w="55" w:type="dxa"/>
              <w:left w:w="55" w:type="dxa"/>
              <w:bottom w:w="55" w:type="dxa"/>
              <w:right w:w="55" w:type="dxa"/>
            </w:tcMar>
            <w:vAlign w:val="center"/>
          </w:tcPr>
          <w:p w14:paraId="13A1F89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577" w:type="pct"/>
            <w:tcBorders>
              <w:top w:val="nil"/>
              <w:left w:val="nil"/>
              <w:bottom w:val="nil"/>
              <w:right w:val="nil"/>
            </w:tcBorders>
            <w:shd w:val="clear" w:color="auto" w:fill="FFFFFF"/>
            <w:tcMar>
              <w:top w:w="55" w:type="dxa"/>
              <w:left w:w="55" w:type="dxa"/>
              <w:bottom w:w="55" w:type="dxa"/>
              <w:right w:w="55" w:type="dxa"/>
            </w:tcMar>
            <w:vAlign w:val="center"/>
          </w:tcPr>
          <w:p w14:paraId="7FE9F90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Higher ADL limitation</w:t>
            </w:r>
          </w:p>
        </w:tc>
        <w:tc>
          <w:tcPr>
            <w:tcW w:w="1273" w:type="pct"/>
            <w:tcBorders>
              <w:top w:val="nil"/>
              <w:left w:val="nil"/>
              <w:bottom w:val="nil"/>
              <w:right w:val="nil"/>
            </w:tcBorders>
            <w:shd w:val="clear" w:color="auto" w:fill="FFFFFF"/>
            <w:tcMar>
              <w:top w:w="55" w:type="dxa"/>
              <w:left w:w="55" w:type="dxa"/>
              <w:bottom w:w="55" w:type="dxa"/>
              <w:right w:w="55" w:type="dxa"/>
            </w:tcMar>
            <w:vAlign w:val="center"/>
          </w:tcPr>
          <w:p w14:paraId="554AC49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-0.08 (-0.22, 0.05)</w:t>
            </w:r>
          </w:p>
        </w:tc>
        <w:tc>
          <w:tcPr>
            <w:tcW w:w="534" w:type="pct"/>
            <w:tcBorders>
              <w:top w:val="nil"/>
              <w:left w:val="nil"/>
              <w:bottom w:val="nil"/>
              <w:right w:val="nil"/>
            </w:tcBorders>
            <w:shd w:val="clear" w:color="auto" w:fill="FFFFFF"/>
            <w:tcMar>
              <w:top w:w="55" w:type="dxa"/>
              <w:left w:w="55" w:type="dxa"/>
              <w:bottom w:w="55" w:type="dxa"/>
              <w:right w:w="55" w:type="dxa"/>
            </w:tcMar>
            <w:vAlign w:val="center"/>
          </w:tcPr>
          <w:p w14:paraId="1C44294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0.24</w:t>
            </w:r>
          </w:p>
        </w:tc>
      </w:tr>
      <w:tr w14:paraId="3D323F9A">
        <w:trPr>
          <w:trHeight w:val="193" w:hRule="atLeast"/>
          <w:jc w:val="center"/>
        </w:trPr>
        <w:tc>
          <w:tcPr>
            <w:tcW w:w="1614" w:type="pct"/>
            <w:tcBorders>
              <w:top w:val="nil"/>
              <w:left w:val="nil"/>
              <w:bottom w:val="nil"/>
              <w:right w:val="nil"/>
            </w:tcBorders>
            <w:shd w:val="clear" w:color="auto" w:fill="FFFFFF"/>
            <w:tcMar>
              <w:top w:w="55" w:type="dxa"/>
              <w:left w:w="55" w:type="dxa"/>
              <w:bottom w:w="55" w:type="dxa"/>
              <w:right w:w="55" w:type="dxa"/>
            </w:tcMar>
            <w:vAlign w:val="center"/>
          </w:tcPr>
          <w:p w14:paraId="5AE42BF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577" w:type="pct"/>
            <w:tcBorders>
              <w:top w:val="nil"/>
              <w:left w:val="nil"/>
              <w:bottom w:val="nil"/>
              <w:right w:val="nil"/>
            </w:tcBorders>
            <w:shd w:val="clear" w:color="auto" w:fill="FFFFFF"/>
            <w:tcMar>
              <w:top w:w="55" w:type="dxa"/>
              <w:left w:w="55" w:type="dxa"/>
              <w:bottom w:w="55" w:type="dxa"/>
              <w:right w:w="55" w:type="dxa"/>
            </w:tcMar>
            <w:vAlign w:val="center"/>
          </w:tcPr>
          <w:p w14:paraId="3D23D40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CV × higher ADL limitation</w:t>
            </w:r>
          </w:p>
        </w:tc>
        <w:tc>
          <w:tcPr>
            <w:tcW w:w="1273" w:type="pct"/>
            <w:tcBorders>
              <w:top w:val="nil"/>
              <w:left w:val="nil"/>
              <w:bottom w:val="nil"/>
              <w:right w:val="nil"/>
            </w:tcBorders>
            <w:shd w:val="clear" w:color="auto" w:fill="FFFFFF"/>
            <w:tcMar>
              <w:top w:w="55" w:type="dxa"/>
              <w:left w:w="55" w:type="dxa"/>
              <w:bottom w:w="55" w:type="dxa"/>
              <w:right w:w="55" w:type="dxa"/>
            </w:tcMar>
            <w:vAlign w:val="center"/>
          </w:tcPr>
          <w:p w14:paraId="64E2BF7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0.26 (-0.05, 0.57)</w:t>
            </w:r>
          </w:p>
        </w:tc>
        <w:tc>
          <w:tcPr>
            <w:tcW w:w="534" w:type="pct"/>
            <w:tcBorders>
              <w:top w:val="nil"/>
              <w:left w:val="nil"/>
              <w:bottom w:val="nil"/>
              <w:right w:val="nil"/>
            </w:tcBorders>
            <w:shd w:val="clear" w:color="auto" w:fill="FFFFFF"/>
            <w:tcMar>
              <w:top w:w="55" w:type="dxa"/>
              <w:left w:w="55" w:type="dxa"/>
              <w:bottom w:w="55" w:type="dxa"/>
              <w:right w:w="55" w:type="dxa"/>
            </w:tcMar>
            <w:vAlign w:val="center"/>
          </w:tcPr>
          <w:p w14:paraId="676D404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0.102</w:t>
            </w:r>
          </w:p>
        </w:tc>
      </w:tr>
      <w:tr w14:paraId="15E6B6C6">
        <w:trPr>
          <w:trHeight w:val="193" w:hRule="atLeast"/>
          <w:jc w:val="center"/>
        </w:trPr>
        <w:tc>
          <w:tcPr>
            <w:tcW w:w="1614" w:type="pct"/>
            <w:tcBorders>
              <w:top w:val="nil"/>
              <w:left w:val="nil"/>
              <w:bottom w:val="nil"/>
              <w:right w:val="nil"/>
            </w:tcBorders>
            <w:shd w:val="clear" w:color="auto" w:fill="FFFFFF"/>
            <w:tcMar>
              <w:top w:w="55" w:type="dxa"/>
              <w:left w:w="55" w:type="dxa"/>
              <w:bottom w:w="55" w:type="dxa"/>
              <w:right w:w="55" w:type="dxa"/>
            </w:tcMar>
            <w:vAlign w:val="center"/>
          </w:tcPr>
          <w:p w14:paraId="4E49F63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slope</w:t>
            </w:r>
          </w:p>
        </w:tc>
        <w:tc>
          <w:tcPr>
            <w:tcW w:w="1577" w:type="pct"/>
            <w:tcBorders>
              <w:top w:val="nil"/>
              <w:left w:val="nil"/>
              <w:bottom w:val="nil"/>
              <w:right w:val="nil"/>
            </w:tcBorders>
            <w:shd w:val="clear" w:color="auto" w:fill="FFFFFF"/>
            <w:tcMar>
              <w:top w:w="55" w:type="dxa"/>
              <w:left w:w="55" w:type="dxa"/>
              <w:bottom w:w="55" w:type="dxa"/>
              <w:right w:w="55" w:type="dxa"/>
            </w:tcMar>
            <w:vAlign w:val="center"/>
          </w:tcPr>
          <w:p w14:paraId="32FDB2D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Main effect</w:t>
            </w:r>
          </w:p>
        </w:tc>
        <w:tc>
          <w:tcPr>
            <w:tcW w:w="1273" w:type="pct"/>
            <w:tcBorders>
              <w:top w:val="nil"/>
              <w:left w:val="nil"/>
              <w:bottom w:val="nil"/>
              <w:right w:val="nil"/>
            </w:tcBorders>
            <w:shd w:val="clear" w:color="auto" w:fill="FFFFFF"/>
            <w:tcMar>
              <w:top w:w="55" w:type="dxa"/>
              <w:left w:w="55" w:type="dxa"/>
              <w:bottom w:w="55" w:type="dxa"/>
              <w:right w:w="55" w:type="dxa"/>
            </w:tcMar>
            <w:vAlign w:val="center"/>
          </w:tcPr>
          <w:p w14:paraId="174CF4B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0.18 (-0.17, 0.53)</w:t>
            </w:r>
          </w:p>
        </w:tc>
        <w:tc>
          <w:tcPr>
            <w:tcW w:w="534" w:type="pct"/>
            <w:tcBorders>
              <w:top w:val="nil"/>
              <w:left w:val="nil"/>
              <w:bottom w:val="nil"/>
              <w:right w:val="nil"/>
            </w:tcBorders>
            <w:shd w:val="clear" w:color="auto" w:fill="FFFFFF"/>
            <w:tcMar>
              <w:top w:w="55" w:type="dxa"/>
              <w:left w:w="55" w:type="dxa"/>
              <w:bottom w:w="55" w:type="dxa"/>
              <w:right w:w="55" w:type="dxa"/>
            </w:tcMar>
            <w:vAlign w:val="center"/>
          </w:tcPr>
          <w:p w14:paraId="2766D38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0.308</w:t>
            </w:r>
          </w:p>
        </w:tc>
      </w:tr>
      <w:tr w14:paraId="699FC7E8">
        <w:trPr>
          <w:trHeight w:val="193" w:hRule="atLeast"/>
          <w:jc w:val="center"/>
        </w:trPr>
        <w:tc>
          <w:tcPr>
            <w:tcW w:w="1614" w:type="pct"/>
            <w:tcBorders>
              <w:top w:val="nil"/>
              <w:left w:val="nil"/>
              <w:bottom w:val="nil"/>
              <w:right w:val="nil"/>
            </w:tcBorders>
            <w:shd w:val="clear" w:color="auto" w:fill="FFFFFF"/>
            <w:tcMar>
              <w:top w:w="55" w:type="dxa"/>
              <w:left w:w="55" w:type="dxa"/>
              <w:bottom w:w="55" w:type="dxa"/>
              <w:right w:w="55" w:type="dxa"/>
            </w:tcMar>
            <w:vAlign w:val="center"/>
          </w:tcPr>
          <w:p w14:paraId="155D806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slope</w:t>
            </w:r>
          </w:p>
        </w:tc>
        <w:tc>
          <w:tcPr>
            <w:tcW w:w="1577" w:type="pct"/>
            <w:tcBorders>
              <w:top w:val="nil"/>
              <w:left w:val="nil"/>
              <w:bottom w:val="nil"/>
              <w:right w:val="nil"/>
            </w:tcBorders>
            <w:shd w:val="clear" w:color="auto" w:fill="FFFFFF"/>
            <w:tcMar>
              <w:top w:w="55" w:type="dxa"/>
              <w:left w:w="55" w:type="dxa"/>
              <w:bottom w:w="55" w:type="dxa"/>
              <w:right w:w="55" w:type="dxa"/>
            </w:tcMar>
            <w:vAlign w:val="center"/>
          </w:tcPr>
          <w:p w14:paraId="102D769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Higher ADL limitation</w:t>
            </w:r>
          </w:p>
        </w:tc>
        <w:tc>
          <w:tcPr>
            <w:tcW w:w="1273" w:type="pct"/>
            <w:tcBorders>
              <w:top w:val="nil"/>
              <w:left w:val="nil"/>
              <w:bottom w:val="nil"/>
              <w:right w:val="nil"/>
            </w:tcBorders>
            <w:shd w:val="clear" w:color="auto" w:fill="FFFFFF"/>
            <w:tcMar>
              <w:top w:w="55" w:type="dxa"/>
              <w:left w:w="55" w:type="dxa"/>
              <w:bottom w:w="55" w:type="dxa"/>
              <w:right w:w="55" w:type="dxa"/>
            </w:tcMar>
            <w:vAlign w:val="center"/>
          </w:tcPr>
          <w:p w14:paraId="73A8CC5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0.01 (-0.06, 0.08)</w:t>
            </w:r>
          </w:p>
        </w:tc>
        <w:tc>
          <w:tcPr>
            <w:tcW w:w="534" w:type="pct"/>
            <w:tcBorders>
              <w:top w:val="nil"/>
              <w:left w:val="nil"/>
              <w:bottom w:val="nil"/>
              <w:right w:val="nil"/>
            </w:tcBorders>
            <w:shd w:val="clear" w:color="auto" w:fill="FFFFFF"/>
            <w:tcMar>
              <w:top w:w="55" w:type="dxa"/>
              <w:left w:w="55" w:type="dxa"/>
              <w:bottom w:w="55" w:type="dxa"/>
              <w:right w:w="55" w:type="dxa"/>
            </w:tcMar>
            <w:vAlign w:val="center"/>
          </w:tcPr>
          <w:p w14:paraId="1728773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0.807</w:t>
            </w:r>
          </w:p>
        </w:tc>
      </w:tr>
      <w:tr w14:paraId="0F58C56C">
        <w:trPr>
          <w:trHeight w:val="193" w:hRule="atLeast"/>
          <w:jc w:val="center"/>
        </w:trPr>
        <w:tc>
          <w:tcPr>
            <w:tcW w:w="1614" w:type="pct"/>
            <w:tcBorders>
              <w:top w:val="nil"/>
              <w:left w:val="nil"/>
              <w:bottom w:val="nil"/>
              <w:right w:val="nil"/>
            </w:tcBorders>
            <w:shd w:val="clear" w:color="auto" w:fill="FFFFFF"/>
            <w:tcMar>
              <w:top w:w="55" w:type="dxa"/>
              <w:left w:w="55" w:type="dxa"/>
              <w:bottom w:w="55" w:type="dxa"/>
              <w:right w:w="55" w:type="dxa"/>
            </w:tcMar>
            <w:vAlign w:val="center"/>
          </w:tcPr>
          <w:p w14:paraId="320DEB4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slope</w:t>
            </w:r>
          </w:p>
        </w:tc>
        <w:tc>
          <w:tcPr>
            <w:tcW w:w="1577" w:type="pct"/>
            <w:tcBorders>
              <w:top w:val="nil"/>
              <w:left w:val="nil"/>
              <w:bottom w:val="nil"/>
              <w:right w:val="nil"/>
            </w:tcBorders>
            <w:shd w:val="clear" w:color="auto" w:fill="FFFFFF"/>
            <w:tcMar>
              <w:top w:w="55" w:type="dxa"/>
              <w:left w:w="55" w:type="dxa"/>
              <w:bottom w:w="55" w:type="dxa"/>
              <w:right w:w="55" w:type="dxa"/>
            </w:tcMar>
            <w:vAlign w:val="center"/>
          </w:tcPr>
          <w:p w14:paraId="2FF67E2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slope × higher ADL limitation</w:t>
            </w:r>
          </w:p>
        </w:tc>
        <w:tc>
          <w:tcPr>
            <w:tcW w:w="1273" w:type="pct"/>
            <w:tcBorders>
              <w:top w:val="nil"/>
              <w:left w:val="nil"/>
              <w:bottom w:val="nil"/>
              <w:right w:val="nil"/>
            </w:tcBorders>
            <w:shd w:val="clear" w:color="auto" w:fill="FFFFFF"/>
            <w:tcMar>
              <w:top w:w="55" w:type="dxa"/>
              <w:left w:w="55" w:type="dxa"/>
              <w:bottom w:w="55" w:type="dxa"/>
              <w:right w:w="55" w:type="dxa"/>
            </w:tcMar>
            <w:vAlign w:val="center"/>
          </w:tcPr>
          <w:p w14:paraId="2D7F8C1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-0.24 (-0.70, 0.22)</w:t>
            </w:r>
          </w:p>
        </w:tc>
        <w:tc>
          <w:tcPr>
            <w:tcW w:w="534" w:type="pct"/>
            <w:tcBorders>
              <w:top w:val="nil"/>
              <w:left w:val="nil"/>
              <w:bottom w:val="nil"/>
              <w:right w:val="nil"/>
            </w:tcBorders>
            <w:shd w:val="clear" w:color="auto" w:fill="FFFFFF"/>
            <w:tcMar>
              <w:top w:w="55" w:type="dxa"/>
              <w:left w:w="55" w:type="dxa"/>
              <w:bottom w:w="55" w:type="dxa"/>
              <w:right w:w="55" w:type="dxa"/>
            </w:tcMar>
            <w:vAlign w:val="center"/>
          </w:tcPr>
          <w:p w14:paraId="0715C06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0.302</w:t>
            </w:r>
          </w:p>
        </w:tc>
      </w:tr>
      <w:tr w14:paraId="209BB949">
        <w:trPr>
          <w:trHeight w:val="193" w:hRule="atLeast"/>
          <w:jc w:val="center"/>
        </w:trPr>
        <w:tc>
          <w:tcPr>
            <w:tcW w:w="1614" w:type="pct"/>
            <w:tcBorders>
              <w:top w:val="nil"/>
              <w:left w:val="nil"/>
              <w:bottom w:val="nil"/>
              <w:right w:val="nil"/>
            </w:tcBorders>
            <w:shd w:val="clear" w:color="auto" w:fill="FFFFFF"/>
            <w:tcMar>
              <w:top w:w="55" w:type="dxa"/>
              <w:left w:w="55" w:type="dxa"/>
              <w:bottom w:w="55" w:type="dxa"/>
              <w:right w:w="55" w:type="dxa"/>
            </w:tcMar>
            <w:vAlign w:val="center"/>
          </w:tcPr>
          <w:p w14:paraId="1C9A7DE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Number of ferritin &lt;30 episodes</w:t>
            </w:r>
          </w:p>
        </w:tc>
        <w:tc>
          <w:tcPr>
            <w:tcW w:w="1577" w:type="pct"/>
            <w:tcBorders>
              <w:top w:val="nil"/>
              <w:left w:val="nil"/>
              <w:bottom w:val="nil"/>
              <w:right w:val="nil"/>
            </w:tcBorders>
            <w:shd w:val="clear" w:color="auto" w:fill="FFFFFF"/>
            <w:tcMar>
              <w:top w:w="55" w:type="dxa"/>
              <w:left w:w="55" w:type="dxa"/>
              <w:bottom w:w="55" w:type="dxa"/>
              <w:right w:w="55" w:type="dxa"/>
            </w:tcMar>
            <w:vAlign w:val="center"/>
          </w:tcPr>
          <w:p w14:paraId="73BCDD9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Main effect</w:t>
            </w:r>
          </w:p>
        </w:tc>
        <w:tc>
          <w:tcPr>
            <w:tcW w:w="1273" w:type="pct"/>
            <w:tcBorders>
              <w:top w:val="nil"/>
              <w:left w:val="nil"/>
              <w:bottom w:val="nil"/>
              <w:right w:val="nil"/>
            </w:tcBorders>
            <w:shd w:val="clear" w:color="auto" w:fill="FFFFFF"/>
            <w:tcMar>
              <w:top w:w="55" w:type="dxa"/>
              <w:left w:w="55" w:type="dxa"/>
              <w:bottom w:w="55" w:type="dxa"/>
              <w:right w:w="55" w:type="dxa"/>
            </w:tcMar>
            <w:vAlign w:val="center"/>
          </w:tcPr>
          <w:p w14:paraId="0C32F6D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-0.04 (-0.12, 0.03)</w:t>
            </w:r>
          </w:p>
        </w:tc>
        <w:tc>
          <w:tcPr>
            <w:tcW w:w="534" w:type="pct"/>
            <w:tcBorders>
              <w:top w:val="nil"/>
              <w:left w:val="nil"/>
              <w:bottom w:val="nil"/>
              <w:right w:val="nil"/>
            </w:tcBorders>
            <w:shd w:val="clear" w:color="auto" w:fill="FFFFFF"/>
            <w:tcMar>
              <w:top w:w="55" w:type="dxa"/>
              <w:left w:w="55" w:type="dxa"/>
              <w:bottom w:w="55" w:type="dxa"/>
              <w:right w:w="55" w:type="dxa"/>
            </w:tcMar>
            <w:vAlign w:val="center"/>
          </w:tcPr>
          <w:p w14:paraId="2FBB76D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0.282</w:t>
            </w:r>
          </w:p>
        </w:tc>
      </w:tr>
      <w:tr w14:paraId="0CED34B7">
        <w:trPr>
          <w:trHeight w:val="193" w:hRule="atLeast"/>
          <w:jc w:val="center"/>
        </w:trPr>
        <w:tc>
          <w:tcPr>
            <w:tcW w:w="1614" w:type="pct"/>
            <w:tcBorders>
              <w:top w:val="nil"/>
              <w:left w:val="nil"/>
              <w:bottom w:val="nil"/>
              <w:right w:val="nil"/>
            </w:tcBorders>
            <w:shd w:val="clear" w:color="auto" w:fill="FFFFFF"/>
            <w:tcMar>
              <w:top w:w="55" w:type="dxa"/>
              <w:left w:w="55" w:type="dxa"/>
              <w:bottom w:w="55" w:type="dxa"/>
              <w:right w:w="55" w:type="dxa"/>
            </w:tcMar>
            <w:vAlign w:val="center"/>
          </w:tcPr>
          <w:p w14:paraId="0F829D6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Number of ferritin &lt;30 episodes</w:t>
            </w:r>
          </w:p>
        </w:tc>
        <w:tc>
          <w:tcPr>
            <w:tcW w:w="1577" w:type="pct"/>
            <w:tcBorders>
              <w:top w:val="nil"/>
              <w:left w:val="nil"/>
              <w:bottom w:val="nil"/>
              <w:right w:val="nil"/>
            </w:tcBorders>
            <w:shd w:val="clear" w:color="auto" w:fill="FFFFFF"/>
            <w:tcMar>
              <w:top w:w="55" w:type="dxa"/>
              <w:left w:w="55" w:type="dxa"/>
              <w:bottom w:w="55" w:type="dxa"/>
              <w:right w:w="55" w:type="dxa"/>
            </w:tcMar>
            <w:vAlign w:val="center"/>
          </w:tcPr>
          <w:p w14:paraId="57B34CD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Higher ADL limitation</w:t>
            </w:r>
          </w:p>
        </w:tc>
        <w:tc>
          <w:tcPr>
            <w:tcW w:w="1273" w:type="pct"/>
            <w:tcBorders>
              <w:top w:val="nil"/>
              <w:left w:val="nil"/>
              <w:bottom w:val="nil"/>
              <w:right w:val="nil"/>
            </w:tcBorders>
            <w:shd w:val="clear" w:color="auto" w:fill="FFFFFF"/>
            <w:tcMar>
              <w:top w:w="55" w:type="dxa"/>
              <w:left w:w="55" w:type="dxa"/>
              <w:bottom w:w="55" w:type="dxa"/>
              <w:right w:w="55" w:type="dxa"/>
            </w:tcMar>
            <w:vAlign w:val="center"/>
          </w:tcPr>
          <w:p w14:paraId="5F7C8B8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-0.05 (-0.13, 0.02)</w:t>
            </w:r>
          </w:p>
        </w:tc>
        <w:tc>
          <w:tcPr>
            <w:tcW w:w="534" w:type="pct"/>
            <w:tcBorders>
              <w:top w:val="nil"/>
              <w:left w:val="nil"/>
              <w:bottom w:val="nil"/>
              <w:right w:val="nil"/>
            </w:tcBorders>
            <w:shd w:val="clear" w:color="auto" w:fill="FFFFFF"/>
            <w:tcMar>
              <w:top w:w="55" w:type="dxa"/>
              <w:left w:w="55" w:type="dxa"/>
              <w:bottom w:w="55" w:type="dxa"/>
              <w:right w:w="55" w:type="dxa"/>
            </w:tcMar>
            <w:vAlign w:val="center"/>
          </w:tcPr>
          <w:p w14:paraId="3B1EE2C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0.15</w:t>
            </w:r>
          </w:p>
        </w:tc>
      </w:tr>
      <w:tr w14:paraId="615904FC">
        <w:trPr>
          <w:trHeight w:val="193" w:hRule="atLeast"/>
          <w:jc w:val="center"/>
        </w:trPr>
        <w:tc>
          <w:tcPr>
            <w:tcW w:w="1614"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6A9C16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Number of ferritin &lt;30 episodes</w:t>
            </w:r>
          </w:p>
        </w:tc>
        <w:tc>
          <w:tcPr>
            <w:tcW w:w="157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D5C7B1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Low-ferritin count × higher ADL limitation</w:t>
            </w:r>
          </w:p>
        </w:tc>
        <w:tc>
          <w:tcPr>
            <w:tcW w:w="1273"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88A46C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0.11 (0.01, 0.22)</w:t>
            </w:r>
          </w:p>
        </w:tc>
        <w:tc>
          <w:tcPr>
            <w:tcW w:w="534"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58AEA9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0.028</w:t>
            </w:r>
          </w:p>
        </w:tc>
      </w:tr>
    </w:tbl>
    <w:p w14:paraId="63AC531C">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1073FC91">
      <w:pPr>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Panel B. IADL interaction models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48"/>
        <w:gridCol w:w="4772"/>
        <w:gridCol w:w="3208"/>
        <w:gridCol w:w="1638"/>
      </w:tblGrid>
      <w:tr w14:paraId="6C593C26">
        <w:trPr>
          <w:trHeight w:val="193" w:hRule="atLeast"/>
          <w:tblHeader/>
          <w:jc w:val="center"/>
        </w:trPr>
        <w:tc>
          <w:tcPr>
            <w:tcW w:w="1652"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DEBEA70">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Exposure</w:t>
            </w:r>
          </w:p>
        </w:tc>
        <w:tc>
          <w:tcPr>
            <w:tcW w:w="166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5298B61">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Variable</w:t>
            </w:r>
          </w:p>
        </w:tc>
        <w:tc>
          <w:tcPr>
            <w:tcW w:w="1116"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F953436">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β (95% CI)</w:t>
            </w:r>
          </w:p>
        </w:tc>
        <w:tc>
          <w:tcPr>
            <w:tcW w:w="57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8E2FC44">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47184F24">
        <w:trPr>
          <w:trHeight w:val="193" w:hRule="atLeast"/>
          <w:jc w:val="center"/>
        </w:trPr>
        <w:tc>
          <w:tcPr>
            <w:tcW w:w="1652"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8D4B3C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66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F553DF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Main effect</w:t>
            </w:r>
          </w:p>
        </w:tc>
        <w:tc>
          <w:tcPr>
            <w:tcW w:w="1116"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51CE38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-0.33 (-0.53, -0.13)</w:t>
            </w:r>
          </w:p>
        </w:tc>
        <w:tc>
          <w:tcPr>
            <w:tcW w:w="57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91C95A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0.002</w:t>
            </w:r>
          </w:p>
        </w:tc>
      </w:tr>
      <w:tr w14:paraId="4D341C75">
        <w:trPr>
          <w:trHeight w:val="193" w:hRule="atLeast"/>
          <w:jc w:val="center"/>
        </w:trPr>
        <w:tc>
          <w:tcPr>
            <w:tcW w:w="1652" w:type="pct"/>
            <w:tcBorders>
              <w:top w:val="nil"/>
              <w:left w:val="nil"/>
              <w:bottom w:val="nil"/>
              <w:right w:val="nil"/>
            </w:tcBorders>
            <w:shd w:val="clear" w:color="auto" w:fill="FFFFFF"/>
            <w:tcMar>
              <w:top w:w="55" w:type="dxa"/>
              <w:left w:w="55" w:type="dxa"/>
              <w:bottom w:w="55" w:type="dxa"/>
              <w:right w:w="55" w:type="dxa"/>
            </w:tcMar>
            <w:vAlign w:val="center"/>
          </w:tcPr>
          <w:p w14:paraId="7967C47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660" w:type="pct"/>
            <w:tcBorders>
              <w:top w:val="nil"/>
              <w:left w:val="nil"/>
              <w:bottom w:val="nil"/>
              <w:right w:val="nil"/>
            </w:tcBorders>
            <w:shd w:val="clear" w:color="auto" w:fill="FFFFFF"/>
            <w:tcMar>
              <w:top w:w="55" w:type="dxa"/>
              <w:left w:w="55" w:type="dxa"/>
              <w:bottom w:w="55" w:type="dxa"/>
              <w:right w:w="55" w:type="dxa"/>
            </w:tcMar>
            <w:vAlign w:val="center"/>
          </w:tcPr>
          <w:p w14:paraId="664B85D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Higher IADL limitation</w:t>
            </w:r>
          </w:p>
        </w:tc>
        <w:tc>
          <w:tcPr>
            <w:tcW w:w="1116" w:type="pct"/>
            <w:tcBorders>
              <w:top w:val="nil"/>
              <w:left w:val="nil"/>
              <w:bottom w:val="nil"/>
              <w:right w:val="nil"/>
            </w:tcBorders>
            <w:shd w:val="clear" w:color="auto" w:fill="FFFFFF"/>
            <w:tcMar>
              <w:top w:w="55" w:type="dxa"/>
              <w:left w:w="55" w:type="dxa"/>
              <w:bottom w:w="55" w:type="dxa"/>
              <w:right w:w="55" w:type="dxa"/>
            </w:tcMar>
            <w:vAlign w:val="center"/>
          </w:tcPr>
          <w:p w14:paraId="42C2C8E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-0.13 (-0.31, 0.05)</w:t>
            </w:r>
          </w:p>
        </w:tc>
        <w:tc>
          <w:tcPr>
            <w:tcW w:w="570" w:type="pct"/>
            <w:tcBorders>
              <w:top w:val="nil"/>
              <w:left w:val="nil"/>
              <w:bottom w:val="nil"/>
              <w:right w:val="nil"/>
            </w:tcBorders>
            <w:shd w:val="clear" w:color="auto" w:fill="FFFFFF"/>
            <w:tcMar>
              <w:top w:w="55" w:type="dxa"/>
              <w:left w:w="55" w:type="dxa"/>
              <w:bottom w:w="55" w:type="dxa"/>
              <w:right w:w="55" w:type="dxa"/>
            </w:tcMar>
            <w:vAlign w:val="center"/>
          </w:tcPr>
          <w:p w14:paraId="3CA3CFC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0.147</w:t>
            </w:r>
          </w:p>
        </w:tc>
      </w:tr>
      <w:tr w14:paraId="59273A69">
        <w:trPr>
          <w:trHeight w:val="193" w:hRule="atLeast"/>
          <w:jc w:val="center"/>
        </w:trPr>
        <w:tc>
          <w:tcPr>
            <w:tcW w:w="1652" w:type="pct"/>
            <w:tcBorders>
              <w:top w:val="nil"/>
              <w:left w:val="nil"/>
              <w:bottom w:val="nil"/>
              <w:right w:val="nil"/>
            </w:tcBorders>
            <w:shd w:val="clear" w:color="auto" w:fill="FFFFFF"/>
            <w:tcMar>
              <w:top w:w="55" w:type="dxa"/>
              <w:left w:w="55" w:type="dxa"/>
              <w:bottom w:w="55" w:type="dxa"/>
              <w:right w:w="55" w:type="dxa"/>
            </w:tcMar>
            <w:vAlign w:val="center"/>
          </w:tcPr>
          <w:p w14:paraId="76096FE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660" w:type="pct"/>
            <w:tcBorders>
              <w:top w:val="nil"/>
              <w:left w:val="nil"/>
              <w:bottom w:val="nil"/>
              <w:right w:val="nil"/>
            </w:tcBorders>
            <w:shd w:val="clear" w:color="auto" w:fill="FFFFFF"/>
            <w:tcMar>
              <w:top w:w="55" w:type="dxa"/>
              <w:left w:w="55" w:type="dxa"/>
              <w:bottom w:w="55" w:type="dxa"/>
              <w:right w:w="55" w:type="dxa"/>
            </w:tcMar>
            <w:vAlign w:val="center"/>
          </w:tcPr>
          <w:p w14:paraId="2050096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CV × higher IADL limitation</w:t>
            </w:r>
          </w:p>
        </w:tc>
        <w:tc>
          <w:tcPr>
            <w:tcW w:w="1116" w:type="pct"/>
            <w:tcBorders>
              <w:top w:val="nil"/>
              <w:left w:val="nil"/>
              <w:bottom w:val="nil"/>
              <w:right w:val="nil"/>
            </w:tcBorders>
            <w:shd w:val="clear" w:color="auto" w:fill="FFFFFF"/>
            <w:tcMar>
              <w:top w:w="55" w:type="dxa"/>
              <w:left w:w="55" w:type="dxa"/>
              <w:bottom w:w="55" w:type="dxa"/>
              <w:right w:w="55" w:type="dxa"/>
            </w:tcMar>
            <w:vAlign w:val="center"/>
          </w:tcPr>
          <w:p w14:paraId="2A4AD9A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0.15 (-0.22, 0.53)</w:t>
            </w:r>
          </w:p>
        </w:tc>
        <w:tc>
          <w:tcPr>
            <w:tcW w:w="570" w:type="pct"/>
            <w:tcBorders>
              <w:top w:val="nil"/>
              <w:left w:val="nil"/>
              <w:bottom w:val="nil"/>
              <w:right w:val="nil"/>
            </w:tcBorders>
            <w:shd w:val="clear" w:color="auto" w:fill="FFFFFF"/>
            <w:tcMar>
              <w:top w:w="55" w:type="dxa"/>
              <w:left w:w="55" w:type="dxa"/>
              <w:bottom w:w="55" w:type="dxa"/>
              <w:right w:w="55" w:type="dxa"/>
            </w:tcMar>
            <w:vAlign w:val="center"/>
          </w:tcPr>
          <w:p w14:paraId="29813A2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0.418</w:t>
            </w:r>
          </w:p>
        </w:tc>
      </w:tr>
      <w:tr w14:paraId="6324F877">
        <w:trPr>
          <w:trHeight w:val="193" w:hRule="atLeast"/>
          <w:jc w:val="center"/>
        </w:trPr>
        <w:tc>
          <w:tcPr>
            <w:tcW w:w="1652" w:type="pct"/>
            <w:tcBorders>
              <w:top w:val="nil"/>
              <w:left w:val="nil"/>
              <w:bottom w:val="nil"/>
              <w:right w:val="nil"/>
            </w:tcBorders>
            <w:shd w:val="clear" w:color="auto" w:fill="FFFFFF"/>
            <w:tcMar>
              <w:top w:w="55" w:type="dxa"/>
              <w:left w:w="55" w:type="dxa"/>
              <w:bottom w:w="55" w:type="dxa"/>
              <w:right w:w="55" w:type="dxa"/>
            </w:tcMar>
            <w:vAlign w:val="center"/>
          </w:tcPr>
          <w:p w14:paraId="5C0D4A5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slope</w:t>
            </w:r>
          </w:p>
        </w:tc>
        <w:tc>
          <w:tcPr>
            <w:tcW w:w="1660" w:type="pct"/>
            <w:tcBorders>
              <w:top w:val="nil"/>
              <w:left w:val="nil"/>
              <w:bottom w:val="nil"/>
              <w:right w:val="nil"/>
            </w:tcBorders>
            <w:shd w:val="clear" w:color="auto" w:fill="FFFFFF"/>
            <w:tcMar>
              <w:top w:w="55" w:type="dxa"/>
              <w:left w:w="55" w:type="dxa"/>
              <w:bottom w:w="55" w:type="dxa"/>
              <w:right w:w="55" w:type="dxa"/>
            </w:tcMar>
            <w:vAlign w:val="center"/>
          </w:tcPr>
          <w:p w14:paraId="679C782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Main effect</w:t>
            </w:r>
          </w:p>
        </w:tc>
        <w:tc>
          <w:tcPr>
            <w:tcW w:w="1116" w:type="pct"/>
            <w:tcBorders>
              <w:top w:val="nil"/>
              <w:left w:val="nil"/>
              <w:bottom w:val="nil"/>
              <w:right w:val="nil"/>
            </w:tcBorders>
            <w:shd w:val="clear" w:color="auto" w:fill="FFFFFF"/>
            <w:tcMar>
              <w:top w:w="55" w:type="dxa"/>
              <w:left w:w="55" w:type="dxa"/>
              <w:bottom w:w="55" w:type="dxa"/>
              <w:right w:w="55" w:type="dxa"/>
            </w:tcMar>
            <w:vAlign w:val="center"/>
          </w:tcPr>
          <w:p w14:paraId="0FC1538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0.09 (-0.24, 0.42)</w:t>
            </w:r>
          </w:p>
        </w:tc>
        <w:tc>
          <w:tcPr>
            <w:tcW w:w="570" w:type="pct"/>
            <w:tcBorders>
              <w:top w:val="nil"/>
              <w:left w:val="nil"/>
              <w:bottom w:val="nil"/>
              <w:right w:val="nil"/>
            </w:tcBorders>
            <w:shd w:val="clear" w:color="auto" w:fill="FFFFFF"/>
            <w:tcMar>
              <w:top w:w="55" w:type="dxa"/>
              <w:left w:w="55" w:type="dxa"/>
              <w:bottom w:w="55" w:type="dxa"/>
              <w:right w:w="55" w:type="dxa"/>
            </w:tcMar>
            <w:vAlign w:val="center"/>
          </w:tcPr>
          <w:p w14:paraId="1C67C44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0.588</w:t>
            </w:r>
          </w:p>
        </w:tc>
      </w:tr>
      <w:tr w14:paraId="240CA2B4">
        <w:trPr>
          <w:trHeight w:val="193" w:hRule="atLeast"/>
          <w:jc w:val="center"/>
        </w:trPr>
        <w:tc>
          <w:tcPr>
            <w:tcW w:w="1652" w:type="pct"/>
            <w:tcBorders>
              <w:top w:val="nil"/>
              <w:left w:val="nil"/>
              <w:bottom w:val="nil"/>
              <w:right w:val="nil"/>
            </w:tcBorders>
            <w:shd w:val="clear" w:color="auto" w:fill="FFFFFF"/>
            <w:tcMar>
              <w:top w:w="55" w:type="dxa"/>
              <w:left w:w="55" w:type="dxa"/>
              <w:bottom w:w="55" w:type="dxa"/>
              <w:right w:w="55" w:type="dxa"/>
            </w:tcMar>
            <w:vAlign w:val="center"/>
          </w:tcPr>
          <w:p w14:paraId="4019538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slope</w:t>
            </w:r>
          </w:p>
        </w:tc>
        <w:tc>
          <w:tcPr>
            <w:tcW w:w="1660" w:type="pct"/>
            <w:tcBorders>
              <w:top w:val="nil"/>
              <w:left w:val="nil"/>
              <w:bottom w:val="nil"/>
              <w:right w:val="nil"/>
            </w:tcBorders>
            <w:shd w:val="clear" w:color="auto" w:fill="FFFFFF"/>
            <w:tcMar>
              <w:top w:w="55" w:type="dxa"/>
              <w:left w:w="55" w:type="dxa"/>
              <w:bottom w:w="55" w:type="dxa"/>
              <w:right w:w="55" w:type="dxa"/>
            </w:tcMar>
            <w:vAlign w:val="center"/>
          </w:tcPr>
          <w:p w14:paraId="605DD80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Higher IADL limitation</w:t>
            </w:r>
          </w:p>
        </w:tc>
        <w:tc>
          <w:tcPr>
            <w:tcW w:w="1116" w:type="pct"/>
            <w:tcBorders>
              <w:top w:val="nil"/>
              <w:left w:val="nil"/>
              <w:bottom w:val="nil"/>
              <w:right w:val="nil"/>
            </w:tcBorders>
            <w:shd w:val="clear" w:color="auto" w:fill="FFFFFF"/>
            <w:tcMar>
              <w:top w:w="55" w:type="dxa"/>
              <w:left w:w="55" w:type="dxa"/>
              <w:bottom w:w="55" w:type="dxa"/>
              <w:right w:w="55" w:type="dxa"/>
            </w:tcMar>
            <w:vAlign w:val="center"/>
          </w:tcPr>
          <w:p w14:paraId="79B1E37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-0.08 (-0.17, 0.01)</w:t>
            </w:r>
          </w:p>
        </w:tc>
        <w:tc>
          <w:tcPr>
            <w:tcW w:w="570" w:type="pct"/>
            <w:tcBorders>
              <w:top w:val="nil"/>
              <w:left w:val="nil"/>
              <w:bottom w:val="nil"/>
              <w:right w:val="nil"/>
            </w:tcBorders>
            <w:shd w:val="clear" w:color="auto" w:fill="FFFFFF"/>
            <w:tcMar>
              <w:top w:w="55" w:type="dxa"/>
              <w:left w:w="55" w:type="dxa"/>
              <w:bottom w:w="55" w:type="dxa"/>
              <w:right w:w="55" w:type="dxa"/>
            </w:tcMar>
            <w:vAlign w:val="center"/>
          </w:tcPr>
          <w:p w14:paraId="72906DC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0.098</w:t>
            </w:r>
          </w:p>
        </w:tc>
      </w:tr>
      <w:tr w14:paraId="58DCD06D">
        <w:trPr>
          <w:trHeight w:val="193" w:hRule="atLeast"/>
          <w:jc w:val="center"/>
        </w:trPr>
        <w:tc>
          <w:tcPr>
            <w:tcW w:w="1652" w:type="pct"/>
            <w:tcBorders>
              <w:top w:val="nil"/>
              <w:left w:val="nil"/>
              <w:bottom w:val="nil"/>
              <w:right w:val="nil"/>
            </w:tcBorders>
            <w:shd w:val="clear" w:color="auto" w:fill="FFFFFF"/>
            <w:tcMar>
              <w:top w:w="55" w:type="dxa"/>
              <w:left w:w="55" w:type="dxa"/>
              <w:bottom w:w="55" w:type="dxa"/>
              <w:right w:w="55" w:type="dxa"/>
            </w:tcMar>
            <w:vAlign w:val="center"/>
          </w:tcPr>
          <w:p w14:paraId="226D8D4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slope</w:t>
            </w:r>
          </w:p>
        </w:tc>
        <w:tc>
          <w:tcPr>
            <w:tcW w:w="1660" w:type="pct"/>
            <w:tcBorders>
              <w:top w:val="nil"/>
              <w:left w:val="nil"/>
              <w:bottom w:val="nil"/>
              <w:right w:val="nil"/>
            </w:tcBorders>
            <w:shd w:val="clear" w:color="auto" w:fill="FFFFFF"/>
            <w:tcMar>
              <w:top w:w="55" w:type="dxa"/>
              <w:left w:w="55" w:type="dxa"/>
              <w:bottom w:w="55" w:type="dxa"/>
              <w:right w:w="55" w:type="dxa"/>
            </w:tcMar>
            <w:vAlign w:val="center"/>
          </w:tcPr>
          <w:p w14:paraId="66C0CFD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slope × higher IADL limitation</w:t>
            </w:r>
          </w:p>
        </w:tc>
        <w:tc>
          <w:tcPr>
            <w:tcW w:w="1116" w:type="pct"/>
            <w:tcBorders>
              <w:top w:val="nil"/>
              <w:left w:val="nil"/>
              <w:bottom w:val="nil"/>
              <w:right w:val="nil"/>
            </w:tcBorders>
            <w:shd w:val="clear" w:color="auto" w:fill="FFFFFF"/>
            <w:tcMar>
              <w:top w:w="55" w:type="dxa"/>
              <w:left w:w="55" w:type="dxa"/>
              <w:bottom w:w="55" w:type="dxa"/>
              <w:right w:w="55" w:type="dxa"/>
            </w:tcMar>
            <w:vAlign w:val="center"/>
          </w:tcPr>
          <w:p w14:paraId="37B89CA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-0.09 (-0.56, 0.39)</w:t>
            </w:r>
          </w:p>
        </w:tc>
        <w:tc>
          <w:tcPr>
            <w:tcW w:w="570" w:type="pct"/>
            <w:tcBorders>
              <w:top w:val="nil"/>
              <w:left w:val="nil"/>
              <w:bottom w:val="nil"/>
              <w:right w:val="nil"/>
            </w:tcBorders>
            <w:shd w:val="clear" w:color="auto" w:fill="FFFFFF"/>
            <w:tcMar>
              <w:top w:w="55" w:type="dxa"/>
              <w:left w:w="55" w:type="dxa"/>
              <w:bottom w:w="55" w:type="dxa"/>
              <w:right w:w="55" w:type="dxa"/>
            </w:tcMar>
            <w:vAlign w:val="center"/>
          </w:tcPr>
          <w:p w14:paraId="6C0E122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0.714</w:t>
            </w:r>
          </w:p>
        </w:tc>
      </w:tr>
      <w:tr w14:paraId="64DC41BE">
        <w:trPr>
          <w:trHeight w:val="193" w:hRule="atLeast"/>
          <w:jc w:val="center"/>
        </w:trPr>
        <w:tc>
          <w:tcPr>
            <w:tcW w:w="1652" w:type="pct"/>
            <w:tcBorders>
              <w:top w:val="nil"/>
              <w:left w:val="nil"/>
              <w:bottom w:val="nil"/>
              <w:right w:val="nil"/>
            </w:tcBorders>
            <w:shd w:val="clear" w:color="auto" w:fill="FFFFFF"/>
            <w:tcMar>
              <w:top w:w="55" w:type="dxa"/>
              <w:left w:w="55" w:type="dxa"/>
              <w:bottom w:w="55" w:type="dxa"/>
              <w:right w:w="55" w:type="dxa"/>
            </w:tcMar>
            <w:vAlign w:val="center"/>
          </w:tcPr>
          <w:p w14:paraId="180C905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Number of ferritin &lt;30 episodes</w:t>
            </w:r>
          </w:p>
        </w:tc>
        <w:tc>
          <w:tcPr>
            <w:tcW w:w="1660" w:type="pct"/>
            <w:tcBorders>
              <w:top w:val="nil"/>
              <w:left w:val="nil"/>
              <w:bottom w:val="nil"/>
              <w:right w:val="nil"/>
            </w:tcBorders>
            <w:shd w:val="clear" w:color="auto" w:fill="FFFFFF"/>
            <w:tcMar>
              <w:top w:w="55" w:type="dxa"/>
              <w:left w:w="55" w:type="dxa"/>
              <w:bottom w:w="55" w:type="dxa"/>
              <w:right w:w="55" w:type="dxa"/>
            </w:tcMar>
            <w:vAlign w:val="center"/>
          </w:tcPr>
          <w:p w14:paraId="012C0F4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Main effect</w:t>
            </w:r>
          </w:p>
        </w:tc>
        <w:tc>
          <w:tcPr>
            <w:tcW w:w="1116" w:type="pct"/>
            <w:tcBorders>
              <w:top w:val="nil"/>
              <w:left w:val="nil"/>
              <w:bottom w:val="nil"/>
              <w:right w:val="nil"/>
            </w:tcBorders>
            <w:shd w:val="clear" w:color="auto" w:fill="FFFFFF"/>
            <w:tcMar>
              <w:top w:w="55" w:type="dxa"/>
              <w:left w:w="55" w:type="dxa"/>
              <w:bottom w:w="55" w:type="dxa"/>
              <w:right w:w="55" w:type="dxa"/>
            </w:tcMar>
            <w:vAlign w:val="center"/>
          </w:tcPr>
          <w:p w14:paraId="1344FEF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-0.02 (-0.09, 0.05)</w:t>
            </w:r>
          </w:p>
        </w:tc>
        <w:tc>
          <w:tcPr>
            <w:tcW w:w="570" w:type="pct"/>
            <w:tcBorders>
              <w:top w:val="nil"/>
              <w:left w:val="nil"/>
              <w:bottom w:val="nil"/>
              <w:right w:val="nil"/>
            </w:tcBorders>
            <w:shd w:val="clear" w:color="auto" w:fill="FFFFFF"/>
            <w:tcMar>
              <w:top w:w="55" w:type="dxa"/>
              <w:left w:w="55" w:type="dxa"/>
              <w:bottom w:w="55" w:type="dxa"/>
              <w:right w:w="55" w:type="dxa"/>
            </w:tcMar>
            <w:vAlign w:val="center"/>
          </w:tcPr>
          <w:p w14:paraId="27E72FF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0.543</w:t>
            </w:r>
          </w:p>
        </w:tc>
      </w:tr>
      <w:tr w14:paraId="60FF93F0">
        <w:trPr>
          <w:trHeight w:val="193" w:hRule="atLeast"/>
          <w:jc w:val="center"/>
        </w:trPr>
        <w:tc>
          <w:tcPr>
            <w:tcW w:w="1652" w:type="pct"/>
            <w:tcBorders>
              <w:top w:val="nil"/>
              <w:left w:val="nil"/>
              <w:bottom w:val="nil"/>
              <w:right w:val="nil"/>
            </w:tcBorders>
            <w:shd w:val="clear" w:color="auto" w:fill="FFFFFF"/>
            <w:tcMar>
              <w:top w:w="55" w:type="dxa"/>
              <w:left w:w="55" w:type="dxa"/>
              <w:bottom w:w="55" w:type="dxa"/>
              <w:right w:w="55" w:type="dxa"/>
            </w:tcMar>
            <w:vAlign w:val="center"/>
          </w:tcPr>
          <w:p w14:paraId="414395F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Number of ferritin &lt;30 episodes</w:t>
            </w:r>
          </w:p>
        </w:tc>
        <w:tc>
          <w:tcPr>
            <w:tcW w:w="1660" w:type="pct"/>
            <w:tcBorders>
              <w:top w:val="nil"/>
              <w:left w:val="nil"/>
              <w:bottom w:val="nil"/>
              <w:right w:val="nil"/>
            </w:tcBorders>
            <w:shd w:val="clear" w:color="auto" w:fill="FFFFFF"/>
            <w:tcMar>
              <w:top w:w="55" w:type="dxa"/>
              <w:left w:w="55" w:type="dxa"/>
              <w:bottom w:w="55" w:type="dxa"/>
              <w:right w:w="55" w:type="dxa"/>
            </w:tcMar>
            <w:vAlign w:val="center"/>
          </w:tcPr>
          <w:p w14:paraId="783FF43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Higher IADL limitation</w:t>
            </w:r>
          </w:p>
        </w:tc>
        <w:tc>
          <w:tcPr>
            <w:tcW w:w="1116" w:type="pct"/>
            <w:tcBorders>
              <w:top w:val="nil"/>
              <w:left w:val="nil"/>
              <w:bottom w:val="nil"/>
              <w:right w:val="nil"/>
            </w:tcBorders>
            <w:shd w:val="clear" w:color="auto" w:fill="FFFFFF"/>
            <w:tcMar>
              <w:top w:w="55" w:type="dxa"/>
              <w:left w:w="55" w:type="dxa"/>
              <w:bottom w:w="55" w:type="dxa"/>
              <w:right w:w="55" w:type="dxa"/>
            </w:tcMar>
            <w:vAlign w:val="center"/>
          </w:tcPr>
          <w:p w14:paraId="76D2A45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-0.13 (-0.22, -0.03)</w:t>
            </w:r>
          </w:p>
        </w:tc>
        <w:tc>
          <w:tcPr>
            <w:tcW w:w="570" w:type="pct"/>
            <w:tcBorders>
              <w:top w:val="nil"/>
              <w:left w:val="nil"/>
              <w:bottom w:val="nil"/>
              <w:right w:val="nil"/>
            </w:tcBorders>
            <w:shd w:val="clear" w:color="auto" w:fill="FFFFFF"/>
            <w:tcMar>
              <w:top w:w="55" w:type="dxa"/>
              <w:left w:w="55" w:type="dxa"/>
              <w:bottom w:w="55" w:type="dxa"/>
              <w:right w:w="55" w:type="dxa"/>
            </w:tcMar>
            <w:vAlign w:val="center"/>
          </w:tcPr>
          <w:p w14:paraId="53253CB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0.01</w:t>
            </w:r>
          </w:p>
        </w:tc>
      </w:tr>
      <w:tr w14:paraId="5ACE0D96">
        <w:trPr>
          <w:trHeight w:val="193" w:hRule="atLeast"/>
          <w:jc w:val="center"/>
        </w:trPr>
        <w:tc>
          <w:tcPr>
            <w:tcW w:w="1652"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81D13C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Number of ferritin &lt;30 episodes</w:t>
            </w:r>
          </w:p>
        </w:tc>
        <w:tc>
          <w:tcPr>
            <w:tcW w:w="166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45B981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Low-ferritin count × higher IADL limitation</w:t>
            </w:r>
          </w:p>
        </w:tc>
        <w:tc>
          <w:tcPr>
            <w:tcW w:w="1116"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E8E13D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0.09 (-0.02, 0.20)</w:t>
            </w:r>
          </w:p>
        </w:tc>
        <w:tc>
          <w:tcPr>
            <w:tcW w:w="57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6AD9F9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0.108</w:t>
            </w:r>
          </w:p>
        </w:tc>
      </w:tr>
    </w:tbl>
    <w:p w14:paraId="594BE412">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r>
        <w:rPr>
          <w:rFonts w:hint="default" w:ascii="Times New Roman" w:hAnsi="Times New Roman" w:eastAsia="Times New Roman" w:cs="Times New Roman Regular"/>
          <w:b/>
          <w:bCs/>
          <w:color w:val="auto"/>
          <w:sz w:val="20"/>
          <w:szCs w:val="22"/>
          <w:lang w:val="en-US" w:eastAsia="zh-CN"/>
        </w:rPr>
        <w:br w:type="textWrapping"/>
      </w:r>
      <w:r>
        <w:rPr>
          <w:rFonts w:hint="default" w:ascii="Times New Roman" w:hAnsi="Times New Roman" w:eastAsia="Times New Roman" w:cs="Times New Roman Regular"/>
          <w:b w:val="0"/>
          <w:bCs w:val="0"/>
          <w:color w:val="auto"/>
          <w:sz w:val="20"/>
          <w:szCs w:val="22"/>
          <w:lang w:val="en-US" w:eastAsia="zh-CN"/>
        </w:rPr>
        <w:t xml:space="preserve">Regression coefficients (β), 95% confidence intervals (CIs), and P values are shown from linear mixed-effects models including interaction terms between dynamic iron-related measures and functional-status indicators in relation to repeated forced expiratory volume in 1 second (FEV₁). Functional-status indicators were defined according to ADL and IADL limitation status. Dynamic iron-related measures included ferritin coefficient of variation (CV), ferritin slope, and the cumulative number of ferritin measurements &lt;30 μg/L, as applicable. Models were adjusted for age, sex, smoking status, body mass index (BMI), log-transformed C-reactive protein (CRP), and hemoglobin (Hb), with participant-level random intercepts to account for repeated measurements. These analyses were used to formally assess whether the associations between dynamic iron-related measures and repeated FEV₁ differed by functional status. </w:t>
      </w:r>
    </w:p>
    <w:p w14:paraId="23D01D94">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50B5B32">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30E4271">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0143981">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6A534EB">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6950D2A">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AB18486">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9D53B0A">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DB4E7FC">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85EAE94">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E5772EF">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17571B5B">
      <w:pPr>
        <w:pStyle w:val="2"/>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Supplementary Table S23. Baseline characteristics across grip-strength and functional-status strata</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80"/>
        <w:gridCol w:w="1782"/>
        <w:gridCol w:w="1783"/>
        <w:gridCol w:w="1438"/>
        <w:gridCol w:w="1504"/>
        <w:gridCol w:w="1504"/>
        <w:gridCol w:w="1762"/>
        <w:gridCol w:w="1504"/>
        <w:gridCol w:w="1509"/>
      </w:tblGrid>
      <w:tr w14:paraId="58A18727">
        <w:trPr>
          <w:trHeight w:val="193" w:hRule="atLeast"/>
          <w:tblHeader/>
          <w:jc w:val="center"/>
        </w:trPr>
        <w:tc>
          <w:tcPr>
            <w:tcW w:w="55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137F998">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Grip strength</w:t>
            </w:r>
          </w:p>
        </w:tc>
        <w:tc>
          <w:tcPr>
            <w:tcW w:w="62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5DC7207">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ADL limitation</w:t>
            </w:r>
          </w:p>
        </w:tc>
        <w:tc>
          <w:tcPr>
            <w:tcW w:w="62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681408E">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IADL limitation</w:t>
            </w:r>
          </w:p>
        </w:tc>
        <w:tc>
          <w:tcPr>
            <w:tcW w:w="50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1D844BE">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n</w:t>
            </w:r>
          </w:p>
        </w:tc>
        <w:tc>
          <w:tcPr>
            <w:tcW w:w="523"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3BEF00DB">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Mean age</w:t>
            </w:r>
          </w:p>
        </w:tc>
        <w:tc>
          <w:tcPr>
            <w:tcW w:w="523"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AC365F0">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Mean BMI</w:t>
            </w:r>
          </w:p>
        </w:tc>
        <w:tc>
          <w:tcPr>
            <w:tcW w:w="613"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4097CA3">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Mean log(CRP)</w:t>
            </w:r>
          </w:p>
        </w:tc>
        <w:tc>
          <w:tcPr>
            <w:tcW w:w="523"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6C789A18">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Mean Hb</w:t>
            </w:r>
          </w:p>
        </w:tc>
        <w:tc>
          <w:tcPr>
            <w:tcW w:w="525"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FE30186">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 xml:space="preserve">Mean </w:t>
            </w:r>
            <w:r>
              <w:rPr>
                <w:rFonts w:hint="default" w:ascii="Times New Roman" w:hAnsi="Times New Roman" w:eastAsia="Times New Roman" w:cs="Times New Roman Regular"/>
                <w:b/>
                <w:bCs w:val="0"/>
                <w:color w:val="auto"/>
                <w:sz w:val="16"/>
                <w:szCs w:val="22"/>
                <w:lang w:val="en-US" w:eastAsia="zh-CN"/>
              </w:rPr>
              <w:t>FEV₁</w:t>
            </w:r>
          </w:p>
        </w:tc>
      </w:tr>
      <w:tr w14:paraId="422ECEA3">
        <w:trPr>
          <w:trHeight w:val="193" w:hRule="atLeast"/>
          <w:jc w:val="center"/>
        </w:trPr>
        <w:tc>
          <w:tcPr>
            <w:tcW w:w="55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66D2096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Strong grip</w:t>
            </w:r>
          </w:p>
        </w:tc>
        <w:tc>
          <w:tcPr>
            <w:tcW w:w="62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639836F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Lower ADL limitation</w:t>
            </w:r>
          </w:p>
        </w:tc>
        <w:tc>
          <w:tcPr>
            <w:tcW w:w="62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223CDF4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Lower IADL limitation</w:t>
            </w:r>
          </w:p>
        </w:tc>
        <w:tc>
          <w:tcPr>
            <w:tcW w:w="50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1EACF7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250</w:t>
            </w:r>
          </w:p>
        </w:tc>
        <w:tc>
          <w:tcPr>
            <w:tcW w:w="523"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879E16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63.12</w:t>
            </w:r>
          </w:p>
        </w:tc>
        <w:tc>
          <w:tcPr>
            <w:tcW w:w="523"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11834F9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27.77</w:t>
            </w:r>
          </w:p>
        </w:tc>
        <w:tc>
          <w:tcPr>
            <w:tcW w:w="613"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E6AAC1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1.02</w:t>
            </w:r>
          </w:p>
        </w:tc>
        <w:tc>
          <w:tcPr>
            <w:tcW w:w="523"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13C26BD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14.71</w:t>
            </w:r>
          </w:p>
        </w:tc>
        <w:tc>
          <w:tcPr>
            <w:tcW w:w="525"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3730F4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2.46</w:t>
            </w:r>
          </w:p>
        </w:tc>
      </w:tr>
      <w:tr w14:paraId="628B90AE">
        <w:trPr>
          <w:trHeight w:val="193" w:hRule="atLeast"/>
          <w:jc w:val="center"/>
        </w:trPr>
        <w:tc>
          <w:tcPr>
            <w:tcW w:w="550" w:type="pct"/>
            <w:tcBorders>
              <w:top w:val="nil"/>
              <w:left w:val="nil"/>
              <w:bottom w:val="nil"/>
              <w:right w:val="nil"/>
            </w:tcBorders>
            <w:shd w:val="clear" w:color="auto" w:fill="FFFFFF"/>
            <w:tcMar>
              <w:top w:w="55" w:type="dxa"/>
              <w:left w:w="55" w:type="dxa"/>
              <w:bottom w:w="55" w:type="dxa"/>
              <w:right w:w="55" w:type="dxa"/>
            </w:tcMar>
            <w:vAlign w:val="center"/>
          </w:tcPr>
          <w:p w14:paraId="54F7825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Strong grip</w:t>
            </w:r>
          </w:p>
        </w:tc>
        <w:tc>
          <w:tcPr>
            <w:tcW w:w="620" w:type="pct"/>
            <w:tcBorders>
              <w:top w:val="nil"/>
              <w:left w:val="nil"/>
              <w:bottom w:val="nil"/>
              <w:right w:val="nil"/>
            </w:tcBorders>
            <w:shd w:val="clear" w:color="auto" w:fill="FFFFFF"/>
            <w:tcMar>
              <w:top w:w="55" w:type="dxa"/>
              <w:left w:w="55" w:type="dxa"/>
              <w:bottom w:w="55" w:type="dxa"/>
              <w:right w:w="55" w:type="dxa"/>
            </w:tcMar>
            <w:vAlign w:val="center"/>
          </w:tcPr>
          <w:p w14:paraId="1DCF4F1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Lower ADL limitation</w:t>
            </w:r>
          </w:p>
        </w:tc>
        <w:tc>
          <w:tcPr>
            <w:tcW w:w="620" w:type="pct"/>
            <w:tcBorders>
              <w:top w:val="nil"/>
              <w:left w:val="nil"/>
              <w:bottom w:val="nil"/>
              <w:right w:val="nil"/>
            </w:tcBorders>
            <w:shd w:val="clear" w:color="auto" w:fill="FFFFFF"/>
            <w:tcMar>
              <w:top w:w="55" w:type="dxa"/>
              <w:left w:w="55" w:type="dxa"/>
              <w:bottom w:w="55" w:type="dxa"/>
              <w:right w:w="55" w:type="dxa"/>
            </w:tcMar>
            <w:vAlign w:val="center"/>
          </w:tcPr>
          <w:p w14:paraId="51D221A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Higher IADL limitation</w:t>
            </w:r>
          </w:p>
        </w:tc>
        <w:tc>
          <w:tcPr>
            <w:tcW w:w="500" w:type="pct"/>
            <w:tcBorders>
              <w:top w:val="nil"/>
              <w:left w:val="nil"/>
              <w:bottom w:val="nil"/>
              <w:right w:val="nil"/>
            </w:tcBorders>
            <w:shd w:val="clear" w:color="auto" w:fill="FFFFFF"/>
            <w:tcMar>
              <w:top w:w="55" w:type="dxa"/>
              <w:left w:w="55" w:type="dxa"/>
              <w:bottom w:w="55" w:type="dxa"/>
              <w:right w:w="55" w:type="dxa"/>
            </w:tcMar>
            <w:vAlign w:val="center"/>
          </w:tcPr>
          <w:p w14:paraId="75EA1A4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6</w:t>
            </w:r>
          </w:p>
        </w:tc>
        <w:tc>
          <w:tcPr>
            <w:tcW w:w="523" w:type="pct"/>
            <w:tcBorders>
              <w:top w:val="nil"/>
              <w:left w:val="nil"/>
              <w:bottom w:val="nil"/>
              <w:right w:val="nil"/>
            </w:tcBorders>
            <w:shd w:val="clear" w:color="auto" w:fill="FFFFFF"/>
            <w:tcMar>
              <w:top w:w="55" w:type="dxa"/>
              <w:left w:w="55" w:type="dxa"/>
              <w:bottom w:w="55" w:type="dxa"/>
              <w:right w:w="55" w:type="dxa"/>
            </w:tcMar>
            <w:vAlign w:val="center"/>
          </w:tcPr>
          <w:p w14:paraId="5AAB438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56.67</w:t>
            </w:r>
          </w:p>
        </w:tc>
        <w:tc>
          <w:tcPr>
            <w:tcW w:w="523" w:type="pct"/>
            <w:tcBorders>
              <w:top w:val="nil"/>
              <w:left w:val="nil"/>
              <w:bottom w:val="nil"/>
              <w:right w:val="nil"/>
            </w:tcBorders>
            <w:shd w:val="clear" w:color="auto" w:fill="FFFFFF"/>
            <w:tcMar>
              <w:top w:w="55" w:type="dxa"/>
              <w:left w:w="55" w:type="dxa"/>
              <w:bottom w:w="55" w:type="dxa"/>
              <w:right w:w="55" w:type="dxa"/>
            </w:tcMar>
            <w:vAlign w:val="center"/>
          </w:tcPr>
          <w:p w14:paraId="26BAA44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29.96</w:t>
            </w:r>
          </w:p>
        </w:tc>
        <w:tc>
          <w:tcPr>
            <w:tcW w:w="613" w:type="pct"/>
            <w:tcBorders>
              <w:top w:val="nil"/>
              <w:left w:val="nil"/>
              <w:bottom w:val="nil"/>
              <w:right w:val="nil"/>
            </w:tcBorders>
            <w:shd w:val="clear" w:color="auto" w:fill="FFFFFF"/>
            <w:tcMar>
              <w:top w:w="55" w:type="dxa"/>
              <w:left w:w="55" w:type="dxa"/>
              <w:bottom w:w="55" w:type="dxa"/>
              <w:right w:w="55" w:type="dxa"/>
            </w:tcMar>
            <w:vAlign w:val="center"/>
          </w:tcPr>
          <w:p w14:paraId="7D8DFA8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1.77</w:t>
            </w:r>
          </w:p>
        </w:tc>
        <w:tc>
          <w:tcPr>
            <w:tcW w:w="523" w:type="pct"/>
            <w:tcBorders>
              <w:top w:val="nil"/>
              <w:left w:val="nil"/>
              <w:bottom w:val="nil"/>
              <w:right w:val="nil"/>
            </w:tcBorders>
            <w:shd w:val="clear" w:color="auto" w:fill="FFFFFF"/>
            <w:tcMar>
              <w:top w:w="55" w:type="dxa"/>
              <w:left w:w="55" w:type="dxa"/>
              <w:bottom w:w="55" w:type="dxa"/>
              <w:right w:w="55" w:type="dxa"/>
            </w:tcMar>
            <w:vAlign w:val="center"/>
          </w:tcPr>
          <w:p w14:paraId="0CB3EE0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14.7</w:t>
            </w:r>
          </w:p>
        </w:tc>
        <w:tc>
          <w:tcPr>
            <w:tcW w:w="525" w:type="pct"/>
            <w:tcBorders>
              <w:top w:val="nil"/>
              <w:left w:val="nil"/>
              <w:bottom w:val="nil"/>
              <w:right w:val="nil"/>
            </w:tcBorders>
            <w:shd w:val="clear" w:color="auto" w:fill="FFFFFF"/>
            <w:tcMar>
              <w:top w:w="55" w:type="dxa"/>
              <w:left w:w="55" w:type="dxa"/>
              <w:bottom w:w="55" w:type="dxa"/>
              <w:right w:w="55" w:type="dxa"/>
            </w:tcMar>
            <w:vAlign w:val="center"/>
          </w:tcPr>
          <w:p w14:paraId="012703B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2.66</w:t>
            </w:r>
          </w:p>
        </w:tc>
      </w:tr>
      <w:tr w14:paraId="159CA6A9">
        <w:trPr>
          <w:trHeight w:val="193" w:hRule="atLeast"/>
          <w:jc w:val="center"/>
        </w:trPr>
        <w:tc>
          <w:tcPr>
            <w:tcW w:w="550" w:type="pct"/>
            <w:tcBorders>
              <w:top w:val="nil"/>
              <w:left w:val="nil"/>
              <w:bottom w:val="nil"/>
              <w:right w:val="nil"/>
            </w:tcBorders>
            <w:shd w:val="clear" w:color="auto" w:fill="FFFFFF"/>
            <w:tcMar>
              <w:top w:w="55" w:type="dxa"/>
              <w:left w:w="55" w:type="dxa"/>
              <w:bottom w:w="55" w:type="dxa"/>
              <w:right w:w="55" w:type="dxa"/>
            </w:tcMar>
            <w:vAlign w:val="center"/>
          </w:tcPr>
          <w:p w14:paraId="100B2A8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Strong grip</w:t>
            </w:r>
          </w:p>
        </w:tc>
        <w:tc>
          <w:tcPr>
            <w:tcW w:w="620" w:type="pct"/>
            <w:tcBorders>
              <w:top w:val="nil"/>
              <w:left w:val="nil"/>
              <w:bottom w:val="nil"/>
              <w:right w:val="nil"/>
            </w:tcBorders>
            <w:shd w:val="clear" w:color="auto" w:fill="FFFFFF"/>
            <w:tcMar>
              <w:top w:w="55" w:type="dxa"/>
              <w:left w:w="55" w:type="dxa"/>
              <w:bottom w:w="55" w:type="dxa"/>
              <w:right w:w="55" w:type="dxa"/>
            </w:tcMar>
            <w:vAlign w:val="center"/>
          </w:tcPr>
          <w:p w14:paraId="4EC68AD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Higher ADL limitation</w:t>
            </w:r>
          </w:p>
        </w:tc>
        <w:tc>
          <w:tcPr>
            <w:tcW w:w="620" w:type="pct"/>
            <w:tcBorders>
              <w:top w:val="nil"/>
              <w:left w:val="nil"/>
              <w:bottom w:val="nil"/>
              <w:right w:val="nil"/>
            </w:tcBorders>
            <w:shd w:val="clear" w:color="auto" w:fill="FFFFFF"/>
            <w:tcMar>
              <w:top w:w="55" w:type="dxa"/>
              <w:left w:w="55" w:type="dxa"/>
              <w:bottom w:w="55" w:type="dxa"/>
              <w:right w:w="55" w:type="dxa"/>
            </w:tcMar>
            <w:vAlign w:val="center"/>
          </w:tcPr>
          <w:p w14:paraId="780DEB7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Lower IADL limitation</w:t>
            </w:r>
          </w:p>
        </w:tc>
        <w:tc>
          <w:tcPr>
            <w:tcW w:w="500" w:type="pct"/>
            <w:tcBorders>
              <w:top w:val="nil"/>
              <w:left w:val="nil"/>
              <w:bottom w:val="nil"/>
              <w:right w:val="nil"/>
            </w:tcBorders>
            <w:shd w:val="clear" w:color="auto" w:fill="FFFFFF"/>
            <w:tcMar>
              <w:top w:w="55" w:type="dxa"/>
              <w:left w:w="55" w:type="dxa"/>
              <w:bottom w:w="55" w:type="dxa"/>
              <w:right w:w="55" w:type="dxa"/>
            </w:tcMar>
            <w:vAlign w:val="center"/>
          </w:tcPr>
          <w:p w14:paraId="4D161D2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43</w:t>
            </w:r>
          </w:p>
        </w:tc>
        <w:tc>
          <w:tcPr>
            <w:tcW w:w="523" w:type="pct"/>
            <w:tcBorders>
              <w:top w:val="nil"/>
              <w:left w:val="nil"/>
              <w:bottom w:val="nil"/>
              <w:right w:val="nil"/>
            </w:tcBorders>
            <w:shd w:val="clear" w:color="auto" w:fill="FFFFFF"/>
            <w:tcMar>
              <w:top w:w="55" w:type="dxa"/>
              <w:left w:w="55" w:type="dxa"/>
              <w:bottom w:w="55" w:type="dxa"/>
              <w:right w:w="55" w:type="dxa"/>
            </w:tcMar>
            <w:vAlign w:val="center"/>
          </w:tcPr>
          <w:p w14:paraId="1AF0BF7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67.72</w:t>
            </w:r>
          </w:p>
        </w:tc>
        <w:tc>
          <w:tcPr>
            <w:tcW w:w="523" w:type="pct"/>
            <w:tcBorders>
              <w:top w:val="nil"/>
              <w:left w:val="nil"/>
              <w:bottom w:val="nil"/>
              <w:right w:val="nil"/>
            </w:tcBorders>
            <w:shd w:val="clear" w:color="auto" w:fill="FFFFFF"/>
            <w:tcMar>
              <w:top w:w="55" w:type="dxa"/>
              <w:left w:w="55" w:type="dxa"/>
              <w:bottom w:w="55" w:type="dxa"/>
              <w:right w:w="55" w:type="dxa"/>
            </w:tcMar>
            <w:vAlign w:val="center"/>
          </w:tcPr>
          <w:p w14:paraId="2FC431A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31.99</w:t>
            </w:r>
          </w:p>
        </w:tc>
        <w:tc>
          <w:tcPr>
            <w:tcW w:w="613" w:type="pct"/>
            <w:tcBorders>
              <w:top w:val="nil"/>
              <w:left w:val="nil"/>
              <w:bottom w:val="nil"/>
              <w:right w:val="nil"/>
            </w:tcBorders>
            <w:shd w:val="clear" w:color="auto" w:fill="FFFFFF"/>
            <w:tcMar>
              <w:top w:w="55" w:type="dxa"/>
              <w:left w:w="55" w:type="dxa"/>
              <w:bottom w:w="55" w:type="dxa"/>
              <w:right w:w="55" w:type="dxa"/>
            </w:tcMar>
            <w:vAlign w:val="center"/>
          </w:tcPr>
          <w:p w14:paraId="57B7B19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2.2</w:t>
            </w:r>
          </w:p>
        </w:tc>
        <w:tc>
          <w:tcPr>
            <w:tcW w:w="523" w:type="pct"/>
            <w:tcBorders>
              <w:top w:val="nil"/>
              <w:left w:val="nil"/>
              <w:bottom w:val="nil"/>
              <w:right w:val="nil"/>
            </w:tcBorders>
            <w:shd w:val="clear" w:color="auto" w:fill="FFFFFF"/>
            <w:tcMar>
              <w:top w:w="55" w:type="dxa"/>
              <w:left w:w="55" w:type="dxa"/>
              <w:bottom w:w="55" w:type="dxa"/>
              <w:right w:w="55" w:type="dxa"/>
            </w:tcMar>
            <w:vAlign w:val="center"/>
          </w:tcPr>
          <w:p w14:paraId="7A188D4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14.8</w:t>
            </w:r>
          </w:p>
        </w:tc>
        <w:tc>
          <w:tcPr>
            <w:tcW w:w="525" w:type="pct"/>
            <w:tcBorders>
              <w:top w:val="nil"/>
              <w:left w:val="nil"/>
              <w:bottom w:val="nil"/>
              <w:right w:val="nil"/>
            </w:tcBorders>
            <w:shd w:val="clear" w:color="auto" w:fill="FFFFFF"/>
            <w:tcMar>
              <w:top w:w="55" w:type="dxa"/>
              <w:left w:w="55" w:type="dxa"/>
              <w:bottom w:w="55" w:type="dxa"/>
              <w:right w:w="55" w:type="dxa"/>
            </w:tcMar>
            <w:vAlign w:val="center"/>
          </w:tcPr>
          <w:p w14:paraId="75D30FD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2.18</w:t>
            </w:r>
          </w:p>
        </w:tc>
      </w:tr>
      <w:tr w14:paraId="1EE9C005">
        <w:trPr>
          <w:trHeight w:val="193" w:hRule="atLeast"/>
          <w:jc w:val="center"/>
        </w:trPr>
        <w:tc>
          <w:tcPr>
            <w:tcW w:w="550" w:type="pct"/>
            <w:tcBorders>
              <w:top w:val="nil"/>
              <w:left w:val="nil"/>
              <w:bottom w:val="nil"/>
              <w:right w:val="nil"/>
            </w:tcBorders>
            <w:shd w:val="clear" w:color="auto" w:fill="FFFFFF"/>
            <w:tcMar>
              <w:top w:w="55" w:type="dxa"/>
              <w:left w:w="55" w:type="dxa"/>
              <w:bottom w:w="55" w:type="dxa"/>
              <w:right w:w="55" w:type="dxa"/>
            </w:tcMar>
            <w:vAlign w:val="center"/>
          </w:tcPr>
          <w:p w14:paraId="5BE17CF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Strong grip</w:t>
            </w:r>
          </w:p>
        </w:tc>
        <w:tc>
          <w:tcPr>
            <w:tcW w:w="620" w:type="pct"/>
            <w:tcBorders>
              <w:top w:val="nil"/>
              <w:left w:val="nil"/>
              <w:bottom w:val="nil"/>
              <w:right w:val="nil"/>
            </w:tcBorders>
            <w:shd w:val="clear" w:color="auto" w:fill="FFFFFF"/>
            <w:tcMar>
              <w:top w:w="55" w:type="dxa"/>
              <w:left w:w="55" w:type="dxa"/>
              <w:bottom w:w="55" w:type="dxa"/>
              <w:right w:w="55" w:type="dxa"/>
            </w:tcMar>
            <w:vAlign w:val="center"/>
          </w:tcPr>
          <w:p w14:paraId="4B87C6B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Higher ADL limitation</w:t>
            </w:r>
          </w:p>
        </w:tc>
        <w:tc>
          <w:tcPr>
            <w:tcW w:w="620" w:type="pct"/>
            <w:tcBorders>
              <w:top w:val="nil"/>
              <w:left w:val="nil"/>
              <w:bottom w:val="nil"/>
              <w:right w:val="nil"/>
            </w:tcBorders>
            <w:shd w:val="clear" w:color="auto" w:fill="FFFFFF"/>
            <w:tcMar>
              <w:top w:w="55" w:type="dxa"/>
              <w:left w:w="55" w:type="dxa"/>
              <w:bottom w:w="55" w:type="dxa"/>
              <w:right w:w="55" w:type="dxa"/>
            </w:tcMar>
            <w:vAlign w:val="center"/>
          </w:tcPr>
          <w:p w14:paraId="18313D7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Higher IADL limitation</w:t>
            </w:r>
          </w:p>
        </w:tc>
        <w:tc>
          <w:tcPr>
            <w:tcW w:w="500" w:type="pct"/>
            <w:tcBorders>
              <w:top w:val="nil"/>
              <w:left w:val="nil"/>
              <w:bottom w:val="nil"/>
              <w:right w:val="nil"/>
            </w:tcBorders>
            <w:shd w:val="clear" w:color="auto" w:fill="FFFFFF"/>
            <w:tcMar>
              <w:top w:w="55" w:type="dxa"/>
              <w:left w:w="55" w:type="dxa"/>
              <w:bottom w:w="55" w:type="dxa"/>
              <w:right w:w="55" w:type="dxa"/>
            </w:tcMar>
            <w:vAlign w:val="center"/>
          </w:tcPr>
          <w:p w14:paraId="3A5DABD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15</w:t>
            </w:r>
          </w:p>
        </w:tc>
        <w:tc>
          <w:tcPr>
            <w:tcW w:w="523" w:type="pct"/>
            <w:tcBorders>
              <w:top w:val="nil"/>
              <w:left w:val="nil"/>
              <w:bottom w:val="nil"/>
              <w:right w:val="nil"/>
            </w:tcBorders>
            <w:shd w:val="clear" w:color="auto" w:fill="FFFFFF"/>
            <w:tcMar>
              <w:top w:w="55" w:type="dxa"/>
              <w:left w:w="55" w:type="dxa"/>
              <w:bottom w:w="55" w:type="dxa"/>
              <w:right w:w="55" w:type="dxa"/>
            </w:tcMar>
            <w:vAlign w:val="center"/>
          </w:tcPr>
          <w:p w14:paraId="28D511C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62.2</w:t>
            </w:r>
          </w:p>
        </w:tc>
        <w:tc>
          <w:tcPr>
            <w:tcW w:w="523" w:type="pct"/>
            <w:tcBorders>
              <w:top w:val="nil"/>
              <w:left w:val="nil"/>
              <w:bottom w:val="nil"/>
              <w:right w:val="nil"/>
            </w:tcBorders>
            <w:shd w:val="clear" w:color="auto" w:fill="FFFFFF"/>
            <w:tcMar>
              <w:top w:w="55" w:type="dxa"/>
              <w:left w:w="55" w:type="dxa"/>
              <w:bottom w:w="55" w:type="dxa"/>
              <w:right w:w="55" w:type="dxa"/>
            </w:tcMar>
            <w:vAlign w:val="center"/>
          </w:tcPr>
          <w:p w14:paraId="76B659C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27.28</w:t>
            </w:r>
          </w:p>
        </w:tc>
        <w:tc>
          <w:tcPr>
            <w:tcW w:w="613" w:type="pct"/>
            <w:tcBorders>
              <w:top w:val="nil"/>
              <w:left w:val="nil"/>
              <w:bottom w:val="nil"/>
              <w:right w:val="nil"/>
            </w:tcBorders>
            <w:shd w:val="clear" w:color="auto" w:fill="FFFFFF"/>
            <w:tcMar>
              <w:top w:w="55" w:type="dxa"/>
              <w:left w:w="55" w:type="dxa"/>
              <w:bottom w:w="55" w:type="dxa"/>
              <w:right w:w="55" w:type="dxa"/>
            </w:tcMar>
            <w:vAlign w:val="center"/>
          </w:tcPr>
          <w:p w14:paraId="7F80A0B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1.17</w:t>
            </w:r>
          </w:p>
        </w:tc>
        <w:tc>
          <w:tcPr>
            <w:tcW w:w="523" w:type="pct"/>
            <w:tcBorders>
              <w:top w:val="nil"/>
              <w:left w:val="nil"/>
              <w:bottom w:val="nil"/>
              <w:right w:val="nil"/>
            </w:tcBorders>
            <w:shd w:val="clear" w:color="auto" w:fill="FFFFFF"/>
            <w:tcMar>
              <w:top w:w="55" w:type="dxa"/>
              <w:left w:w="55" w:type="dxa"/>
              <w:bottom w:w="55" w:type="dxa"/>
              <w:right w:w="55" w:type="dxa"/>
            </w:tcMar>
            <w:vAlign w:val="center"/>
          </w:tcPr>
          <w:p w14:paraId="620E5A1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14.94</w:t>
            </w:r>
          </w:p>
        </w:tc>
        <w:tc>
          <w:tcPr>
            <w:tcW w:w="525" w:type="pct"/>
            <w:tcBorders>
              <w:top w:val="nil"/>
              <w:left w:val="nil"/>
              <w:bottom w:val="nil"/>
              <w:right w:val="nil"/>
            </w:tcBorders>
            <w:shd w:val="clear" w:color="auto" w:fill="FFFFFF"/>
            <w:tcMar>
              <w:top w:w="55" w:type="dxa"/>
              <w:left w:w="55" w:type="dxa"/>
              <w:bottom w:w="55" w:type="dxa"/>
              <w:right w:w="55" w:type="dxa"/>
            </w:tcMar>
            <w:vAlign w:val="center"/>
          </w:tcPr>
          <w:p w14:paraId="4B2B406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2.23</w:t>
            </w:r>
          </w:p>
        </w:tc>
      </w:tr>
      <w:tr w14:paraId="594A8920">
        <w:trPr>
          <w:trHeight w:val="193" w:hRule="atLeast"/>
          <w:jc w:val="center"/>
        </w:trPr>
        <w:tc>
          <w:tcPr>
            <w:tcW w:w="550" w:type="pct"/>
            <w:tcBorders>
              <w:top w:val="nil"/>
              <w:left w:val="nil"/>
              <w:bottom w:val="nil"/>
              <w:right w:val="nil"/>
            </w:tcBorders>
            <w:shd w:val="clear" w:color="auto" w:fill="FFFFFF"/>
            <w:tcMar>
              <w:top w:w="55" w:type="dxa"/>
              <w:left w:w="55" w:type="dxa"/>
              <w:bottom w:w="55" w:type="dxa"/>
              <w:right w:w="55" w:type="dxa"/>
            </w:tcMar>
            <w:vAlign w:val="center"/>
          </w:tcPr>
          <w:p w14:paraId="0BC13FA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Weak grip</w:t>
            </w:r>
          </w:p>
        </w:tc>
        <w:tc>
          <w:tcPr>
            <w:tcW w:w="620" w:type="pct"/>
            <w:tcBorders>
              <w:top w:val="nil"/>
              <w:left w:val="nil"/>
              <w:bottom w:val="nil"/>
              <w:right w:val="nil"/>
            </w:tcBorders>
            <w:shd w:val="clear" w:color="auto" w:fill="FFFFFF"/>
            <w:tcMar>
              <w:top w:w="55" w:type="dxa"/>
              <w:left w:w="55" w:type="dxa"/>
              <w:bottom w:w="55" w:type="dxa"/>
              <w:right w:w="55" w:type="dxa"/>
            </w:tcMar>
            <w:vAlign w:val="center"/>
          </w:tcPr>
          <w:p w14:paraId="2B657D6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Lower ADL limitation</w:t>
            </w:r>
          </w:p>
        </w:tc>
        <w:tc>
          <w:tcPr>
            <w:tcW w:w="620" w:type="pct"/>
            <w:tcBorders>
              <w:top w:val="nil"/>
              <w:left w:val="nil"/>
              <w:bottom w:val="nil"/>
              <w:right w:val="nil"/>
            </w:tcBorders>
            <w:shd w:val="clear" w:color="auto" w:fill="FFFFFF"/>
            <w:tcMar>
              <w:top w:w="55" w:type="dxa"/>
              <w:left w:w="55" w:type="dxa"/>
              <w:bottom w:w="55" w:type="dxa"/>
              <w:right w:w="55" w:type="dxa"/>
            </w:tcMar>
            <w:vAlign w:val="center"/>
          </w:tcPr>
          <w:p w14:paraId="0F28DF8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Lower IADL limitation</w:t>
            </w:r>
          </w:p>
        </w:tc>
        <w:tc>
          <w:tcPr>
            <w:tcW w:w="500" w:type="pct"/>
            <w:tcBorders>
              <w:top w:val="nil"/>
              <w:left w:val="nil"/>
              <w:bottom w:val="nil"/>
              <w:right w:val="nil"/>
            </w:tcBorders>
            <w:shd w:val="clear" w:color="auto" w:fill="FFFFFF"/>
            <w:tcMar>
              <w:top w:w="55" w:type="dxa"/>
              <w:left w:w="55" w:type="dxa"/>
              <w:bottom w:w="55" w:type="dxa"/>
              <w:right w:w="55" w:type="dxa"/>
            </w:tcMar>
            <w:vAlign w:val="center"/>
          </w:tcPr>
          <w:p w14:paraId="2608EB4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196</w:t>
            </w:r>
          </w:p>
        </w:tc>
        <w:tc>
          <w:tcPr>
            <w:tcW w:w="523" w:type="pct"/>
            <w:tcBorders>
              <w:top w:val="nil"/>
              <w:left w:val="nil"/>
              <w:bottom w:val="nil"/>
              <w:right w:val="nil"/>
            </w:tcBorders>
            <w:shd w:val="clear" w:color="auto" w:fill="FFFFFF"/>
            <w:tcMar>
              <w:top w:w="55" w:type="dxa"/>
              <w:left w:w="55" w:type="dxa"/>
              <w:bottom w:w="55" w:type="dxa"/>
              <w:right w:w="55" w:type="dxa"/>
            </w:tcMar>
            <w:vAlign w:val="center"/>
          </w:tcPr>
          <w:p w14:paraId="3335FC6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65.7</w:t>
            </w:r>
          </w:p>
        </w:tc>
        <w:tc>
          <w:tcPr>
            <w:tcW w:w="523" w:type="pct"/>
            <w:tcBorders>
              <w:top w:val="nil"/>
              <w:left w:val="nil"/>
              <w:bottom w:val="nil"/>
              <w:right w:val="nil"/>
            </w:tcBorders>
            <w:shd w:val="clear" w:color="auto" w:fill="FFFFFF"/>
            <w:tcMar>
              <w:top w:w="55" w:type="dxa"/>
              <w:left w:w="55" w:type="dxa"/>
              <w:bottom w:w="55" w:type="dxa"/>
              <w:right w:w="55" w:type="dxa"/>
            </w:tcMar>
            <w:vAlign w:val="center"/>
          </w:tcPr>
          <w:p w14:paraId="0484660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27.56</w:t>
            </w:r>
          </w:p>
        </w:tc>
        <w:tc>
          <w:tcPr>
            <w:tcW w:w="613" w:type="pct"/>
            <w:tcBorders>
              <w:top w:val="nil"/>
              <w:left w:val="nil"/>
              <w:bottom w:val="nil"/>
              <w:right w:val="nil"/>
            </w:tcBorders>
            <w:shd w:val="clear" w:color="auto" w:fill="FFFFFF"/>
            <w:tcMar>
              <w:top w:w="55" w:type="dxa"/>
              <w:left w:w="55" w:type="dxa"/>
              <w:bottom w:w="55" w:type="dxa"/>
              <w:right w:w="55" w:type="dxa"/>
            </w:tcMar>
            <w:vAlign w:val="center"/>
          </w:tcPr>
          <w:p w14:paraId="0FD24E7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1.39</w:t>
            </w:r>
          </w:p>
        </w:tc>
        <w:tc>
          <w:tcPr>
            <w:tcW w:w="523" w:type="pct"/>
            <w:tcBorders>
              <w:top w:val="nil"/>
              <w:left w:val="nil"/>
              <w:bottom w:val="nil"/>
              <w:right w:val="nil"/>
            </w:tcBorders>
            <w:shd w:val="clear" w:color="auto" w:fill="FFFFFF"/>
            <w:tcMar>
              <w:top w:w="55" w:type="dxa"/>
              <w:left w:w="55" w:type="dxa"/>
              <w:bottom w:w="55" w:type="dxa"/>
              <w:right w:w="55" w:type="dxa"/>
            </w:tcMar>
            <w:vAlign w:val="center"/>
          </w:tcPr>
          <w:p w14:paraId="4B88115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13.78</w:t>
            </w:r>
          </w:p>
        </w:tc>
        <w:tc>
          <w:tcPr>
            <w:tcW w:w="525" w:type="pct"/>
            <w:tcBorders>
              <w:top w:val="nil"/>
              <w:left w:val="nil"/>
              <w:bottom w:val="nil"/>
              <w:right w:val="nil"/>
            </w:tcBorders>
            <w:shd w:val="clear" w:color="auto" w:fill="FFFFFF"/>
            <w:tcMar>
              <w:top w:w="55" w:type="dxa"/>
              <w:left w:w="55" w:type="dxa"/>
              <w:bottom w:w="55" w:type="dxa"/>
              <w:right w:w="55" w:type="dxa"/>
            </w:tcMar>
            <w:vAlign w:val="center"/>
          </w:tcPr>
          <w:p w14:paraId="345328B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1.72</w:t>
            </w:r>
          </w:p>
        </w:tc>
      </w:tr>
      <w:tr w14:paraId="4B956265">
        <w:trPr>
          <w:trHeight w:val="193" w:hRule="atLeast"/>
          <w:jc w:val="center"/>
        </w:trPr>
        <w:tc>
          <w:tcPr>
            <w:tcW w:w="550" w:type="pct"/>
            <w:tcBorders>
              <w:top w:val="nil"/>
              <w:left w:val="nil"/>
              <w:bottom w:val="nil"/>
              <w:right w:val="nil"/>
            </w:tcBorders>
            <w:shd w:val="clear" w:color="auto" w:fill="FFFFFF"/>
            <w:tcMar>
              <w:top w:w="55" w:type="dxa"/>
              <w:left w:w="55" w:type="dxa"/>
              <w:bottom w:w="55" w:type="dxa"/>
              <w:right w:w="55" w:type="dxa"/>
            </w:tcMar>
            <w:vAlign w:val="center"/>
          </w:tcPr>
          <w:p w14:paraId="48638D0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Weak grip</w:t>
            </w:r>
          </w:p>
        </w:tc>
        <w:tc>
          <w:tcPr>
            <w:tcW w:w="620" w:type="pct"/>
            <w:tcBorders>
              <w:top w:val="nil"/>
              <w:left w:val="nil"/>
              <w:bottom w:val="nil"/>
              <w:right w:val="nil"/>
            </w:tcBorders>
            <w:shd w:val="clear" w:color="auto" w:fill="FFFFFF"/>
            <w:tcMar>
              <w:top w:w="55" w:type="dxa"/>
              <w:left w:w="55" w:type="dxa"/>
              <w:bottom w:w="55" w:type="dxa"/>
              <w:right w:w="55" w:type="dxa"/>
            </w:tcMar>
            <w:vAlign w:val="center"/>
          </w:tcPr>
          <w:p w14:paraId="0C4B97F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Lower ADL limitation</w:t>
            </w:r>
          </w:p>
        </w:tc>
        <w:tc>
          <w:tcPr>
            <w:tcW w:w="620" w:type="pct"/>
            <w:tcBorders>
              <w:top w:val="nil"/>
              <w:left w:val="nil"/>
              <w:bottom w:val="nil"/>
              <w:right w:val="nil"/>
            </w:tcBorders>
            <w:shd w:val="clear" w:color="auto" w:fill="FFFFFF"/>
            <w:tcMar>
              <w:top w:w="55" w:type="dxa"/>
              <w:left w:w="55" w:type="dxa"/>
              <w:bottom w:w="55" w:type="dxa"/>
              <w:right w:w="55" w:type="dxa"/>
            </w:tcMar>
            <w:vAlign w:val="center"/>
          </w:tcPr>
          <w:p w14:paraId="39C5B3A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Higher IADL limitation</w:t>
            </w:r>
          </w:p>
        </w:tc>
        <w:tc>
          <w:tcPr>
            <w:tcW w:w="500" w:type="pct"/>
            <w:tcBorders>
              <w:top w:val="nil"/>
              <w:left w:val="nil"/>
              <w:bottom w:val="nil"/>
              <w:right w:val="nil"/>
            </w:tcBorders>
            <w:shd w:val="clear" w:color="auto" w:fill="FFFFFF"/>
            <w:tcMar>
              <w:top w:w="55" w:type="dxa"/>
              <w:left w:w="55" w:type="dxa"/>
              <w:bottom w:w="55" w:type="dxa"/>
              <w:right w:w="55" w:type="dxa"/>
            </w:tcMar>
            <w:vAlign w:val="center"/>
          </w:tcPr>
          <w:p w14:paraId="30CE8A1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18</w:t>
            </w:r>
          </w:p>
        </w:tc>
        <w:tc>
          <w:tcPr>
            <w:tcW w:w="523" w:type="pct"/>
            <w:tcBorders>
              <w:top w:val="nil"/>
              <w:left w:val="nil"/>
              <w:bottom w:val="nil"/>
              <w:right w:val="nil"/>
            </w:tcBorders>
            <w:shd w:val="clear" w:color="auto" w:fill="FFFFFF"/>
            <w:tcMar>
              <w:top w:w="55" w:type="dxa"/>
              <w:left w:w="55" w:type="dxa"/>
              <w:bottom w:w="55" w:type="dxa"/>
              <w:right w:w="55" w:type="dxa"/>
            </w:tcMar>
            <w:vAlign w:val="center"/>
          </w:tcPr>
          <w:p w14:paraId="7E108C6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69</w:t>
            </w:r>
          </w:p>
        </w:tc>
        <w:tc>
          <w:tcPr>
            <w:tcW w:w="523" w:type="pct"/>
            <w:tcBorders>
              <w:top w:val="nil"/>
              <w:left w:val="nil"/>
              <w:bottom w:val="nil"/>
              <w:right w:val="nil"/>
            </w:tcBorders>
            <w:shd w:val="clear" w:color="auto" w:fill="FFFFFF"/>
            <w:tcMar>
              <w:top w:w="55" w:type="dxa"/>
              <w:left w:w="55" w:type="dxa"/>
              <w:bottom w:w="55" w:type="dxa"/>
              <w:right w:w="55" w:type="dxa"/>
            </w:tcMar>
            <w:vAlign w:val="center"/>
          </w:tcPr>
          <w:p w14:paraId="378F95B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26.61</w:t>
            </w:r>
          </w:p>
        </w:tc>
        <w:tc>
          <w:tcPr>
            <w:tcW w:w="613" w:type="pct"/>
            <w:tcBorders>
              <w:top w:val="nil"/>
              <w:left w:val="nil"/>
              <w:bottom w:val="nil"/>
              <w:right w:val="nil"/>
            </w:tcBorders>
            <w:shd w:val="clear" w:color="auto" w:fill="FFFFFF"/>
            <w:tcMar>
              <w:top w:w="55" w:type="dxa"/>
              <w:left w:w="55" w:type="dxa"/>
              <w:bottom w:w="55" w:type="dxa"/>
              <w:right w:w="55" w:type="dxa"/>
            </w:tcMar>
            <w:vAlign w:val="center"/>
          </w:tcPr>
          <w:p w14:paraId="7EB6655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1.22</w:t>
            </w:r>
          </w:p>
        </w:tc>
        <w:tc>
          <w:tcPr>
            <w:tcW w:w="523" w:type="pct"/>
            <w:tcBorders>
              <w:top w:val="nil"/>
              <w:left w:val="nil"/>
              <w:bottom w:val="nil"/>
              <w:right w:val="nil"/>
            </w:tcBorders>
            <w:shd w:val="clear" w:color="auto" w:fill="FFFFFF"/>
            <w:tcMar>
              <w:top w:w="55" w:type="dxa"/>
              <w:left w:w="55" w:type="dxa"/>
              <w:bottom w:w="55" w:type="dxa"/>
              <w:right w:w="55" w:type="dxa"/>
            </w:tcMar>
            <w:vAlign w:val="center"/>
          </w:tcPr>
          <w:p w14:paraId="34B2202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13.77</w:t>
            </w:r>
          </w:p>
        </w:tc>
        <w:tc>
          <w:tcPr>
            <w:tcW w:w="525" w:type="pct"/>
            <w:tcBorders>
              <w:top w:val="nil"/>
              <w:left w:val="nil"/>
              <w:bottom w:val="nil"/>
              <w:right w:val="nil"/>
            </w:tcBorders>
            <w:shd w:val="clear" w:color="auto" w:fill="FFFFFF"/>
            <w:tcMar>
              <w:top w:w="55" w:type="dxa"/>
              <w:left w:w="55" w:type="dxa"/>
              <w:bottom w:w="55" w:type="dxa"/>
              <w:right w:w="55" w:type="dxa"/>
            </w:tcMar>
            <w:vAlign w:val="center"/>
          </w:tcPr>
          <w:p w14:paraId="6441239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1.51</w:t>
            </w:r>
          </w:p>
        </w:tc>
      </w:tr>
      <w:tr w14:paraId="48981849">
        <w:trPr>
          <w:trHeight w:val="193" w:hRule="atLeast"/>
          <w:jc w:val="center"/>
        </w:trPr>
        <w:tc>
          <w:tcPr>
            <w:tcW w:w="550" w:type="pct"/>
            <w:tcBorders>
              <w:top w:val="nil"/>
              <w:left w:val="nil"/>
              <w:bottom w:val="nil"/>
              <w:right w:val="nil"/>
            </w:tcBorders>
            <w:shd w:val="clear" w:color="auto" w:fill="FFFFFF"/>
            <w:tcMar>
              <w:top w:w="55" w:type="dxa"/>
              <w:left w:w="55" w:type="dxa"/>
              <w:bottom w:w="55" w:type="dxa"/>
              <w:right w:w="55" w:type="dxa"/>
            </w:tcMar>
            <w:vAlign w:val="center"/>
          </w:tcPr>
          <w:p w14:paraId="7433C97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Weak grip</w:t>
            </w:r>
          </w:p>
        </w:tc>
        <w:tc>
          <w:tcPr>
            <w:tcW w:w="620" w:type="pct"/>
            <w:tcBorders>
              <w:top w:val="nil"/>
              <w:left w:val="nil"/>
              <w:bottom w:val="nil"/>
              <w:right w:val="nil"/>
            </w:tcBorders>
            <w:shd w:val="clear" w:color="auto" w:fill="FFFFFF"/>
            <w:tcMar>
              <w:top w:w="55" w:type="dxa"/>
              <w:left w:w="55" w:type="dxa"/>
              <w:bottom w:w="55" w:type="dxa"/>
              <w:right w:w="55" w:type="dxa"/>
            </w:tcMar>
            <w:vAlign w:val="center"/>
          </w:tcPr>
          <w:p w14:paraId="6413D0A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Higher ADL limitation</w:t>
            </w:r>
          </w:p>
        </w:tc>
        <w:tc>
          <w:tcPr>
            <w:tcW w:w="620" w:type="pct"/>
            <w:tcBorders>
              <w:top w:val="nil"/>
              <w:left w:val="nil"/>
              <w:bottom w:val="nil"/>
              <w:right w:val="nil"/>
            </w:tcBorders>
            <w:shd w:val="clear" w:color="auto" w:fill="FFFFFF"/>
            <w:tcMar>
              <w:top w:w="55" w:type="dxa"/>
              <w:left w:w="55" w:type="dxa"/>
              <w:bottom w:w="55" w:type="dxa"/>
              <w:right w:w="55" w:type="dxa"/>
            </w:tcMar>
            <w:vAlign w:val="center"/>
          </w:tcPr>
          <w:p w14:paraId="663EBB0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Lower IADL limitation</w:t>
            </w:r>
          </w:p>
        </w:tc>
        <w:tc>
          <w:tcPr>
            <w:tcW w:w="500" w:type="pct"/>
            <w:tcBorders>
              <w:top w:val="nil"/>
              <w:left w:val="nil"/>
              <w:bottom w:val="nil"/>
              <w:right w:val="nil"/>
            </w:tcBorders>
            <w:shd w:val="clear" w:color="auto" w:fill="FFFFFF"/>
            <w:tcMar>
              <w:top w:w="55" w:type="dxa"/>
              <w:left w:w="55" w:type="dxa"/>
              <w:bottom w:w="55" w:type="dxa"/>
              <w:right w:w="55" w:type="dxa"/>
            </w:tcMar>
            <w:vAlign w:val="center"/>
          </w:tcPr>
          <w:p w14:paraId="1094F0F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48</w:t>
            </w:r>
          </w:p>
        </w:tc>
        <w:tc>
          <w:tcPr>
            <w:tcW w:w="523" w:type="pct"/>
            <w:tcBorders>
              <w:top w:val="nil"/>
              <w:left w:val="nil"/>
              <w:bottom w:val="nil"/>
              <w:right w:val="nil"/>
            </w:tcBorders>
            <w:shd w:val="clear" w:color="auto" w:fill="FFFFFF"/>
            <w:tcMar>
              <w:top w:w="55" w:type="dxa"/>
              <w:left w:w="55" w:type="dxa"/>
              <w:bottom w:w="55" w:type="dxa"/>
              <w:right w:w="55" w:type="dxa"/>
            </w:tcMar>
            <w:vAlign w:val="center"/>
          </w:tcPr>
          <w:p w14:paraId="443E762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70.27</w:t>
            </w:r>
          </w:p>
        </w:tc>
        <w:tc>
          <w:tcPr>
            <w:tcW w:w="523" w:type="pct"/>
            <w:tcBorders>
              <w:top w:val="nil"/>
              <w:left w:val="nil"/>
              <w:bottom w:val="nil"/>
              <w:right w:val="nil"/>
            </w:tcBorders>
            <w:shd w:val="clear" w:color="auto" w:fill="FFFFFF"/>
            <w:tcMar>
              <w:top w:w="55" w:type="dxa"/>
              <w:left w:w="55" w:type="dxa"/>
              <w:bottom w:w="55" w:type="dxa"/>
              <w:right w:w="55" w:type="dxa"/>
            </w:tcMar>
            <w:vAlign w:val="center"/>
          </w:tcPr>
          <w:p w14:paraId="1BAE1A6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28.88</w:t>
            </w:r>
          </w:p>
        </w:tc>
        <w:tc>
          <w:tcPr>
            <w:tcW w:w="613" w:type="pct"/>
            <w:tcBorders>
              <w:top w:val="nil"/>
              <w:left w:val="nil"/>
              <w:bottom w:val="nil"/>
              <w:right w:val="nil"/>
            </w:tcBorders>
            <w:shd w:val="clear" w:color="auto" w:fill="FFFFFF"/>
            <w:tcMar>
              <w:top w:w="55" w:type="dxa"/>
              <w:left w:w="55" w:type="dxa"/>
              <w:bottom w:w="55" w:type="dxa"/>
              <w:right w:w="55" w:type="dxa"/>
            </w:tcMar>
            <w:vAlign w:val="center"/>
          </w:tcPr>
          <w:p w14:paraId="2DCB0BF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2.07</w:t>
            </w:r>
          </w:p>
        </w:tc>
        <w:tc>
          <w:tcPr>
            <w:tcW w:w="523" w:type="pct"/>
            <w:tcBorders>
              <w:top w:val="nil"/>
              <w:left w:val="nil"/>
              <w:bottom w:val="nil"/>
              <w:right w:val="nil"/>
            </w:tcBorders>
            <w:shd w:val="clear" w:color="auto" w:fill="FFFFFF"/>
            <w:tcMar>
              <w:top w:w="55" w:type="dxa"/>
              <w:left w:w="55" w:type="dxa"/>
              <w:bottom w:w="55" w:type="dxa"/>
              <w:right w:w="55" w:type="dxa"/>
            </w:tcMar>
            <w:vAlign w:val="center"/>
          </w:tcPr>
          <w:p w14:paraId="55FDCDF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13.88</w:t>
            </w:r>
          </w:p>
        </w:tc>
        <w:tc>
          <w:tcPr>
            <w:tcW w:w="525" w:type="pct"/>
            <w:tcBorders>
              <w:top w:val="nil"/>
              <w:left w:val="nil"/>
              <w:bottom w:val="nil"/>
              <w:right w:val="nil"/>
            </w:tcBorders>
            <w:shd w:val="clear" w:color="auto" w:fill="FFFFFF"/>
            <w:tcMar>
              <w:top w:w="55" w:type="dxa"/>
              <w:left w:w="55" w:type="dxa"/>
              <w:bottom w:w="55" w:type="dxa"/>
              <w:right w:w="55" w:type="dxa"/>
            </w:tcMar>
            <w:vAlign w:val="center"/>
          </w:tcPr>
          <w:p w14:paraId="236DA2A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1.58</w:t>
            </w:r>
          </w:p>
        </w:tc>
      </w:tr>
      <w:tr w14:paraId="0FD4FDC9">
        <w:trPr>
          <w:trHeight w:val="193" w:hRule="atLeast"/>
          <w:jc w:val="center"/>
        </w:trPr>
        <w:tc>
          <w:tcPr>
            <w:tcW w:w="550" w:type="pct"/>
            <w:tcBorders>
              <w:top w:val="nil"/>
              <w:left w:val="nil"/>
              <w:bottom w:val="nil"/>
              <w:right w:val="nil"/>
            </w:tcBorders>
            <w:shd w:val="clear" w:color="auto" w:fill="FFFFFF"/>
            <w:tcMar>
              <w:top w:w="55" w:type="dxa"/>
              <w:left w:w="55" w:type="dxa"/>
              <w:bottom w:w="55" w:type="dxa"/>
              <w:right w:w="55" w:type="dxa"/>
            </w:tcMar>
            <w:vAlign w:val="center"/>
          </w:tcPr>
          <w:p w14:paraId="704AF10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Weak grip</w:t>
            </w:r>
          </w:p>
        </w:tc>
        <w:tc>
          <w:tcPr>
            <w:tcW w:w="620" w:type="pct"/>
            <w:tcBorders>
              <w:top w:val="nil"/>
              <w:left w:val="nil"/>
              <w:bottom w:val="nil"/>
              <w:right w:val="nil"/>
            </w:tcBorders>
            <w:shd w:val="clear" w:color="auto" w:fill="FFFFFF"/>
            <w:tcMar>
              <w:top w:w="55" w:type="dxa"/>
              <w:left w:w="55" w:type="dxa"/>
              <w:bottom w:w="55" w:type="dxa"/>
              <w:right w:w="55" w:type="dxa"/>
            </w:tcMar>
            <w:vAlign w:val="center"/>
          </w:tcPr>
          <w:p w14:paraId="351C50B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Higher ADL limitation</w:t>
            </w:r>
          </w:p>
        </w:tc>
        <w:tc>
          <w:tcPr>
            <w:tcW w:w="620" w:type="pct"/>
            <w:tcBorders>
              <w:top w:val="nil"/>
              <w:left w:val="nil"/>
              <w:bottom w:val="nil"/>
              <w:right w:val="nil"/>
            </w:tcBorders>
            <w:shd w:val="clear" w:color="auto" w:fill="FFFFFF"/>
            <w:tcMar>
              <w:top w:w="55" w:type="dxa"/>
              <w:left w:w="55" w:type="dxa"/>
              <w:bottom w:w="55" w:type="dxa"/>
              <w:right w:w="55" w:type="dxa"/>
            </w:tcMar>
            <w:vAlign w:val="center"/>
          </w:tcPr>
          <w:p w14:paraId="326F00E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Higher IADL limitation</w:t>
            </w:r>
          </w:p>
        </w:tc>
        <w:tc>
          <w:tcPr>
            <w:tcW w:w="500" w:type="pct"/>
            <w:tcBorders>
              <w:top w:val="nil"/>
              <w:left w:val="nil"/>
              <w:bottom w:val="nil"/>
              <w:right w:val="nil"/>
            </w:tcBorders>
            <w:shd w:val="clear" w:color="auto" w:fill="FFFFFF"/>
            <w:tcMar>
              <w:top w:w="55" w:type="dxa"/>
              <w:left w:w="55" w:type="dxa"/>
              <w:bottom w:w="55" w:type="dxa"/>
              <w:right w:w="55" w:type="dxa"/>
            </w:tcMar>
            <w:vAlign w:val="center"/>
          </w:tcPr>
          <w:p w14:paraId="7BB4C02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41</w:t>
            </w:r>
          </w:p>
        </w:tc>
        <w:tc>
          <w:tcPr>
            <w:tcW w:w="523" w:type="pct"/>
            <w:tcBorders>
              <w:top w:val="nil"/>
              <w:left w:val="nil"/>
              <w:bottom w:val="nil"/>
              <w:right w:val="nil"/>
            </w:tcBorders>
            <w:shd w:val="clear" w:color="auto" w:fill="FFFFFF"/>
            <w:tcMar>
              <w:top w:w="55" w:type="dxa"/>
              <w:left w:w="55" w:type="dxa"/>
              <w:bottom w:w="55" w:type="dxa"/>
              <w:right w:w="55" w:type="dxa"/>
            </w:tcMar>
            <w:vAlign w:val="center"/>
          </w:tcPr>
          <w:p w14:paraId="5B90F9F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71.85</w:t>
            </w:r>
          </w:p>
        </w:tc>
        <w:tc>
          <w:tcPr>
            <w:tcW w:w="523" w:type="pct"/>
            <w:tcBorders>
              <w:top w:val="nil"/>
              <w:left w:val="nil"/>
              <w:bottom w:val="nil"/>
              <w:right w:val="nil"/>
            </w:tcBorders>
            <w:shd w:val="clear" w:color="auto" w:fill="FFFFFF"/>
            <w:tcMar>
              <w:top w:w="55" w:type="dxa"/>
              <w:left w:w="55" w:type="dxa"/>
              <w:bottom w:w="55" w:type="dxa"/>
              <w:right w:w="55" w:type="dxa"/>
            </w:tcMar>
            <w:vAlign w:val="center"/>
          </w:tcPr>
          <w:p w14:paraId="7321165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29.1</w:t>
            </w:r>
          </w:p>
        </w:tc>
        <w:tc>
          <w:tcPr>
            <w:tcW w:w="613" w:type="pct"/>
            <w:tcBorders>
              <w:top w:val="nil"/>
              <w:left w:val="nil"/>
              <w:bottom w:val="nil"/>
              <w:right w:val="nil"/>
            </w:tcBorders>
            <w:shd w:val="clear" w:color="auto" w:fill="FFFFFF"/>
            <w:tcMar>
              <w:top w:w="55" w:type="dxa"/>
              <w:left w:w="55" w:type="dxa"/>
              <w:bottom w:w="55" w:type="dxa"/>
              <w:right w:w="55" w:type="dxa"/>
            </w:tcMar>
            <w:vAlign w:val="center"/>
          </w:tcPr>
          <w:p w14:paraId="13F42FE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2.3</w:t>
            </w:r>
          </w:p>
        </w:tc>
        <w:tc>
          <w:tcPr>
            <w:tcW w:w="523" w:type="pct"/>
            <w:tcBorders>
              <w:top w:val="nil"/>
              <w:left w:val="nil"/>
              <w:bottom w:val="nil"/>
              <w:right w:val="nil"/>
            </w:tcBorders>
            <w:shd w:val="clear" w:color="auto" w:fill="FFFFFF"/>
            <w:tcMar>
              <w:top w:w="55" w:type="dxa"/>
              <w:left w:w="55" w:type="dxa"/>
              <w:bottom w:w="55" w:type="dxa"/>
              <w:right w:w="55" w:type="dxa"/>
            </w:tcMar>
            <w:vAlign w:val="center"/>
          </w:tcPr>
          <w:p w14:paraId="003D6DA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13.93</w:t>
            </w:r>
          </w:p>
        </w:tc>
        <w:tc>
          <w:tcPr>
            <w:tcW w:w="525" w:type="pct"/>
            <w:tcBorders>
              <w:top w:val="nil"/>
              <w:left w:val="nil"/>
              <w:bottom w:val="nil"/>
              <w:right w:val="nil"/>
            </w:tcBorders>
            <w:shd w:val="clear" w:color="auto" w:fill="FFFFFF"/>
            <w:tcMar>
              <w:top w:w="55" w:type="dxa"/>
              <w:left w:w="55" w:type="dxa"/>
              <w:bottom w:w="55" w:type="dxa"/>
              <w:right w:w="55" w:type="dxa"/>
            </w:tcMar>
            <w:vAlign w:val="center"/>
          </w:tcPr>
          <w:p w14:paraId="5EA4082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1.58</w:t>
            </w:r>
          </w:p>
        </w:tc>
      </w:tr>
      <w:tr w14:paraId="450B677B">
        <w:trPr>
          <w:trHeight w:val="193" w:hRule="atLeast"/>
          <w:jc w:val="center"/>
        </w:trPr>
        <w:tc>
          <w:tcPr>
            <w:tcW w:w="550" w:type="pct"/>
            <w:tcBorders>
              <w:top w:val="nil"/>
              <w:left w:val="nil"/>
              <w:bottom w:val="nil"/>
              <w:right w:val="nil"/>
            </w:tcBorders>
            <w:shd w:val="clear" w:color="auto" w:fill="FFFFFF"/>
            <w:tcMar>
              <w:top w:w="55" w:type="dxa"/>
              <w:left w:w="55" w:type="dxa"/>
              <w:bottom w:w="55" w:type="dxa"/>
              <w:right w:w="55" w:type="dxa"/>
            </w:tcMar>
            <w:vAlign w:val="center"/>
          </w:tcPr>
          <w:p w14:paraId="1103D5B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Missing grip data</w:t>
            </w:r>
          </w:p>
        </w:tc>
        <w:tc>
          <w:tcPr>
            <w:tcW w:w="620" w:type="pct"/>
            <w:tcBorders>
              <w:top w:val="nil"/>
              <w:left w:val="nil"/>
              <w:bottom w:val="nil"/>
              <w:right w:val="nil"/>
            </w:tcBorders>
            <w:shd w:val="clear" w:color="auto" w:fill="FFFFFF"/>
            <w:tcMar>
              <w:top w:w="55" w:type="dxa"/>
              <w:left w:w="55" w:type="dxa"/>
              <w:bottom w:w="55" w:type="dxa"/>
              <w:right w:w="55" w:type="dxa"/>
            </w:tcMar>
            <w:vAlign w:val="center"/>
          </w:tcPr>
          <w:p w14:paraId="4EEB98F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Lower ADL limitation</w:t>
            </w:r>
          </w:p>
        </w:tc>
        <w:tc>
          <w:tcPr>
            <w:tcW w:w="620" w:type="pct"/>
            <w:tcBorders>
              <w:top w:val="nil"/>
              <w:left w:val="nil"/>
              <w:bottom w:val="nil"/>
              <w:right w:val="nil"/>
            </w:tcBorders>
            <w:shd w:val="clear" w:color="auto" w:fill="FFFFFF"/>
            <w:tcMar>
              <w:top w:w="55" w:type="dxa"/>
              <w:left w:w="55" w:type="dxa"/>
              <w:bottom w:w="55" w:type="dxa"/>
              <w:right w:w="55" w:type="dxa"/>
            </w:tcMar>
            <w:vAlign w:val="center"/>
          </w:tcPr>
          <w:p w14:paraId="574C5E4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Lower IADL limitation</w:t>
            </w:r>
          </w:p>
        </w:tc>
        <w:tc>
          <w:tcPr>
            <w:tcW w:w="500" w:type="pct"/>
            <w:tcBorders>
              <w:top w:val="nil"/>
              <w:left w:val="nil"/>
              <w:bottom w:val="nil"/>
              <w:right w:val="nil"/>
            </w:tcBorders>
            <w:shd w:val="clear" w:color="auto" w:fill="FFFFFF"/>
            <w:tcMar>
              <w:top w:w="55" w:type="dxa"/>
              <w:left w:w="55" w:type="dxa"/>
              <w:bottom w:w="55" w:type="dxa"/>
              <w:right w:w="55" w:type="dxa"/>
            </w:tcMar>
            <w:vAlign w:val="center"/>
          </w:tcPr>
          <w:p w14:paraId="683458D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5</w:t>
            </w:r>
          </w:p>
        </w:tc>
        <w:tc>
          <w:tcPr>
            <w:tcW w:w="523" w:type="pct"/>
            <w:tcBorders>
              <w:top w:val="nil"/>
              <w:left w:val="nil"/>
              <w:bottom w:val="nil"/>
              <w:right w:val="nil"/>
            </w:tcBorders>
            <w:shd w:val="clear" w:color="auto" w:fill="FFFFFF"/>
            <w:tcMar>
              <w:top w:w="55" w:type="dxa"/>
              <w:left w:w="55" w:type="dxa"/>
              <w:bottom w:w="55" w:type="dxa"/>
              <w:right w:w="55" w:type="dxa"/>
            </w:tcMar>
            <w:vAlign w:val="center"/>
          </w:tcPr>
          <w:p w14:paraId="1CCDBBE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68</w:t>
            </w:r>
          </w:p>
        </w:tc>
        <w:tc>
          <w:tcPr>
            <w:tcW w:w="523" w:type="pct"/>
            <w:tcBorders>
              <w:top w:val="nil"/>
              <w:left w:val="nil"/>
              <w:bottom w:val="nil"/>
              <w:right w:val="nil"/>
            </w:tcBorders>
            <w:shd w:val="clear" w:color="auto" w:fill="FFFFFF"/>
            <w:tcMar>
              <w:top w:w="55" w:type="dxa"/>
              <w:left w:w="55" w:type="dxa"/>
              <w:bottom w:w="55" w:type="dxa"/>
              <w:right w:w="55" w:type="dxa"/>
            </w:tcMar>
            <w:vAlign w:val="center"/>
          </w:tcPr>
          <w:p w14:paraId="1ADD4EE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28.28</w:t>
            </w:r>
          </w:p>
        </w:tc>
        <w:tc>
          <w:tcPr>
            <w:tcW w:w="613" w:type="pct"/>
            <w:tcBorders>
              <w:top w:val="nil"/>
              <w:left w:val="nil"/>
              <w:bottom w:val="nil"/>
              <w:right w:val="nil"/>
            </w:tcBorders>
            <w:shd w:val="clear" w:color="auto" w:fill="FFFFFF"/>
            <w:tcMar>
              <w:top w:w="55" w:type="dxa"/>
              <w:left w:w="55" w:type="dxa"/>
              <w:bottom w:w="55" w:type="dxa"/>
              <w:right w:w="55" w:type="dxa"/>
            </w:tcMar>
            <w:vAlign w:val="center"/>
          </w:tcPr>
          <w:p w14:paraId="6D21E1B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2.24</w:t>
            </w:r>
          </w:p>
        </w:tc>
        <w:tc>
          <w:tcPr>
            <w:tcW w:w="523" w:type="pct"/>
            <w:tcBorders>
              <w:top w:val="nil"/>
              <w:left w:val="nil"/>
              <w:bottom w:val="nil"/>
              <w:right w:val="nil"/>
            </w:tcBorders>
            <w:shd w:val="clear" w:color="auto" w:fill="FFFFFF"/>
            <w:tcMar>
              <w:top w:w="55" w:type="dxa"/>
              <w:left w:w="55" w:type="dxa"/>
              <w:bottom w:w="55" w:type="dxa"/>
              <w:right w:w="55" w:type="dxa"/>
            </w:tcMar>
            <w:vAlign w:val="center"/>
          </w:tcPr>
          <w:p w14:paraId="265DEB3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13.32</w:t>
            </w:r>
          </w:p>
        </w:tc>
        <w:tc>
          <w:tcPr>
            <w:tcW w:w="525" w:type="pct"/>
            <w:tcBorders>
              <w:top w:val="nil"/>
              <w:left w:val="nil"/>
              <w:bottom w:val="nil"/>
              <w:right w:val="nil"/>
            </w:tcBorders>
            <w:shd w:val="clear" w:color="auto" w:fill="FFFFFF"/>
            <w:tcMar>
              <w:top w:w="55" w:type="dxa"/>
              <w:left w:w="55" w:type="dxa"/>
              <w:bottom w:w="55" w:type="dxa"/>
              <w:right w:w="55" w:type="dxa"/>
            </w:tcMar>
            <w:vAlign w:val="center"/>
          </w:tcPr>
          <w:p w14:paraId="750B98F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1.62</w:t>
            </w:r>
          </w:p>
        </w:tc>
      </w:tr>
      <w:tr w14:paraId="15C235A0">
        <w:trPr>
          <w:trHeight w:val="193" w:hRule="atLeast"/>
          <w:jc w:val="center"/>
        </w:trPr>
        <w:tc>
          <w:tcPr>
            <w:tcW w:w="550" w:type="pct"/>
            <w:tcBorders>
              <w:top w:val="nil"/>
              <w:left w:val="nil"/>
              <w:bottom w:val="nil"/>
              <w:right w:val="nil"/>
            </w:tcBorders>
            <w:shd w:val="clear" w:color="auto" w:fill="FFFFFF"/>
            <w:tcMar>
              <w:top w:w="55" w:type="dxa"/>
              <w:left w:w="55" w:type="dxa"/>
              <w:bottom w:w="55" w:type="dxa"/>
              <w:right w:w="55" w:type="dxa"/>
            </w:tcMar>
            <w:vAlign w:val="center"/>
          </w:tcPr>
          <w:p w14:paraId="6DD740D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Missing grip data</w:t>
            </w:r>
          </w:p>
        </w:tc>
        <w:tc>
          <w:tcPr>
            <w:tcW w:w="620" w:type="pct"/>
            <w:tcBorders>
              <w:top w:val="nil"/>
              <w:left w:val="nil"/>
              <w:bottom w:val="nil"/>
              <w:right w:val="nil"/>
            </w:tcBorders>
            <w:shd w:val="clear" w:color="auto" w:fill="FFFFFF"/>
            <w:tcMar>
              <w:top w:w="55" w:type="dxa"/>
              <w:left w:w="55" w:type="dxa"/>
              <w:bottom w:w="55" w:type="dxa"/>
              <w:right w:w="55" w:type="dxa"/>
            </w:tcMar>
            <w:vAlign w:val="center"/>
          </w:tcPr>
          <w:p w14:paraId="6DEAB6F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Higher ADL limitation</w:t>
            </w:r>
          </w:p>
        </w:tc>
        <w:tc>
          <w:tcPr>
            <w:tcW w:w="620" w:type="pct"/>
            <w:tcBorders>
              <w:top w:val="nil"/>
              <w:left w:val="nil"/>
              <w:bottom w:val="nil"/>
              <w:right w:val="nil"/>
            </w:tcBorders>
            <w:shd w:val="clear" w:color="auto" w:fill="FFFFFF"/>
            <w:tcMar>
              <w:top w:w="55" w:type="dxa"/>
              <w:left w:w="55" w:type="dxa"/>
              <w:bottom w:w="55" w:type="dxa"/>
              <w:right w:w="55" w:type="dxa"/>
            </w:tcMar>
            <w:vAlign w:val="center"/>
          </w:tcPr>
          <w:p w14:paraId="7C8EBD8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Lower IADL limitation</w:t>
            </w:r>
          </w:p>
        </w:tc>
        <w:tc>
          <w:tcPr>
            <w:tcW w:w="500" w:type="pct"/>
            <w:tcBorders>
              <w:top w:val="nil"/>
              <w:left w:val="nil"/>
              <w:bottom w:val="nil"/>
              <w:right w:val="nil"/>
            </w:tcBorders>
            <w:shd w:val="clear" w:color="auto" w:fill="FFFFFF"/>
            <w:tcMar>
              <w:top w:w="55" w:type="dxa"/>
              <w:left w:w="55" w:type="dxa"/>
              <w:bottom w:w="55" w:type="dxa"/>
              <w:right w:w="55" w:type="dxa"/>
            </w:tcMar>
            <w:vAlign w:val="center"/>
          </w:tcPr>
          <w:p w14:paraId="765B7F7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w:t>
            </w:r>
          </w:p>
        </w:tc>
        <w:tc>
          <w:tcPr>
            <w:tcW w:w="523" w:type="pct"/>
            <w:tcBorders>
              <w:top w:val="nil"/>
              <w:left w:val="nil"/>
              <w:bottom w:val="nil"/>
              <w:right w:val="nil"/>
            </w:tcBorders>
            <w:shd w:val="clear" w:color="auto" w:fill="FFFFFF"/>
            <w:tcMar>
              <w:top w:w="55" w:type="dxa"/>
              <w:left w:w="55" w:type="dxa"/>
              <w:bottom w:w="55" w:type="dxa"/>
              <w:right w:w="55" w:type="dxa"/>
            </w:tcMar>
            <w:vAlign w:val="center"/>
          </w:tcPr>
          <w:p w14:paraId="68D4FAB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68</w:t>
            </w:r>
          </w:p>
        </w:tc>
        <w:tc>
          <w:tcPr>
            <w:tcW w:w="523" w:type="pct"/>
            <w:tcBorders>
              <w:top w:val="nil"/>
              <w:left w:val="nil"/>
              <w:bottom w:val="nil"/>
              <w:right w:val="nil"/>
            </w:tcBorders>
            <w:shd w:val="clear" w:color="auto" w:fill="FFFFFF"/>
            <w:tcMar>
              <w:top w:w="55" w:type="dxa"/>
              <w:left w:w="55" w:type="dxa"/>
              <w:bottom w:w="55" w:type="dxa"/>
              <w:right w:w="55" w:type="dxa"/>
            </w:tcMar>
            <w:vAlign w:val="center"/>
          </w:tcPr>
          <w:p w14:paraId="7C8DD63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31.91</w:t>
            </w:r>
          </w:p>
        </w:tc>
        <w:tc>
          <w:tcPr>
            <w:tcW w:w="613" w:type="pct"/>
            <w:tcBorders>
              <w:top w:val="nil"/>
              <w:left w:val="nil"/>
              <w:bottom w:val="nil"/>
              <w:right w:val="nil"/>
            </w:tcBorders>
            <w:shd w:val="clear" w:color="auto" w:fill="FFFFFF"/>
            <w:tcMar>
              <w:top w:w="55" w:type="dxa"/>
              <w:left w:w="55" w:type="dxa"/>
              <w:bottom w:w="55" w:type="dxa"/>
              <w:right w:w="55" w:type="dxa"/>
            </w:tcMar>
            <w:vAlign w:val="center"/>
          </w:tcPr>
          <w:p w14:paraId="5690EF2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3.02</w:t>
            </w:r>
          </w:p>
        </w:tc>
        <w:tc>
          <w:tcPr>
            <w:tcW w:w="523" w:type="pct"/>
            <w:tcBorders>
              <w:top w:val="nil"/>
              <w:left w:val="nil"/>
              <w:bottom w:val="nil"/>
              <w:right w:val="nil"/>
            </w:tcBorders>
            <w:shd w:val="clear" w:color="auto" w:fill="FFFFFF"/>
            <w:tcMar>
              <w:top w:w="55" w:type="dxa"/>
              <w:left w:w="55" w:type="dxa"/>
              <w:bottom w:w="55" w:type="dxa"/>
              <w:right w:w="55" w:type="dxa"/>
            </w:tcMar>
            <w:vAlign w:val="center"/>
          </w:tcPr>
          <w:p w14:paraId="44E0E76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11.8</w:t>
            </w:r>
          </w:p>
        </w:tc>
        <w:tc>
          <w:tcPr>
            <w:tcW w:w="525" w:type="pct"/>
            <w:tcBorders>
              <w:top w:val="nil"/>
              <w:left w:val="nil"/>
              <w:bottom w:val="nil"/>
              <w:right w:val="nil"/>
            </w:tcBorders>
            <w:shd w:val="clear" w:color="auto" w:fill="FFFFFF"/>
            <w:tcMar>
              <w:top w:w="55" w:type="dxa"/>
              <w:left w:w="55" w:type="dxa"/>
              <w:bottom w:w="55" w:type="dxa"/>
              <w:right w:w="55" w:type="dxa"/>
            </w:tcMar>
            <w:vAlign w:val="center"/>
          </w:tcPr>
          <w:p w14:paraId="79A8EDB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1.68</w:t>
            </w:r>
          </w:p>
        </w:tc>
      </w:tr>
      <w:tr w14:paraId="34249F4A">
        <w:trPr>
          <w:trHeight w:val="193" w:hRule="atLeast"/>
          <w:jc w:val="center"/>
        </w:trPr>
        <w:tc>
          <w:tcPr>
            <w:tcW w:w="55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43FCCC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Missing grip data</w:t>
            </w:r>
          </w:p>
        </w:tc>
        <w:tc>
          <w:tcPr>
            <w:tcW w:w="62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881F3D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Higher ADL limitation</w:t>
            </w:r>
          </w:p>
        </w:tc>
        <w:tc>
          <w:tcPr>
            <w:tcW w:w="62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B69CF4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Higher IADL limitation</w:t>
            </w:r>
          </w:p>
        </w:tc>
        <w:tc>
          <w:tcPr>
            <w:tcW w:w="50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403215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3</w:t>
            </w:r>
          </w:p>
        </w:tc>
        <w:tc>
          <w:tcPr>
            <w:tcW w:w="523"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8570CF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57.33</w:t>
            </w:r>
          </w:p>
        </w:tc>
        <w:tc>
          <w:tcPr>
            <w:tcW w:w="523"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02BAC5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24.89</w:t>
            </w:r>
          </w:p>
        </w:tc>
        <w:tc>
          <w:tcPr>
            <w:tcW w:w="613"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6E4984D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0.29</w:t>
            </w:r>
          </w:p>
        </w:tc>
        <w:tc>
          <w:tcPr>
            <w:tcW w:w="523"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52F95A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12.77</w:t>
            </w:r>
          </w:p>
        </w:tc>
        <w:tc>
          <w:tcPr>
            <w:tcW w:w="525"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FDB87F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2.4</w:t>
            </w:r>
          </w:p>
        </w:tc>
      </w:tr>
    </w:tbl>
    <w:p w14:paraId="5FB8B06C">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r>
        <w:rPr>
          <w:rFonts w:hint="default" w:ascii="Times New Roman" w:hAnsi="Times New Roman" w:eastAsia="Times New Roman" w:cs="Times New Roman Regular"/>
          <w:b/>
          <w:bCs/>
          <w:color w:val="auto"/>
          <w:sz w:val="20"/>
          <w:szCs w:val="22"/>
          <w:lang w:val="en-US" w:eastAsia="zh-CN"/>
        </w:rPr>
        <w:br w:type="textWrapping"/>
      </w:r>
      <w:r>
        <w:rPr>
          <w:rFonts w:hint="default" w:ascii="Times New Roman" w:hAnsi="Times New Roman" w:eastAsia="Times New Roman" w:cs="Times New Roman Regular"/>
          <w:b w:val="0"/>
          <w:bCs w:val="0"/>
          <w:color w:val="auto"/>
          <w:sz w:val="20"/>
          <w:szCs w:val="22"/>
          <w:lang w:val="en-US" w:eastAsia="zh-CN"/>
        </w:rPr>
        <w:t xml:space="preserve">Baseline demographic and clinical characteristics are shown across prespecified strata defined by grip strength and functional status. Functional-status strata were based on ADL and IADL limitation categories, as specified in the table. Variables may include age, sex, smoking status, body mass index (BMI), C-reactive protein (CRP), hemoglobin (Hb), ferritin-related measures, and baseline lung function, as applicable. This table is provided as descriptive background information to characterize the subgroup structure underlying the grip- and functional-status-related analyses. </w:t>
      </w:r>
    </w:p>
    <w:p w14:paraId="035257A1">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99BD7C8">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Regular" w:hAnsi="Times New Roman Regular" w:cs="Times New Roman Regular"/>
          <w:b w:val="0"/>
          <w:bCs w:val="0"/>
          <w:color w:val="auto"/>
          <w:sz w:val="22"/>
          <w:szCs w:val="22"/>
          <w:lang w:val="en-US" w:eastAsia="zh-CN"/>
        </w:rPr>
        <w:br w:type="page"/>
      </w:r>
    </w:p>
    <w:p w14:paraId="057214F9">
      <w:pPr>
        <w:pStyle w:val="2"/>
        <w:keepNext/>
        <w:keepLines w:val="0"/>
        <w:widowControl/>
        <w:suppressLineNumbers w:val="0"/>
        <w:spacing w:before="0" w:after="120" w:line="240" w:lineRule="auto"/>
        <w:jc w:val="left"/>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 xml:space="preserve">Supplementary Table S24. Cox models for specific ADL domains: </w:t>
      </w:r>
      <w:r>
        <w:rPr>
          <w:rFonts w:hint="default" w:ascii="Times New Roman" w:hAnsi="Times New Roman" w:eastAsia="Times New Roman" w:cs="Times New Roman Regular"/>
          <w:b/>
          <w:bCs/>
          <w:kern w:val="0"/>
          <w:sz w:val="20"/>
          <w:szCs w:val="22"/>
          <w:lang w:val="en-US" w:eastAsia="zh-CN" w:bidi="ar"/>
        </w:rPr>
        <w:t>selected main exposure results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736"/>
        <w:gridCol w:w="4194"/>
        <w:gridCol w:w="3231"/>
        <w:gridCol w:w="3205"/>
      </w:tblGrid>
      <w:tr w14:paraId="20630664">
        <w:trPr>
          <w:trHeight w:val="193" w:hRule="atLeast"/>
          <w:tblHeader/>
          <w:jc w:val="center"/>
        </w:trPr>
        <w:tc>
          <w:tcPr>
            <w:tcW w:w="130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0C6826B">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Domain</w:t>
            </w:r>
          </w:p>
        </w:tc>
        <w:tc>
          <w:tcPr>
            <w:tcW w:w="145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00591C69">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Exposure</w:t>
            </w:r>
          </w:p>
        </w:tc>
        <w:tc>
          <w:tcPr>
            <w:tcW w:w="1124"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312D00CE">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HR (95% CI)</w:t>
            </w:r>
          </w:p>
        </w:tc>
        <w:tc>
          <w:tcPr>
            <w:tcW w:w="1115"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4611A7C">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2A159571">
        <w:trPr>
          <w:trHeight w:val="193" w:hRule="atLeast"/>
          <w:jc w:val="center"/>
        </w:trPr>
        <w:tc>
          <w:tcPr>
            <w:tcW w:w="130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E552F4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Walking across a room</w:t>
            </w:r>
          </w:p>
        </w:tc>
        <w:tc>
          <w:tcPr>
            <w:tcW w:w="145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5A3DE3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124"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6E70C5F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2.56 (0.90, 7.30)</w:t>
            </w:r>
          </w:p>
        </w:tc>
        <w:tc>
          <w:tcPr>
            <w:tcW w:w="1115"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E1A5FD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0.078</w:t>
            </w:r>
          </w:p>
        </w:tc>
      </w:tr>
      <w:tr w14:paraId="6D62664E">
        <w:trPr>
          <w:trHeight w:val="193" w:hRule="atLeast"/>
          <w:jc w:val="center"/>
        </w:trPr>
        <w:tc>
          <w:tcPr>
            <w:tcW w:w="1300" w:type="pct"/>
            <w:tcBorders>
              <w:top w:val="nil"/>
              <w:left w:val="nil"/>
              <w:bottom w:val="nil"/>
              <w:right w:val="nil"/>
            </w:tcBorders>
            <w:shd w:val="clear" w:color="auto" w:fill="FFFFFF"/>
            <w:tcMar>
              <w:top w:w="55" w:type="dxa"/>
              <w:left w:w="55" w:type="dxa"/>
              <w:bottom w:w="55" w:type="dxa"/>
              <w:right w:w="55" w:type="dxa"/>
            </w:tcMar>
            <w:vAlign w:val="center"/>
          </w:tcPr>
          <w:p w14:paraId="13865BB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Walking across a room</w:t>
            </w:r>
          </w:p>
        </w:tc>
        <w:tc>
          <w:tcPr>
            <w:tcW w:w="1459" w:type="pct"/>
            <w:tcBorders>
              <w:top w:val="nil"/>
              <w:left w:val="nil"/>
              <w:bottom w:val="nil"/>
              <w:right w:val="nil"/>
            </w:tcBorders>
            <w:shd w:val="clear" w:color="auto" w:fill="FFFFFF"/>
            <w:tcMar>
              <w:top w:w="55" w:type="dxa"/>
              <w:left w:w="55" w:type="dxa"/>
              <w:bottom w:w="55" w:type="dxa"/>
              <w:right w:w="55" w:type="dxa"/>
            </w:tcMar>
            <w:vAlign w:val="center"/>
          </w:tcPr>
          <w:p w14:paraId="4BF260F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Iron fragility index</w:t>
            </w:r>
          </w:p>
        </w:tc>
        <w:tc>
          <w:tcPr>
            <w:tcW w:w="1124" w:type="pct"/>
            <w:tcBorders>
              <w:top w:val="nil"/>
              <w:left w:val="nil"/>
              <w:bottom w:val="nil"/>
              <w:right w:val="nil"/>
            </w:tcBorders>
            <w:shd w:val="clear" w:color="auto" w:fill="FFFFFF"/>
            <w:tcMar>
              <w:top w:w="55" w:type="dxa"/>
              <w:left w:w="55" w:type="dxa"/>
              <w:bottom w:w="55" w:type="dxa"/>
              <w:right w:w="55" w:type="dxa"/>
            </w:tcMar>
            <w:vAlign w:val="center"/>
          </w:tcPr>
          <w:p w14:paraId="2DDB81F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1.13 (1.00, 1.28)</w:t>
            </w:r>
          </w:p>
        </w:tc>
        <w:tc>
          <w:tcPr>
            <w:tcW w:w="1115" w:type="pct"/>
            <w:tcBorders>
              <w:top w:val="nil"/>
              <w:left w:val="nil"/>
              <w:bottom w:val="nil"/>
              <w:right w:val="nil"/>
            </w:tcBorders>
            <w:shd w:val="clear" w:color="auto" w:fill="FFFFFF"/>
            <w:tcMar>
              <w:top w:w="55" w:type="dxa"/>
              <w:left w:w="55" w:type="dxa"/>
              <w:bottom w:w="55" w:type="dxa"/>
              <w:right w:w="55" w:type="dxa"/>
            </w:tcMar>
            <w:vAlign w:val="center"/>
          </w:tcPr>
          <w:p w14:paraId="55C63ED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0.045</w:t>
            </w:r>
          </w:p>
        </w:tc>
      </w:tr>
      <w:tr w14:paraId="235CD1C0">
        <w:trPr>
          <w:trHeight w:val="193" w:hRule="atLeast"/>
          <w:jc w:val="center"/>
        </w:trPr>
        <w:tc>
          <w:tcPr>
            <w:tcW w:w="1300" w:type="pct"/>
            <w:tcBorders>
              <w:top w:val="nil"/>
              <w:left w:val="nil"/>
              <w:bottom w:val="nil"/>
              <w:right w:val="nil"/>
            </w:tcBorders>
            <w:shd w:val="clear" w:color="auto" w:fill="FFFFFF"/>
            <w:tcMar>
              <w:top w:w="55" w:type="dxa"/>
              <w:left w:w="55" w:type="dxa"/>
              <w:bottom w:w="55" w:type="dxa"/>
              <w:right w:w="55" w:type="dxa"/>
            </w:tcMar>
            <w:vAlign w:val="center"/>
          </w:tcPr>
          <w:p w14:paraId="7630B2B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Dressing</w:t>
            </w:r>
          </w:p>
        </w:tc>
        <w:tc>
          <w:tcPr>
            <w:tcW w:w="1459" w:type="pct"/>
            <w:tcBorders>
              <w:top w:val="nil"/>
              <w:left w:val="nil"/>
              <w:bottom w:val="nil"/>
              <w:right w:val="nil"/>
            </w:tcBorders>
            <w:shd w:val="clear" w:color="auto" w:fill="FFFFFF"/>
            <w:tcMar>
              <w:top w:w="55" w:type="dxa"/>
              <w:left w:w="55" w:type="dxa"/>
              <w:bottom w:w="55" w:type="dxa"/>
              <w:right w:w="55" w:type="dxa"/>
            </w:tcMar>
            <w:vAlign w:val="center"/>
          </w:tcPr>
          <w:p w14:paraId="791D9FD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124" w:type="pct"/>
            <w:tcBorders>
              <w:top w:val="nil"/>
              <w:left w:val="nil"/>
              <w:bottom w:val="nil"/>
              <w:right w:val="nil"/>
            </w:tcBorders>
            <w:shd w:val="clear" w:color="auto" w:fill="FFFFFF"/>
            <w:tcMar>
              <w:top w:w="55" w:type="dxa"/>
              <w:left w:w="55" w:type="dxa"/>
              <w:bottom w:w="55" w:type="dxa"/>
              <w:right w:w="55" w:type="dxa"/>
            </w:tcMar>
            <w:vAlign w:val="center"/>
          </w:tcPr>
          <w:p w14:paraId="76BF7B6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1.67 (0.89, 3.13)</w:t>
            </w:r>
          </w:p>
        </w:tc>
        <w:tc>
          <w:tcPr>
            <w:tcW w:w="1115" w:type="pct"/>
            <w:tcBorders>
              <w:top w:val="nil"/>
              <w:left w:val="nil"/>
              <w:bottom w:val="nil"/>
              <w:right w:val="nil"/>
            </w:tcBorders>
            <w:shd w:val="clear" w:color="auto" w:fill="FFFFFF"/>
            <w:tcMar>
              <w:top w:w="55" w:type="dxa"/>
              <w:left w:w="55" w:type="dxa"/>
              <w:bottom w:w="55" w:type="dxa"/>
              <w:right w:w="55" w:type="dxa"/>
            </w:tcMar>
            <w:vAlign w:val="center"/>
          </w:tcPr>
          <w:p w14:paraId="4DB35DB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0.112</w:t>
            </w:r>
          </w:p>
        </w:tc>
      </w:tr>
      <w:tr w14:paraId="75ECFF6D">
        <w:trPr>
          <w:trHeight w:val="193" w:hRule="atLeast"/>
          <w:jc w:val="center"/>
        </w:trPr>
        <w:tc>
          <w:tcPr>
            <w:tcW w:w="1300" w:type="pct"/>
            <w:tcBorders>
              <w:top w:val="nil"/>
              <w:left w:val="nil"/>
              <w:bottom w:val="nil"/>
              <w:right w:val="nil"/>
            </w:tcBorders>
            <w:shd w:val="clear" w:color="auto" w:fill="FFFFFF"/>
            <w:tcMar>
              <w:top w:w="55" w:type="dxa"/>
              <w:left w:w="55" w:type="dxa"/>
              <w:bottom w:w="55" w:type="dxa"/>
              <w:right w:w="55" w:type="dxa"/>
            </w:tcMar>
            <w:vAlign w:val="center"/>
          </w:tcPr>
          <w:p w14:paraId="06DD163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Dressing</w:t>
            </w:r>
          </w:p>
        </w:tc>
        <w:tc>
          <w:tcPr>
            <w:tcW w:w="1459" w:type="pct"/>
            <w:tcBorders>
              <w:top w:val="nil"/>
              <w:left w:val="nil"/>
              <w:bottom w:val="nil"/>
              <w:right w:val="nil"/>
            </w:tcBorders>
            <w:shd w:val="clear" w:color="auto" w:fill="FFFFFF"/>
            <w:tcMar>
              <w:top w:w="55" w:type="dxa"/>
              <w:left w:w="55" w:type="dxa"/>
              <w:bottom w:w="55" w:type="dxa"/>
              <w:right w:w="55" w:type="dxa"/>
            </w:tcMar>
            <w:vAlign w:val="center"/>
          </w:tcPr>
          <w:p w14:paraId="5DCB618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Iron fragility index</w:t>
            </w:r>
          </w:p>
        </w:tc>
        <w:tc>
          <w:tcPr>
            <w:tcW w:w="1124" w:type="pct"/>
            <w:tcBorders>
              <w:top w:val="nil"/>
              <w:left w:val="nil"/>
              <w:bottom w:val="nil"/>
              <w:right w:val="nil"/>
            </w:tcBorders>
            <w:shd w:val="clear" w:color="auto" w:fill="FFFFFF"/>
            <w:tcMar>
              <w:top w:w="55" w:type="dxa"/>
              <w:left w:w="55" w:type="dxa"/>
              <w:bottom w:w="55" w:type="dxa"/>
              <w:right w:w="55" w:type="dxa"/>
            </w:tcMar>
            <w:vAlign w:val="center"/>
          </w:tcPr>
          <w:p w14:paraId="0003A39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1.11 (1.03, 1.19)</w:t>
            </w:r>
          </w:p>
        </w:tc>
        <w:tc>
          <w:tcPr>
            <w:tcW w:w="1115" w:type="pct"/>
            <w:tcBorders>
              <w:top w:val="nil"/>
              <w:left w:val="nil"/>
              <w:bottom w:val="nil"/>
              <w:right w:val="nil"/>
            </w:tcBorders>
            <w:shd w:val="clear" w:color="auto" w:fill="FFFFFF"/>
            <w:tcMar>
              <w:top w:w="55" w:type="dxa"/>
              <w:left w:w="55" w:type="dxa"/>
              <w:bottom w:w="55" w:type="dxa"/>
              <w:right w:w="55" w:type="dxa"/>
            </w:tcMar>
            <w:vAlign w:val="center"/>
          </w:tcPr>
          <w:p w14:paraId="52F3312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0.006</w:t>
            </w:r>
          </w:p>
        </w:tc>
      </w:tr>
      <w:tr w14:paraId="634D4120">
        <w:trPr>
          <w:trHeight w:val="193" w:hRule="atLeast"/>
          <w:jc w:val="center"/>
        </w:trPr>
        <w:tc>
          <w:tcPr>
            <w:tcW w:w="1300" w:type="pct"/>
            <w:tcBorders>
              <w:top w:val="nil"/>
              <w:left w:val="nil"/>
              <w:bottom w:val="nil"/>
              <w:right w:val="nil"/>
            </w:tcBorders>
            <w:shd w:val="clear" w:color="auto" w:fill="FFFFFF"/>
            <w:tcMar>
              <w:top w:w="55" w:type="dxa"/>
              <w:left w:w="55" w:type="dxa"/>
              <w:bottom w:w="55" w:type="dxa"/>
              <w:right w:w="55" w:type="dxa"/>
            </w:tcMar>
            <w:vAlign w:val="center"/>
          </w:tcPr>
          <w:p w14:paraId="457E219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Bathing</w:t>
            </w:r>
          </w:p>
        </w:tc>
        <w:tc>
          <w:tcPr>
            <w:tcW w:w="1459" w:type="pct"/>
            <w:tcBorders>
              <w:top w:val="nil"/>
              <w:left w:val="nil"/>
              <w:bottom w:val="nil"/>
              <w:right w:val="nil"/>
            </w:tcBorders>
            <w:shd w:val="clear" w:color="auto" w:fill="FFFFFF"/>
            <w:tcMar>
              <w:top w:w="55" w:type="dxa"/>
              <w:left w:w="55" w:type="dxa"/>
              <w:bottom w:w="55" w:type="dxa"/>
              <w:right w:w="55" w:type="dxa"/>
            </w:tcMar>
            <w:vAlign w:val="center"/>
          </w:tcPr>
          <w:p w14:paraId="12057A3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124" w:type="pct"/>
            <w:tcBorders>
              <w:top w:val="nil"/>
              <w:left w:val="nil"/>
              <w:bottom w:val="nil"/>
              <w:right w:val="nil"/>
            </w:tcBorders>
            <w:shd w:val="clear" w:color="auto" w:fill="FFFFFF"/>
            <w:tcMar>
              <w:top w:w="55" w:type="dxa"/>
              <w:left w:w="55" w:type="dxa"/>
              <w:bottom w:w="55" w:type="dxa"/>
              <w:right w:w="55" w:type="dxa"/>
            </w:tcMar>
            <w:vAlign w:val="center"/>
          </w:tcPr>
          <w:p w14:paraId="62B6E40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2.58 (1.28, 5.21)</w:t>
            </w:r>
          </w:p>
        </w:tc>
        <w:tc>
          <w:tcPr>
            <w:tcW w:w="1115" w:type="pct"/>
            <w:tcBorders>
              <w:top w:val="nil"/>
              <w:left w:val="nil"/>
              <w:bottom w:val="nil"/>
              <w:right w:val="nil"/>
            </w:tcBorders>
            <w:shd w:val="clear" w:color="auto" w:fill="FFFFFF"/>
            <w:tcMar>
              <w:top w:w="55" w:type="dxa"/>
              <w:left w:w="55" w:type="dxa"/>
              <w:bottom w:w="55" w:type="dxa"/>
              <w:right w:w="55" w:type="dxa"/>
            </w:tcMar>
            <w:vAlign w:val="center"/>
          </w:tcPr>
          <w:p w14:paraId="3BD12AF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0.008</w:t>
            </w:r>
          </w:p>
        </w:tc>
      </w:tr>
      <w:tr w14:paraId="194136BE">
        <w:trPr>
          <w:trHeight w:val="193" w:hRule="atLeast"/>
          <w:jc w:val="center"/>
        </w:trPr>
        <w:tc>
          <w:tcPr>
            <w:tcW w:w="1300" w:type="pct"/>
            <w:tcBorders>
              <w:top w:val="nil"/>
              <w:left w:val="nil"/>
              <w:bottom w:val="nil"/>
              <w:right w:val="nil"/>
            </w:tcBorders>
            <w:shd w:val="clear" w:color="auto" w:fill="FFFFFF"/>
            <w:tcMar>
              <w:top w:w="55" w:type="dxa"/>
              <w:left w:w="55" w:type="dxa"/>
              <w:bottom w:w="55" w:type="dxa"/>
              <w:right w:w="55" w:type="dxa"/>
            </w:tcMar>
            <w:vAlign w:val="center"/>
          </w:tcPr>
          <w:p w14:paraId="69F0DCD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Bathing</w:t>
            </w:r>
          </w:p>
        </w:tc>
        <w:tc>
          <w:tcPr>
            <w:tcW w:w="1459" w:type="pct"/>
            <w:tcBorders>
              <w:top w:val="nil"/>
              <w:left w:val="nil"/>
              <w:bottom w:val="nil"/>
              <w:right w:val="nil"/>
            </w:tcBorders>
            <w:shd w:val="clear" w:color="auto" w:fill="FFFFFF"/>
            <w:tcMar>
              <w:top w:w="55" w:type="dxa"/>
              <w:left w:w="55" w:type="dxa"/>
              <w:bottom w:w="55" w:type="dxa"/>
              <w:right w:w="55" w:type="dxa"/>
            </w:tcMar>
            <w:vAlign w:val="center"/>
          </w:tcPr>
          <w:p w14:paraId="0DFC54E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Iron fragility index</w:t>
            </w:r>
          </w:p>
        </w:tc>
        <w:tc>
          <w:tcPr>
            <w:tcW w:w="1124" w:type="pct"/>
            <w:tcBorders>
              <w:top w:val="nil"/>
              <w:left w:val="nil"/>
              <w:bottom w:val="nil"/>
              <w:right w:val="nil"/>
            </w:tcBorders>
            <w:shd w:val="clear" w:color="auto" w:fill="FFFFFF"/>
            <w:tcMar>
              <w:top w:w="55" w:type="dxa"/>
              <w:left w:w="55" w:type="dxa"/>
              <w:bottom w:w="55" w:type="dxa"/>
              <w:right w:w="55" w:type="dxa"/>
            </w:tcMar>
            <w:vAlign w:val="center"/>
          </w:tcPr>
          <w:p w14:paraId="42977CC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1.11 (1.02, 1.20)</w:t>
            </w:r>
          </w:p>
        </w:tc>
        <w:tc>
          <w:tcPr>
            <w:tcW w:w="1115" w:type="pct"/>
            <w:tcBorders>
              <w:top w:val="nil"/>
              <w:left w:val="nil"/>
              <w:bottom w:val="nil"/>
              <w:right w:val="nil"/>
            </w:tcBorders>
            <w:shd w:val="clear" w:color="auto" w:fill="FFFFFF"/>
            <w:tcMar>
              <w:top w:w="55" w:type="dxa"/>
              <w:left w:w="55" w:type="dxa"/>
              <w:bottom w:w="55" w:type="dxa"/>
              <w:right w:w="55" w:type="dxa"/>
            </w:tcMar>
            <w:vAlign w:val="center"/>
          </w:tcPr>
          <w:p w14:paraId="36094D5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0.012</w:t>
            </w:r>
          </w:p>
        </w:tc>
      </w:tr>
      <w:tr w14:paraId="0D38F696">
        <w:trPr>
          <w:trHeight w:val="193" w:hRule="atLeast"/>
          <w:jc w:val="center"/>
        </w:trPr>
        <w:tc>
          <w:tcPr>
            <w:tcW w:w="1300" w:type="pct"/>
            <w:tcBorders>
              <w:top w:val="nil"/>
              <w:left w:val="nil"/>
              <w:bottom w:val="nil"/>
              <w:right w:val="nil"/>
            </w:tcBorders>
            <w:shd w:val="clear" w:color="auto" w:fill="FFFFFF"/>
            <w:tcMar>
              <w:top w:w="55" w:type="dxa"/>
              <w:left w:w="55" w:type="dxa"/>
              <w:bottom w:w="55" w:type="dxa"/>
              <w:right w:w="55" w:type="dxa"/>
            </w:tcMar>
            <w:vAlign w:val="center"/>
          </w:tcPr>
          <w:p w14:paraId="14563E5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Eating</w:t>
            </w:r>
          </w:p>
        </w:tc>
        <w:tc>
          <w:tcPr>
            <w:tcW w:w="1459" w:type="pct"/>
            <w:tcBorders>
              <w:top w:val="nil"/>
              <w:left w:val="nil"/>
              <w:bottom w:val="nil"/>
              <w:right w:val="nil"/>
            </w:tcBorders>
            <w:shd w:val="clear" w:color="auto" w:fill="FFFFFF"/>
            <w:tcMar>
              <w:top w:w="55" w:type="dxa"/>
              <w:left w:w="55" w:type="dxa"/>
              <w:bottom w:w="55" w:type="dxa"/>
              <w:right w:w="55" w:type="dxa"/>
            </w:tcMar>
            <w:vAlign w:val="center"/>
          </w:tcPr>
          <w:p w14:paraId="5C62CC0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124" w:type="pct"/>
            <w:tcBorders>
              <w:top w:val="nil"/>
              <w:left w:val="nil"/>
              <w:bottom w:val="nil"/>
              <w:right w:val="nil"/>
            </w:tcBorders>
            <w:shd w:val="clear" w:color="auto" w:fill="FFFFFF"/>
            <w:tcMar>
              <w:top w:w="55" w:type="dxa"/>
              <w:left w:w="55" w:type="dxa"/>
              <w:bottom w:w="55" w:type="dxa"/>
              <w:right w:w="55" w:type="dxa"/>
            </w:tcMar>
            <w:vAlign w:val="center"/>
          </w:tcPr>
          <w:p w14:paraId="661262E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0.84 (0.18, 4.01)</w:t>
            </w:r>
          </w:p>
        </w:tc>
        <w:tc>
          <w:tcPr>
            <w:tcW w:w="1115" w:type="pct"/>
            <w:tcBorders>
              <w:top w:val="nil"/>
              <w:left w:val="nil"/>
              <w:bottom w:val="nil"/>
              <w:right w:val="nil"/>
            </w:tcBorders>
            <w:shd w:val="clear" w:color="auto" w:fill="FFFFFF"/>
            <w:tcMar>
              <w:top w:w="55" w:type="dxa"/>
              <w:left w:w="55" w:type="dxa"/>
              <w:bottom w:w="55" w:type="dxa"/>
              <w:right w:w="55" w:type="dxa"/>
            </w:tcMar>
            <w:vAlign w:val="center"/>
          </w:tcPr>
          <w:p w14:paraId="529DA30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0.828</w:t>
            </w:r>
          </w:p>
        </w:tc>
      </w:tr>
      <w:tr w14:paraId="0A0A6575">
        <w:trPr>
          <w:trHeight w:val="193" w:hRule="atLeast"/>
          <w:jc w:val="center"/>
        </w:trPr>
        <w:tc>
          <w:tcPr>
            <w:tcW w:w="1300" w:type="pct"/>
            <w:tcBorders>
              <w:top w:val="nil"/>
              <w:left w:val="nil"/>
              <w:bottom w:val="nil"/>
              <w:right w:val="nil"/>
            </w:tcBorders>
            <w:shd w:val="clear" w:color="auto" w:fill="FFFFFF"/>
            <w:tcMar>
              <w:top w:w="55" w:type="dxa"/>
              <w:left w:w="55" w:type="dxa"/>
              <w:bottom w:w="55" w:type="dxa"/>
              <w:right w:w="55" w:type="dxa"/>
            </w:tcMar>
            <w:vAlign w:val="center"/>
          </w:tcPr>
          <w:p w14:paraId="4E04F0B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Eating</w:t>
            </w:r>
          </w:p>
        </w:tc>
        <w:tc>
          <w:tcPr>
            <w:tcW w:w="1459" w:type="pct"/>
            <w:tcBorders>
              <w:top w:val="nil"/>
              <w:left w:val="nil"/>
              <w:bottom w:val="nil"/>
              <w:right w:val="nil"/>
            </w:tcBorders>
            <w:shd w:val="clear" w:color="auto" w:fill="FFFFFF"/>
            <w:tcMar>
              <w:top w:w="55" w:type="dxa"/>
              <w:left w:w="55" w:type="dxa"/>
              <w:bottom w:w="55" w:type="dxa"/>
              <w:right w:w="55" w:type="dxa"/>
            </w:tcMar>
            <w:vAlign w:val="center"/>
          </w:tcPr>
          <w:p w14:paraId="78077A6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Iron fragility index</w:t>
            </w:r>
          </w:p>
        </w:tc>
        <w:tc>
          <w:tcPr>
            <w:tcW w:w="1124" w:type="pct"/>
            <w:tcBorders>
              <w:top w:val="nil"/>
              <w:left w:val="nil"/>
              <w:bottom w:val="nil"/>
              <w:right w:val="nil"/>
            </w:tcBorders>
            <w:shd w:val="clear" w:color="auto" w:fill="FFFFFF"/>
            <w:tcMar>
              <w:top w:w="55" w:type="dxa"/>
              <w:left w:w="55" w:type="dxa"/>
              <w:bottom w:w="55" w:type="dxa"/>
              <w:right w:w="55" w:type="dxa"/>
            </w:tcMar>
            <w:vAlign w:val="center"/>
          </w:tcPr>
          <w:p w14:paraId="76C9D51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1.00 (0.84, 1.19)</w:t>
            </w:r>
          </w:p>
        </w:tc>
        <w:tc>
          <w:tcPr>
            <w:tcW w:w="1115" w:type="pct"/>
            <w:tcBorders>
              <w:top w:val="nil"/>
              <w:left w:val="nil"/>
              <w:bottom w:val="nil"/>
              <w:right w:val="nil"/>
            </w:tcBorders>
            <w:shd w:val="clear" w:color="auto" w:fill="FFFFFF"/>
            <w:tcMar>
              <w:top w:w="55" w:type="dxa"/>
              <w:left w:w="55" w:type="dxa"/>
              <w:bottom w:w="55" w:type="dxa"/>
              <w:right w:w="55" w:type="dxa"/>
            </w:tcMar>
            <w:vAlign w:val="center"/>
          </w:tcPr>
          <w:p w14:paraId="4242DC8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0.984</w:t>
            </w:r>
          </w:p>
        </w:tc>
      </w:tr>
      <w:tr w14:paraId="66613EEF">
        <w:trPr>
          <w:trHeight w:val="193" w:hRule="atLeast"/>
          <w:jc w:val="center"/>
        </w:trPr>
        <w:tc>
          <w:tcPr>
            <w:tcW w:w="1300" w:type="pct"/>
            <w:tcBorders>
              <w:top w:val="nil"/>
              <w:left w:val="nil"/>
              <w:bottom w:val="nil"/>
              <w:right w:val="nil"/>
            </w:tcBorders>
            <w:shd w:val="clear" w:color="auto" w:fill="FFFFFF"/>
            <w:tcMar>
              <w:top w:w="55" w:type="dxa"/>
              <w:left w:w="55" w:type="dxa"/>
              <w:bottom w:w="55" w:type="dxa"/>
              <w:right w:w="55" w:type="dxa"/>
            </w:tcMar>
            <w:vAlign w:val="center"/>
          </w:tcPr>
          <w:p w14:paraId="65251EF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Getting in/out of bed</w:t>
            </w:r>
          </w:p>
        </w:tc>
        <w:tc>
          <w:tcPr>
            <w:tcW w:w="1459" w:type="pct"/>
            <w:tcBorders>
              <w:top w:val="nil"/>
              <w:left w:val="nil"/>
              <w:bottom w:val="nil"/>
              <w:right w:val="nil"/>
            </w:tcBorders>
            <w:shd w:val="clear" w:color="auto" w:fill="FFFFFF"/>
            <w:tcMar>
              <w:top w:w="55" w:type="dxa"/>
              <w:left w:w="55" w:type="dxa"/>
              <w:bottom w:w="55" w:type="dxa"/>
              <w:right w:w="55" w:type="dxa"/>
            </w:tcMar>
            <w:vAlign w:val="center"/>
          </w:tcPr>
          <w:p w14:paraId="32EE770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124" w:type="pct"/>
            <w:tcBorders>
              <w:top w:val="nil"/>
              <w:left w:val="nil"/>
              <w:bottom w:val="nil"/>
              <w:right w:val="nil"/>
            </w:tcBorders>
            <w:shd w:val="clear" w:color="auto" w:fill="FFFFFF"/>
            <w:tcMar>
              <w:top w:w="55" w:type="dxa"/>
              <w:left w:w="55" w:type="dxa"/>
              <w:bottom w:w="55" w:type="dxa"/>
              <w:right w:w="55" w:type="dxa"/>
            </w:tcMar>
            <w:vAlign w:val="center"/>
          </w:tcPr>
          <w:p w14:paraId="1BC5903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1.43 (0.60, 3.39)</w:t>
            </w:r>
          </w:p>
        </w:tc>
        <w:tc>
          <w:tcPr>
            <w:tcW w:w="1115" w:type="pct"/>
            <w:tcBorders>
              <w:top w:val="nil"/>
              <w:left w:val="nil"/>
              <w:bottom w:val="nil"/>
              <w:right w:val="nil"/>
            </w:tcBorders>
            <w:shd w:val="clear" w:color="auto" w:fill="FFFFFF"/>
            <w:tcMar>
              <w:top w:w="55" w:type="dxa"/>
              <w:left w:w="55" w:type="dxa"/>
              <w:bottom w:w="55" w:type="dxa"/>
              <w:right w:w="55" w:type="dxa"/>
            </w:tcMar>
            <w:vAlign w:val="center"/>
          </w:tcPr>
          <w:p w14:paraId="2A788A1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0.422</w:t>
            </w:r>
          </w:p>
        </w:tc>
      </w:tr>
      <w:tr w14:paraId="36B34068">
        <w:trPr>
          <w:trHeight w:val="193" w:hRule="atLeast"/>
          <w:jc w:val="center"/>
        </w:trPr>
        <w:tc>
          <w:tcPr>
            <w:tcW w:w="130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CE9B4E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Getting in/out of bed</w:t>
            </w:r>
          </w:p>
        </w:tc>
        <w:tc>
          <w:tcPr>
            <w:tcW w:w="145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B2B561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Iron fragility index</w:t>
            </w:r>
          </w:p>
        </w:tc>
        <w:tc>
          <w:tcPr>
            <w:tcW w:w="1124"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4466E1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1.04 (0.94, 1.15)</w:t>
            </w:r>
          </w:p>
        </w:tc>
        <w:tc>
          <w:tcPr>
            <w:tcW w:w="1115"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89B630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0.431</w:t>
            </w:r>
          </w:p>
        </w:tc>
      </w:tr>
    </w:tbl>
    <w:p w14:paraId="652F315D">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r>
        <w:rPr>
          <w:rFonts w:hint="default" w:ascii="Times New Roman" w:hAnsi="Times New Roman" w:eastAsia="Times New Roman" w:cs="Times New Roman Regular"/>
          <w:b/>
          <w:bCs/>
          <w:color w:val="auto"/>
          <w:sz w:val="20"/>
          <w:szCs w:val="22"/>
          <w:lang w:val="en-US" w:eastAsia="zh-CN"/>
        </w:rPr>
        <w:br w:type="textWrapping"/>
      </w:r>
      <w:r>
        <w:rPr>
          <w:rFonts w:hint="default" w:ascii="Times New Roman" w:hAnsi="Times New Roman" w:eastAsia="Times New Roman" w:cs="Times New Roman Regular"/>
          <w:b w:val="0"/>
          <w:bCs w:val="0"/>
          <w:color w:val="auto"/>
          <w:sz w:val="20"/>
          <w:szCs w:val="22"/>
          <w:lang w:val="en-US" w:eastAsia="zh-CN"/>
        </w:rPr>
        <w:t>Hazard ratios (HRs), 95% confidence intervals (CIs), and P values are shown from Cox proportional hazards models examining the associations of the main dynamic iron-related exposures with the risk of first events across specific activities of daily living (ADL) domains. Selected main exposure results included ferritin coefficient of variation (CV) and the iron fragility index (IFI), as specified in the table. Models were adjusted for baseline age, sex, smoking status, body mass index (BMI), log-transformed C-reactive protein (CRP), and baseline hemoglobin (Hb). These analyses were used to identify which specific ADL items contributed most clearly to the observed extension from lower lung function to subsequent functional deterioration. Extended supplementary tables that are too large for inclusion in the Supplementary Appendix are provided in Supplementary Data 1.</w:t>
      </w:r>
    </w:p>
    <w:p w14:paraId="163AE228">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5C05DE9">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611367A">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EE90061">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61B77BC2">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3655F016">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68F09B85">
      <w:pPr>
        <w:pStyle w:val="2"/>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Supplementary Table S25. Cox models for ferritin CV and specific ADL domains stratified by grip strength</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49"/>
        <w:gridCol w:w="3737"/>
        <w:gridCol w:w="3550"/>
        <w:gridCol w:w="3530"/>
      </w:tblGrid>
      <w:tr w14:paraId="5045D5D8">
        <w:trPr>
          <w:trHeight w:val="193" w:hRule="atLeast"/>
          <w:tblHeader/>
          <w:jc w:val="center"/>
        </w:trPr>
        <w:tc>
          <w:tcPr>
            <w:tcW w:w="1235"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C697695">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Grip group</w:t>
            </w:r>
          </w:p>
        </w:tc>
        <w:tc>
          <w:tcPr>
            <w:tcW w:w="130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47ED786">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Domain</w:t>
            </w:r>
          </w:p>
        </w:tc>
        <w:tc>
          <w:tcPr>
            <w:tcW w:w="1235"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208AA01">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HR (95% CI)</w:t>
            </w:r>
          </w:p>
        </w:tc>
        <w:tc>
          <w:tcPr>
            <w:tcW w:w="1228"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014BFA15">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17C3D9DC">
        <w:trPr>
          <w:trHeight w:val="193" w:hRule="atLeast"/>
          <w:jc w:val="center"/>
        </w:trPr>
        <w:tc>
          <w:tcPr>
            <w:tcW w:w="1235"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130A5D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Weak grip</w:t>
            </w:r>
          </w:p>
        </w:tc>
        <w:tc>
          <w:tcPr>
            <w:tcW w:w="130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5E540E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Walking across a room</w:t>
            </w:r>
          </w:p>
        </w:tc>
        <w:tc>
          <w:tcPr>
            <w:tcW w:w="1235"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6BC9B9F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1.66 (0.41, 6.76)</w:t>
            </w:r>
          </w:p>
        </w:tc>
        <w:tc>
          <w:tcPr>
            <w:tcW w:w="1228"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6295C17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0.482</w:t>
            </w:r>
          </w:p>
        </w:tc>
      </w:tr>
      <w:tr w14:paraId="521DA6A2">
        <w:trPr>
          <w:trHeight w:val="193" w:hRule="atLeast"/>
          <w:jc w:val="center"/>
        </w:trPr>
        <w:tc>
          <w:tcPr>
            <w:tcW w:w="1235" w:type="pct"/>
            <w:tcBorders>
              <w:top w:val="nil"/>
              <w:left w:val="nil"/>
              <w:bottom w:val="nil"/>
              <w:right w:val="nil"/>
            </w:tcBorders>
            <w:shd w:val="clear" w:color="auto" w:fill="FFFFFF"/>
            <w:tcMar>
              <w:top w:w="55" w:type="dxa"/>
              <w:left w:w="55" w:type="dxa"/>
              <w:bottom w:w="55" w:type="dxa"/>
              <w:right w:w="55" w:type="dxa"/>
            </w:tcMar>
            <w:vAlign w:val="center"/>
          </w:tcPr>
          <w:p w14:paraId="56D1E44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Weak grip</w:t>
            </w:r>
          </w:p>
        </w:tc>
        <w:tc>
          <w:tcPr>
            <w:tcW w:w="1300" w:type="pct"/>
            <w:tcBorders>
              <w:top w:val="nil"/>
              <w:left w:val="nil"/>
              <w:bottom w:val="nil"/>
              <w:right w:val="nil"/>
            </w:tcBorders>
            <w:shd w:val="clear" w:color="auto" w:fill="FFFFFF"/>
            <w:tcMar>
              <w:top w:w="55" w:type="dxa"/>
              <w:left w:w="55" w:type="dxa"/>
              <w:bottom w:w="55" w:type="dxa"/>
              <w:right w:w="55" w:type="dxa"/>
            </w:tcMar>
            <w:vAlign w:val="center"/>
          </w:tcPr>
          <w:p w14:paraId="547F894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Bathing</w:t>
            </w:r>
          </w:p>
        </w:tc>
        <w:tc>
          <w:tcPr>
            <w:tcW w:w="1235" w:type="pct"/>
            <w:tcBorders>
              <w:top w:val="nil"/>
              <w:left w:val="nil"/>
              <w:bottom w:val="nil"/>
              <w:right w:val="nil"/>
            </w:tcBorders>
            <w:shd w:val="clear" w:color="auto" w:fill="FFFFFF"/>
            <w:tcMar>
              <w:top w:w="55" w:type="dxa"/>
              <w:left w:w="55" w:type="dxa"/>
              <w:bottom w:w="55" w:type="dxa"/>
              <w:right w:w="55" w:type="dxa"/>
            </w:tcMar>
            <w:vAlign w:val="center"/>
          </w:tcPr>
          <w:p w14:paraId="34552AD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2.68 (1.16, 6.20)</w:t>
            </w:r>
          </w:p>
        </w:tc>
        <w:tc>
          <w:tcPr>
            <w:tcW w:w="1228" w:type="pct"/>
            <w:tcBorders>
              <w:top w:val="nil"/>
              <w:left w:val="nil"/>
              <w:bottom w:val="nil"/>
              <w:right w:val="nil"/>
            </w:tcBorders>
            <w:shd w:val="clear" w:color="auto" w:fill="FFFFFF"/>
            <w:tcMar>
              <w:top w:w="55" w:type="dxa"/>
              <w:left w:w="55" w:type="dxa"/>
              <w:bottom w:w="55" w:type="dxa"/>
              <w:right w:w="55" w:type="dxa"/>
            </w:tcMar>
            <w:vAlign w:val="center"/>
          </w:tcPr>
          <w:p w14:paraId="4DA82F1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0.021</w:t>
            </w:r>
          </w:p>
        </w:tc>
      </w:tr>
      <w:tr w14:paraId="4215CDDC">
        <w:trPr>
          <w:trHeight w:val="193" w:hRule="atLeast"/>
          <w:jc w:val="center"/>
        </w:trPr>
        <w:tc>
          <w:tcPr>
            <w:tcW w:w="1235" w:type="pct"/>
            <w:tcBorders>
              <w:top w:val="nil"/>
              <w:left w:val="nil"/>
              <w:bottom w:val="nil"/>
              <w:right w:val="nil"/>
            </w:tcBorders>
            <w:shd w:val="clear" w:color="auto" w:fill="FFFFFF"/>
            <w:tcMar>
              <w:top w:w="55" w:type="dxa"/>
              <w:left w:w="55" w:type="dxa"/>
              <w:bottom w:w="55" w:type="dxa"/>
              <w:right w:w="55" w:type="dxa"/>
            </w:tcMar>
            <w:vAlign w:val="center"/>
          </w:tcPr>
          <w:p w14:paraId="1E8E981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Weak grip</w:t>
            </w:r>
          </w:p>
        </w:tc>
        <w:tc>
          <w:tcPr>
            <w:tcW w:w="1300" w:type="pct"/>
            <w:tcBorders>
              <w:top w:val="nil"/>
              <w:left w:val="nil"/>
              <w:bottom w:val="nil"/>
              <w:right w:val="nil"/>
            </w:tcBorders>
            <w:shd w:val="clear" w:color="auto" w:fill="FFFFFF"/>
            <w:tcMar>
              <w:top w:w="55" w:type="dxa"/>
              <w:left w:w="55" w:type="dxa"/>
              <w:bottom w:w="55" w:type="dxa"/>
              <w:right w:w="55" w:type="dxa"/>
            </w:tcMar>
            <w:vAlign w:val="center"/>
          </w:tcPr>
          <w:p w14:paraId="3497F88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Getting in/out of bed</w:t>
            </w:r>
          </w:p>
        </w:tc>
        <w:tc>
          <w:tcPr>
            <w:tcW w:w="1235" w:type="pct"/>
            <w:tcBorders>
              <w:top w:val="nil"/>
              <w:left w:val="nil"/>
              <w:bottom w:val="nil"/>
              <w:right w:val="nil"/>
            </w:tcBorders>
            <w:shd w:val="clear" w:color="auto" w:fill="FFFFFF"/>
            <w:tcMar>
              <w:top w:w="55" w:type="dxa"/>
              <w:left w:w="55" w:type="dxa"/>
              <w:bottom w:w="55" w:type="dxa"/>
              <w:right w:w="55" w:type="dxa"/>
            </w:tcMar>
            <w:vAlign w:val="center"/>
          </w:tcPr>
          <w:p w14:paraId="0E69EEF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1.47 (0.49, 4.39)</w:t>
            </w:r>
          </w:p>
        </w:tc>
        <w:tc>
          <w:tcPr>
            <w:tcW w:w="1228" w:type="pct"/>
            <w:tcBorders>
              <w:top w:val="nil"/>
              <w:left w:val="nil"/>
              <w:bottom w:val="nil"/>
              <w:right w:val="nil"/>
            </w:tcBorders>
            <w:shd w:val="clear" w:color="auto" w:fill="FFFFFF"/>
            <w:tcMar>
              <w:top w:w="55" w:type="dxa"/>
              <w:left w:w="55" w:type="dxa"/>
              <w:bottom w:w="55" w:type="dxa"/>
              <w:right w:w="55" w:type="dxa"/>
            </w:tcMar>
            <w:vAlign w:val="center"/>
          </w:tcPr>
          <w:p w14:paraId="64B0B64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0.493</w:t>
            </w:r>
          </w:p>
        </w:tc>
      </w:tr>
      <w:tr w14:paraId="1E349318">
        <w:trPr>
          <w:trHeight w:val="193" w:hRule="atLeast"/>
          <w:jc w:val="center"/>
        </w:trPr>
        <w:tc>
          <w:tcPr>
            <w:tcW w:w="1235" w:type="pct"/>
            <w:tcBorders>
              <w:top w:val="nil"/>
              <w:left w:val="nil"/>
              <w:bottom w:val="nil"/>
              <w:right w:val="nil"/>
            </w:tcBorders>
            <w:shd w:val="clear" w:color="auto" w:fill="FFFFFF"/>
            <w:tcMar>
              <w:top w:w="55" w:type="dxa"/>
              <w:left w:w="55" w:type="dxa"/>
              <w:bottom w:w="55" w:type="dxa"/>
              <w:right w:w="55" w:type="dxa"/>
            </w:tcMar>
            <w:vAlign w:val="center"/>
          </w:tcPr>
          <w:p w14:paraId="0EC5944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Weak grip</w:t>
            </w:r>
          </w:p>
        </w:tc>
        <w:tc>
          <w:tcPr>
            <w:tcW w:w="1300" w:type="pct"/>
            <w:tcBorders>
              <w:top w:val="nil"/>
              <w:left w:val="nil"/>
              <w:bottom w:val="nil"/>
              <w:right w:val="nil"/>
            </w:tcBorders>
            <w:shd w:val="clear" w:color="auto" w:fill="FFFFFF"/>
            <w:tcMar>
              <w:top w:w="55" w:type="dxa"/>
              <w:left w:w="55" w:type="dxa"/>
              <w:bottom w:w="55" w:type="dxa"/>
              <w:right w:w="55" w:type="dxa"/>
            </w:tcMar>
            <w:vAlign w:val="center"/>
          </w:tcPr>
          <w:p w14:paraId="6BB9429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Dressing</w:t>
            </w:r>
          </w:p>
        </w:tc>
        <w:tc>
          <w:tcPr>
            <w:tcW w:w="1235" w:type="pct"/>
            <w:tcBorders>
              <w:top w:val="nil"/>
              <w:left w:val="nil"/>
              <w:bottom w:val="nil"/>
              <w:right w:val="nil"/>
            </w:tcBorders>
            <w:shd w:val="clear" w:color="auto" w:fill="FFFFFF"/>
            <w:tcMar>
              <w:top w:w="55" w:type="dxa"/>
              <w:left w:w="55" w:type="dxa"/>
              <w:bottom w:w="55" w:type="dxa"/>
              <w:right w:w="55" w:type="dxa"/>
            </w:tcMar>
            <w:vAlign w:val="center"/>
          </w:tcPr>
          <w:p w14:paraId="4C412DE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1.48 (0.64, 3.40)</w:t>
            </w:r>
          </w:p>
        </w:tc>
        <w:tc>
          <w:tcPr>
            <w:tcW w:w="1228" w:type="pct"/>
            <w:tcBorders>
              <w:top w:val="nil"/>
              <w:left w:val="nil"/>
              <w:bottom w:val="nil"/>
              <w:right w:val="nil"/>
            </w:tcBorders>
            <w:shd w:val="clear" w:color="auto" w:fill="FFFFFF"/>
            <w:tcMar>
              <w:top w:w="55" w:type="dxa"/>
              <w:left w:w="55" w:type="dxa"/>
              <w:bottom w:w="55" w:type="dxa"/>
              <w:right w:w="55" w:type="dxa"/>
            </w:tcMar>
            <w:vAlign w:val="center"/>
          </w:tcPr>
          <w:p w14:paraId="2F30089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0.356</w:t>
            </w:r>
          </w:p>
        </w:tc>
      </w:tr>
      <w:tr w14:paraId="0BA5141C">
        <w:trPr>
          <w:trHeight w:val="193" w:hRule="atLeast"/>
          <w:jc w:val="center"/>
        </w:trPr>
        <w:tc>
          <w:tcPr>
            <w:tcW w:w="1235" w:type="pct"/>
            <w:tcBorders>
              <w:top w:val="nil"/>
              <w:left w:val="nil"/>
              <w:bottom w:val="nil"/>
              <w:right w:val="nil"/>
            </w:tcBorders>
            <w:shd w:val="clear" w:color="auto" w:fill="FFFFFF"/>
            <w:tcMar>
              <w:top w:w="55" w:type="dxa"/>
              <w:left w:w="55" w:type="dxa"/>
              <w:bottom w:w="55" w:type="dxa"/>
              <w:right w:w="55" w:type="dxa"/>
            </w:tcMar>
            <w:vAlign w:val="center"/>
          </w:tcPr>
          <w:p w14:paraId="16EAA71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Weak grip</w:t>
            </w:r>
          </w:p>
        </w:tc>
        <w:tc>
          <w:tcPr>
            <w:tcW w:w="1300" w:type="pct"/>
            <w:tcBorders>
              <w:top w:val="nil"/>
              <w:left w:val="nil"/>
              <w:bottom w:val="nil"/>
              <w:right w:val="nil"/>
            </w:tcBorders>
            <w:shd w:val="clear" w:color="auto" w:fill="FFFFFF"/>
            <w:tcMar>
              <w:top w:w="55" w:type="dxa"/>
              <w:left w:w="55" w:type="dxa"/>
              <w:bottom w:w="55" w:type="dxa"/>
              <w:right w:w="55" w:type="dxa"/>
            </w:tcMar>
            <w:vAlign w:val="center"/>
          </w:tcPr>
          <w:p w14:paraId="0E94CAE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Eating</w:t>
            </w:r>
          </w:p>
        </w:tc>
        <w:tc>
          <w:tcPr>
            <w:tcW w:w="1235" w:type="pct"/>
            <w:tcBorders>
              <w:top w:val="nil"/>
              <w:left w:val="nil"/>
              <w:bottom w:val="nil"/>
              <w:right w:val="nil"/>
            </w:tcBorders>
            <w:shd w:val="clear" w:color="auto" w:fill="FFFFFF"/>
            <w:tcMar>
              <w:top w:w="55" w:type="dxa"/>
              <w:left w:w="55" w:type="dxa"/>
              <w:bottom w:w="55" w:type="dxa"/>
              <w:right w:w="55" w:type="dxa"/>
            </w:tcMar>
            <w:vAlign w:val="center"/>
          </w:tcPr>
          <w:p w14:paraId="385B6DA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0.53 (0.07, 3.94)</w:t>
            </w:r>
          </w:p>
        </w:tc>
        <w:tc>
          <w:tcPr>
            <w:tcW w:w="1228" w:type="pct"/>
            <w:tcBorders>
              <w:top w:val="nil"/>
              <w:left w:val="nil"/>
              <w:bottom w:val="nil"/>
              <w:right w:val="nil"/>
            </w:tcBorders>
            <w:shd w:val="clear" w:color="auto" w:fill="FFFFFF"/>
            <w:tcMar>
              <w:top w:w="55" w:type="dxa"/>
              <w:left w:w="55" w:type="dxa"/>
              <w:bottom w:w="55" w:type="dxa"/>
              <w:right w:w="55" w:type="dxa"/>
            </w:tcMar>
            <w:vAlign w:val="center"/>
          </w:tcPr>
          <w:p w14:paraId="64B0C94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0.533</w:t>
            </w:r>
          </w:p>
        </w:tc>
      </w:tr>
      <w:tr w14:paraId="634B9725">
        <w:trPr>
          <w:trHeight w:val="193" w:hRule="atLeast"/>
          <w:jc w:val="center"/>
        </w:trPr>
        <w:tc>
          <w:tcPr>
            <w:tcW w:w="1235" w:type="pct"/>
            <w:tcBorders>
              <w:top w:val="nil"/>
              <w:left w:val="nil"/>
              <w:bottom w:val="nil"/>
              <w:right w:val="nil"/>
            </w:tcBorders>
            <w:shd w:val="clear" w:color="auto" w:fill="FFFFFF"/>
            <w:tcMar>
              <w:top w:w="55" w:type="dxa"/>
              <w:left w:w="55" w:type="dxa"/>
              <w:bottom w:w="55" w:type="dxa"/>
              <w:right w:w="55" w:type="dxa"/>
            </w:tcMar>
            <w:vAlign w:val="center"/>
          </w:tcPr>
          <w:p w14:paraId="01FF939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Strong grip</w:t>
            </w:r>
          </w:p>
        </w:tc>
        <w:tc>
          <w:tcPr>
            <w:tcW w:w="1300" w:type="pct"/>
            <w:tcBorders>
              <w:top w:val="nil"/>
              <w:left w:val="nil"/>
              <w:bottom w:val="nil"/>
              <w:right w:val="nil"/>
            </w:tcBorders>
            <w:shd w:val="clear" w:color="auto" w:fill="FFFFFF"/>
            <w:tcMar>
              <w:top w:w="55" w:type="dxa"/>
              <w:left w:w="55" w:type="dxa"/>
              <w:bottom w:w="55" w:type="dxa"/>
              <w:right w:w="55" w:type="dxa"/>
            </w:tcMar>
            <w:vAlign w:val="center"/>
          </w:tcPr>
          <w:p w14:paraId="6A21CCD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Walking across a room</w:t>
            </w:r>
          </w:p>
        </w:tc>
        <w:tc>
          <w:tcPr>
            <w:tcW w:w="1235" w:type="pct"/>
            <w:tcBorders>
              <w:top w:val="nil"/>
              <w:left w:val="nil"/>
              <w:bottom w:val="nil"/>
              <w:right w:val="nil"/>
            </w:tcBorders>
            <w:shd w:val="clear" w:color="auto" w:fill="FFFFFF"/>
            <w:tcMar>
              <w:top w:w="55" w:type="dxa"/>
              <w:left w:w="55" w:type="dxa"/>
              <w:bottom w:w="55" w:type="dxa"/>
              <w:right w:w="55" w:type="dxa"/>
            </w:tcMar>
            <w:vAlign w:val="center"/>
          </w:tcPr>
          <w:p w14:paraId="68DDDF7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1.02 (0.05, 20.43)</w:t>
            </w:r>
          </w:p>
        </w:tc>
        <w:tc>
          <w:tcPr>
            <w:tcW w:w="1228" w:type="pct"/>
            <w:tcBorders>
              <w:top w:val="nil"/>
              <w:left w:val="nil"/>
              <w:bottom w:val="nil"/>
              <w:right w:val="nil"/>
            </w:tcBorders>
            <w:shd w:val="clear" w:color="auto" w:fill="FFFFFF"/>
            <w:tcMar>
              <w:top w:w="55" w:type="dxa"/>
              <w:left w:w="55" w:type="dxa"/>
              <w:bottom w:w="55" w:type="dxa"/>
              <w:right w:w="55" w:type="dxa"/>
            </w:tcMar>
            <w:vAlign w:val="center"/>
          </w:tcPr>
          <w:p w14:paraId="393941F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0.992</w:t>
            </w:r>
          </w:p>
        </w:tc>
      </w:tr>
      <w:tr w14:paraId="6BEF9DEE">
        <w:trPr>
          <w:trHeight w:val="193" w:hRule="atLeast"/>
          <w:jc w:val="center"/>
        </w:trPr>
        <w:tc>
          <w:tcPr>
            <w:tcW w:w="1235" w:type="pct"/>
            <w:tcBorders>
              <w:top w:val="nil"/>
              <w:left w:val="nil"/>
              <w:bottom w:val="nil"/>
              <w:right w:val="nil"/>
            </w:tcBorders>
            <w:shd w:val="clear" w:color="auto" w:fill="FFFFFF"/>
            <w:tcMar>
              <w:top w:w="55" w:type="dxa"/>
              <w:left w:w="55" w:type="dxa"/>
              <w:bottom w:w="55" w:type="dxa"/>
              <w:right w:w="55" w:type="dxa"/>
            </w:tcMar>
            <w:vAlign w:val="center"/>
          </w:tcPr>
          <w:p w14:paraId="22D1B85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Strong grip</w:t>
            </w:r>
          </w:p>
        </w:tc>
        <w:tc>
          <w:tcPr>
            <w:tcW w:w="1300" w:type="pct"/>
            <w:tcBorders>
              <w:top w:val="nil"/>
              <w:left w:val="nil"/>
              <w:bottom w:val="nil"/>
              <w:right w:val="nil"/>
            </w:tcBorders>
            <w:shd w:val="clear" w:color="auto" w:fill="FFFFFF"/>
            <w:tcMar>
              <w:top w:w="55" w:type="dxa"/>
              <w:left w:w="55" w:type="dxa"/>
              <w:bottom w:w="55" w:type="dxa"/>
              <w:right w:w="55" w:type="dxa"/>
            </w:tcMar>
            <w:vAlign w:val="center"/>
          </w:tcPr>
          <w:p w14:paraId="4D54B29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Bathing</w:t>
            </w:r>
          </w:p>
        </w:tc>
        <w:tc>
          <w:tcPr>
            <w:tcW w:w="1235" w:type="pct"/>
            <w:tcBorders>
              <w:top w:val="nil"/>
              <w:left w:val="nil"/>
              <w:bottom w:val="nil"/>
              <w:right w:val="nil"/>
            </w:tcBorders>
            <w:shd w:val="clear" w:color="auto" w:fill="FFFFFF"/>
            <w:tcMar>
              <w:top w:w="55" w:type="dxa"/>
              <w:left w:w="55" w:type="dxa"/>
              <w:bottom w:w="55" w:type="dxa"/>
              <w:right w:w="55" w:type="dxa"/>
            </w:tcMar>
            <w:vAlign w:val="center"/>
          </w:tcPr>
          <w:p w14:paraId="75B7BCA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1.08 (0.24, 4.89)</w:t>
            </w:r>
          </w:p>
        </w:tc>
        <w:tc>
          <w:tcPr>
            <w:tcW w:w="1228" w:type="pct"/>
            <w:tcBorders>
              <w:top w:val="nil"/>
              <w:left w:val="nil"/>
              <w:bottom w:val="nil"/>
              <w:right w:val="nil"/>
            </w:tcBorders>
            <w:shd w:val="clear" w:color="auto" w:fill="FFFFFF"/>
            <w:tcMar>
              <w:top w:w="55" w:type="dxa"/>
              <w:left w:w="55" w:type="dxa"/>
              <w:bottom w:w="55" w:type="dxa"/>
              <w:right w:w="55" w:type="dxa"/>
            </w:tcMar>
            <w:vAlign w:val="center"/>
          </w:tcPr>
          <w:p w14:paraId="719799C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0.921</w:t>
            </w:r>
          </w:p>
        </w:tc>
      </w:tr>
      <w:tr w14:paraId="083AF71D">
        <w:trPr>
          <w:trHeight w:val="193" w:hRule="atLeast"/>
          <w:jc w:val="center"/>
        </w:trPr>
        <w:tc>
          <w:tcPr>
            <w:tcW w:w="1235" w:type="pct"/>
            <w:tcBorders>
              <w:top w:val="nil"/>
              <w:left w:val="nil"/>
              <w:bottom w:val="nil"/>
              <w:right w:val="nil"/>
            </w:tcBorders>
            <w:shd w:val="clear" w:color="auto" w:fill="FFFFFF"/>
            <w:tcMar>
              <w:top w:w="55" w:type="dxa"/>
              <w:left w:w="55" w:type="dxa"/>
              <w:bottom w:w="55" w:type="dxa"/>
              <w:right w:w="55" w:type="dxa"/>
            </w:tcMar>
            <w:vAlign w:val="center"/>
          </w:tcPr>
          <w:p w14:paraId="20AADA2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Strong grip</w:t>
            </w:r>
          </w:p>
        </w:tc>
        <w:tc>
          <w:tcPr>
            <w:tcW w:w="1300" w:type="pct"/>
            <w:tcBorders>
              <w:top w:val="nil"/>
              <w:left w:val="nil"/>
              <w:bottom w:val="nil"/>
              <w:right w:val="nil"/>
            </w:tcBorders>
            <w:shd w:val="clear" w:color="auto" w:fill="FFFFFF"/>
            <w:tcMar>
              <w:top w:w="55" w:type="dxa"/>
              <w:left w:w="55" w:type="dxa"/>
              <w:bottom w:w="55" w:type="dxa"/>
              <w:right w:w="55" w:type="dxa"/>
            </w:tcMar>
            <w:vAlign w:val="center"/>
          </w:tcPr>
          <w:p w14:paraId="2A85ABA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Getting in/out of bed</w:t>
            </w:r>
          </w:p>
        </w:tc>
        <w:tc>
          <w:tcPr>
            <w:tcW w:w="1235" w:type="pct"/>
            <w:tcBorders>
              <w:top w:val="nil"/>
              <w:left w:val="nil"/>
              <w:bottom w:val="nil"/>
              <w:right w:val="nil"/>
            </w:tcBorders>
            <w:shd w:val="clear" w:color="auto" w:fill="FFFFFF"/>
            <w:tcMar>
              <w:top w:w="55" w:type="dxa"/>
              <w:left w:w="55" w:type="dxa"/>
              <w:bottom w:w="55" w:type="dxa"/>
              <w:right w:w="55" w:type="dxa"/>
            </w:tcMar>
            <w:vAlign w:val="center"/>
          </w:tcPr>
          <w:p w14:paraId="21BAB6F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1.15 (0.21, 6.21)</w:t>
            </w:r>
          </w:p>
        </w:tc>
        <w:tc>
          <w:tcPr>
            <w:tcW w:w="1228" w:type="pct"/>
            <w:tcBorders>
              <w:top w:val="nil"/>
              <w:left w:val="nil"/>
              <w:bottom w:val="nil"/>
              <w:right w:val="nil"/>
            </w:tcBorders>
            <w:shd w:val="clear" w:color="auto" w:fill="FFFFFF"/>
            <w:tcMar>
              <w:top w:w="55" w:type="dxa"/>
              <w:left w:w="55" w:type="dxa"/>
              <w:bottom w:w="55" w:type="dxa"/>
              <w:right w:w="55" w:type="dxa"/>
            </w:tcMar>
            <w:vAlign w:val="center"/>
          </w:tcPr>
          <w:p w14:paraId="5CAE59F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0.87</w:t>
            </w:r>
          </w:p>
        </w:tc>
      </w:tr>
      <w:tr w14:paraId="560DED11">
        <w:trPr>
          <w:trHeight w:val="193" w:hRule="atLeast"/>
          <w:jc w:val="center"/>
        </w:trPr>
        <w:tc>
          <w:tcPr>
            <w:tcW w:w="1235"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66D7CD3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Strong grip</w:t>
            </w:r>
          </w:p>
        </w:tc>
        <w:tc>
          <w:tcPr>
            <w:tcW w:w="130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68C8609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Dressing</w:t>
            </w:r>
          </w:p>
        </w:tc>
        <w:tc>
          <w:tcPr>
            <w:tcW w:w="1235"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6A0C6B9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2.00 (0.69, 5.75)</w:t>
            </w:r>
          </w:p>
        </w:tc>
        <w:tc>
          <w:tcPr>
            <w:tcW w:w="1228"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BE4C6A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w:t>
            </w:r>
          </w:p>
        </w:tc>
      </w:tr>
    </w:tbl>
    <w:p w14:paraId="7589DB63">
      <w:pPr>
        <w:keepNext/>
        <w:spacing w:before="0" w:after="4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p>
    <w:p w14:paraId="44855D9C">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val="0"/>
          <w:bCs w:val="0"/>
          <w:color w:val="auto"/>
          <w:sz w:val="20"/>
          <w:szCs w:val="22"/>
          <w:lang w:val="en-US" w:eastAsia="zh-CN"/>
        </w:rPr>
        <w:t>Hazard ratios (HRs), 95% confidence intervals (CIs), and P values are shown from Cox proportional hazards models examining the association between ferritin coefficient of variation (CV) and the risk of first events across specific activities of daily living (ADL) domains, stratified by grip strength. Models were fitted separately within grip-defined strata and were adjusted for baseline age, sex, smoking status, body mass index (BMI), log-transformed C-reactive protein (CRP), and baseline hemoglobin (Hb). These analyses were used to assess whether selected domain-specific risks associated with ferritin CV were more evident among individuals with weaker muscle strength.</w:t>
      </w:r>
    </w:p>
    <w:p w14:paraId="28C4CEAA">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D9A33F9">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48C6508">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22DFE86">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1A129E8">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68C434A">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9473E40">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3D3EBD8">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D5EE399">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1A360633">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3A664D1A">
      <w:pPr>
        <w:pStyle w:val="2"/>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Supplementary Table S26. Cox models for gross versus fine motor ADL domains analyses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58"/>
        <w:gridCol w:w="5714"/>
        <w:gridCol w:w="3124"/>
        <w:gridCol w:w="1570"/>
      </w:tblGrid>
      <w:tr w14:paraId="2EFC176A">
        <w:trPr>
          <w:trHeight w:val="193" w:hRule="atLeast"/>
          <w:tblHeader/>
          <w:jc w:val="center"/>
        </w:trPr>
        <w:tc>
          <w:tcPr>
            <w:tcW w:w="1377"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FB333AB">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Functional domain</w:t>
            </w:r>
          </w:p>
        </w:tc>
        <w:tc>
          <w:tcPr>
            <w:tcW w:w="1988"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1DB8E5E">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Exposure</w:t>
            </w:r>
          </w:p>
        </w:tc>
        <w:tc>
          <w:tcPr>
            <w:tcW w:w="1087"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24E4264">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HR (95% CI)</w:t>
            </w:r>
          </w:p>
        </w:tc>
        <w:tc>
          <w:tcPr>
            <w:tcW w:w="546"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069C37CB">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63221F9D">
        <w:trPr>
          <w:trHeight w:val="193" w:hRule="atLeast"/>
          <w:jc w:val="center"/>
        </w:trPr>
        <w:tc>
          <w:tcPr>
            <w:tcW w:w="1377" w:type="pct"/>
            <w:tcBorders>
              <w:top w:val="nil"/>
              <w:left w:val="nil"/>
              <w:bottom w:val="nil"/>
              <w:right w:val="nil"/>
            </w:tcBorders>
            <w:shd w:val="clear" w:color="auto" w:fill="FFFFFF"/>
            <w:tcMar>
              <w:top w:w="55" w:type="dxa"/>
              <w:left w:w="55" w:type="dxa"/>
              <w:bottom w:w="55" w:type="dxa"/>
              <w:right w:w="55" w:type="dxa"/>
            </w:tcMar>
            <w:vAlign w:val="center"/>
          </w:tcPr>
          <w:p w14:paraId="22A9D347">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Gross motor / power</w:t>
            </w:r>
          </w:p>
        </w:tc>
        <w:tc>
          <w:tcPr>
            <w:tcW w:w="1988" w:type="pct"/>
            <w:tcBorders>
              <w:top w:val="nil"/>
              <w:left w:val="nil"/>
              <w:bottom w:val="nil"/>
              <w:right w:val="nil"/>
            </w:tcBorders>
            <w:shd w:val="clear" w:color="auto" w:fill="FFFFFF"/>
            <w:tcMar>
              <w:top w:w="55" w:type="dxa"/>
              <w:left w:w="55" w:type="dxa"/>
              <w:bottom w:w="55" w:type="dxa"/>
              <w:right w:w="55" w:type="dxa"/>
            </w:tcMar>
            <w:vAlign w:val="center"/>
          </w:tcPr>
          <w:p w14:paraId="61585F3C">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087" w:type="pct"/>
            <w:tcBorders>
              <w:top w:val="nil"/>
              <w:left w:val="nil"/>
              <w:bottom w:val="nil"/>
              <w:right w:val="nil"/>
            </w:tcBorders>
            <w:shd w:val="clear" w:color="auto" w:fill="FFFFFF"/>
            <w:tcMar>
              <w:top w:w="55" w:type="dxa"/>
              <w:left w:w="55" w:type="dxa"/>
              <w:bottom w:w="55" w:type="dxa"/>
              <w:right w:w="55" w:type="dxa"/>
            </w:tcMar>
            <w:vAlign w:val="center"/>
          </w:tcPr>
          <w:p w14:paraId="4A23A04B">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2.22 (1.18, 4.19)</w:t>
            </w:r>
          </w:p>
        </w:tc>
        <w:tc>
          <w:tcPr>
            <w:tcW w:w="546" w:type="pct"/>
            <w:tcBorders>
              <w:top w:val="nil"/>
              <w:left w:val="nil"/>
              <w:bottom w:val="nil"/>
              <w:right w:val="nil"/>
            </w:tcBorders>
            <w:shd w:val="clear" w:color="auto" w:fill="FFFFFF"/>
            <w:tcMar>
              <w:top w:w="55" w:type="dxa"/>
              <w:left w:w="55" w:type="dxa"/>
              <w:bottom w:w="55" w:type="dxa"/>
              <w:right w:w="55" w:type="dxa"/>
            </w:tcMar>
            <w:vAlign w:val="center"/>
          </w:tcPr>
          <w:p w14:paraId="4F3C3412">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0.014</w:t>
            </w:r>
          </w:p>
        </w:tc>
      </w:tr>
      <w:tr w14:paraId="0E0BAC0B">
        <w:trPr>
          <w:trHeight w:val="193" w:hRule="atLeast"/>
          <w:jc w:val="center"/>
        </w:trPr>
        <w:tc>
          <w:tcPr>
            <w:tcW w:w="1377" w:type="pct"/>
            <w:tcBorders>
              <w:top w:val="nil"/>
              <w:left w:val="nil"/>
              <w:bottom w:val="nil"/>
              <w:right w:val="nil"/>
            </w:tcBorders>
            <w:shd w:val="clear" w:color="auto" w:fill="FFFFFF"/>
            <w:tcMar>
              <w:top w:w="55" w:type="dxa"/>
              <w:left w:w="55" w:type="dxa"/>
              <w:bottom w:w="55" w:type="dxa"/>
              <w:right w:w="55" w:type="dxa"/>
            </w:tcMar>
            <w:vAlign w:val="center"/>
          </w:tcPr>
          <w:p w14:paraId="621D2AA5">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Gross motor / power</w:t>
            </w:r>
          </w:p>
        </w:tc>
        <w:tc>
          <w:tcPr>
            <w:tcW w:w="1988" w:type="pct"/>
            <w:tcBorders>
              <w:top w:val="nil"/>
              <w:left w:val="nil"/>
              <w:bottom w:val="nil"/>
              <w:right w:val="nil"/>
            </w:tcBorders>
            <w:shd w:val="clear" w:color="auto" w:fill="FFFFFF"/>
            <w:tcMar>
              <w:top w:w="55" w:type="dxa"/>
              <w:left w:w="55" w:type="dxa"/>
              <w:bottom w:w="55" w:type="dxa"/>
              <w:right w:w="55" w:type="dxa"/>
            </w:tcMar>
            <w:vAlign w:val="center"/>
          </w:tcPr>
          <w:p w14:paraId="733335E2">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slope</w:t>
            </w:r>
          </w:p>
        </w:tc>
        <w:tc>
          <w:tcPr>
            <w:tcW w:w="1087" w:type="pct"/>
            <w:tcBorders>
              <w:top w:val="nil"/>
              <w:left w:val="nil"/>
              <w:bottom w:val="nil"/>
              <w:right w:val="nil"/>
            </w:tcBorders>
            <w:shd w:val="clear" w:color="auto" w:fill="FFFFFF"/>
            <w:tcMar>
              <w:top w:w="55" w:type="dxa"/>
              <w:left w:w="55" w:type="dxa"/>
              <w:bottom w:w="55" w:type="dxa"/>
              <w:right w:w="55" w:type="dxa"/>
            </w:tcMar>
            <w:vAlign w:val="center"/>
          </w:tcPr>
          <w:p w14:paraId="26E1A8EB">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1.20 (0.39, 3.70)</w:t>
            </w:r>
          </w:p>
        </w:tc>
        <w:tc>
          <w:tcPr>
            <w:tcW w:w="546" w:type="pct"/>
            <w:tcBorders>
              <w:top w:val="nil"/>
              <w:left w:val="nil"/>
              <w:bottom w:val="nil"/>
              <w:right w:val="nil"/>
            </w:tcBorders>
            <w:shd w:val="clear" w:color="auto" w:fill="FFFFFF"/>
            <w:tcMar>
              <w:top w:w="55" w:type="dxa"/>
              <w:left w:w="55" w:type="dxa"/>
              <w:bottom w:w="55" w:type="dxa"/>
              <w:right w:w="55" w:type="dxa"/>
            </w:tcMar>
            <w:vAlign w:val="center"/>
          </w:tcPr>
          <w:p w14:paraId="66DE5B51">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0.748</w:t>
            </w:r>
          </w:p>
        </w:tc>
      </w:tr>
      <w:tr w14:paraId="472EEAF6">
        <w:trPr>
          <w:trHeight w:val="193" w:hRule="atLeast"/>
          <w:jc w:val="center"/>
        </w:trPr>
        <w:tc>
          <w:tcPr>
            <w:tcW w:w="1377" w:type="pct"/>
            <w:tcBorders>
              <w:top w:val="nil"/>
              <w:left w:val="nil"/>
              <w:bottom w:val="nil"/>
              <w:right w:val="nil"/>
            </w:tcBorders>
            <w:shd w:val="clear" w:color="auto" w:fill="FFFFFF"/>
            <w:tcMar>
              <w:top w:w="55" w:type="dxa"/>
              <w:left w:w="55" w:type="dxa"/>
              <w:bottom w:w="55" w:type="dxa"/>
              <w:right w:w="55" w:type="dxa"/>
            </w:tcMar>
            <w:vAlign w:val="center"/>
          </w:tcPr>
          <w:p w14:paraId="4E81E64C">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Gross motor / power</w:t>
            </w:r>
          </w:p>
        </w:tc>
        <w:tc>
          <w:tcPr>
            <w:tcW w:w="1988" w:type="pct"/>
            <w:tcBorders>
              <w:top w:val="nil"/>
              <w:left w:val="nil"/>
              <w:bottom w:val="nil"/>
              <w:right w:val="nil"/>
            </w:tcBorders>
            <w:shd w:val="clear" w:color="auto" w:fill="FFFFFF"/>
            <w:tcMar>
              <w:top w:w="55" w:type="dxa"/>
              <w:left w:w="55" w:type="dxa"/>
              <w:bottom w:w="55" w:type="dxa"/>
              <w:right w:w="55" w:type="dxa"/>
            </w:tcMar>
            <w:vAlign w:val="center"/>
          </w:tcPr>
          <w:p w14:paraId="494481C0">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Number of ferritin &lt;30 episodes</w:t>
            </w:r>
          </w:p>
        </w:tc>
        <w:tc>
          <w:tcPr>
            <w:tcW w:w="1087" w:type="pct"/>
            <w:tcBorders>
              <w:top w:val="nil"/>
              <w:left w:val="nil"/>
              <w:bottom w:val="nil"/>
              <w:right w:val="nil"/>
            </w:tcBorders>
            <w:shd w:val="clear" w:color="auto" w:fill="FFFFFF"/>
            <w:tcMar>
              <w:top w:w="55" w:type="dxa"/>
              <w:left w:w="55" w:type="dxa"/>
              <w:bottom w:w="55" w:type="dxa"/>
              <w:right w:w="55" w:type="dxa"/>
            </w:tcMar>
            <w:vAlign w:val="center"/>
          </w:tcPr>
          <w:p w14:paraId="0D4BC1D9">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1.11 (0.91, 1.36)</w:t>
            </w:r>
          </w:p>
        </w:tc>
        <w:tc>
          <w:tcPr>
            <w:tcW w:w="546" w:type="pct"/>
            <w:tcBorders>
              <w:top w:val="nil"/>
              <w:left w:val="nil"/>
              <w:bottom w:val="nil"/>
              <w:right w:val="nil"/>
            </w:tcBorders>
            <w:shd w:val="clear" w:color="auto" w:fill="FFFFFF"/>
            <w:tcMar>
              <w:top w:w="55" w:type="dxa"/>
              <w:left w:w="55" w:type="dxa"/>
              <w:bottom w:w="55" w:type="dxa"/>
              <w:right w:w="55" w:type="dxa"/>
            </w:tcMar>
            <w:vAlign w:val="center"/>
          </w:tcPr>
          <w:p w14:paraId="7F6DCA7C">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0.307</w:t>
            </w:r>
          </w:p>
        </w:tc>
      </w:tr>
      <w:tr w14:paraId="5911151A">
        <w:trPr>
          <w:trHeight w:val="193" w:hRule="atLeast"/>
          <w:jc w:val="center"/>
        </w:trPr>
        <w:tc>
          <w:tcPr>
            <w:tcW w:w="1377" w:type="pct"/>
            <w:tcBorders>
              <w:top w:val="nil"/>
              <w:left w:val="nil"/>
              <w:bottom w:val="nil"/>
              <w:right w:val="nil"/>
            </w:tcBorders>
            <w:shd w:val="clear" w:color="auto" w:fill="FFFFFF"/>
            <w:tcMar>
              <w:top w:w="55" w:type="dxa"/>
              <w:left w:w="55" w:type="dxa"/>
              <w:bottom w:w="55" w:type="dxa"/>
              <w:right w:w="55" w:type="dxa"/>
            </w:tcMar>
            <w:vAlign w:val="center"/>
          </w:tcPr>
          <w:p w14:paraId="01C50437">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Gross motor / power</w:t>
            </w:r>
          </w:p>
        </w:tc>
        <w:tc>
          <w:tcPr>
            <w:tcW w:w="1988" w:type="pct"/>
            <w:tcBorders>
              <w:top w:val="nil"/>
              <w:left w:val="nil"/>
              <w:bottom w:val="nil"/>
              <w:right w:val="nil"/>
            </w:tcBorders>
            <w:shd w:val="clear" w:color="auto" w:fill="FFFFFF"/>
            <w:tcMar>
              <w:top w:w="55" w:type="dxa"/>
              <w:left w:w="55" w:type="dxa"/>
              <w:bottom w:w="55" w:type="dxa"/>
              <w:right w:w="55" w:type="dxa"/>
            </w:tcMar>
            <w:vAlign w:val="center"/>
          </w:tcPr>
          <w:p w14:paraId="4538F652">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Iron fragility index</w:t>
            </w:r>
          </w:p>
        </w:tc>
        <w:tc>
          <w:tcPr>
            <w:tcW w:w="1087" w:type="pct"/>
            <w:tcBorders>
              <w:top w:val="nil"/>
              <w:left w:val="nil"/>
              <w:bottom w:val="nil"/>
              <w:right w:val="nil"/>
            </w:tcBorders>
            <w:shd w:val="clear" w:color="auto" w:fill="FFFFFF"/>
            <w:tcMar>
              <w:top w:w="55" w:type="dxa"/>
              <w:left w:w="55" w:type="dxa"/>
              <w:bottom w:w="55" w:type="dxa"/>
              <w:right w:w="55" w:type="dxa"/>
            </w:tcMar>
            <w:vAlign w:val="center"/>
          </w:tcPr>
          <w:p w14:paraId="569DFF3E">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1.08 (1.00, 1.16)</w:t>
            </w:r>
          </w:p>
        </w:tc>
        <w:tc>
          <w:tcPr>
            <w:tcW w:w="546" w:type="pct"/>
            <w:tcBorders>
              <w:top w:val="nil"/>
              <w:left w:val="nil"/>
              <w:bottom w:val="nil"/>
              <w:right w:val="nil"/>
            </w:tcBorders>
            <w:shd w:val="clear" w:color="auto" w:fill="FFFFFF"/>
            <w:tcMar>
              <w:top w:w="55" w:type="dxa"/>
              <w:left w:w="55" w:type="dxa"/>
              <w:bottom w:w="55" w:type="dxa"/>
              <w:right w:w="55" w:type="dxa"/>
            </w:tcMar>
            <w:vAlign w:val="center"/>
          </w:tcPr>
          <w:p w14:paraId="42FADA5A">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0.038</w:t>
            </w:r>
          </w:p>
        </w:tc>
      </w:tr>
      <w:tr w14:paraId="47591421">
        <w:trPr>
          <w:trHeight w:val="193" w:hRule="atLeast"/>
          <w:jc w:val="center"/>
        </w:trPr>
        <w:tc>
          <w:tcPr>
            <w:tcW w:w="1377" w:type="pct"/>
            <w:tcBorders>
              <w:top w:val="nil"/>
              <w:left w:val="nil"/>
              <w:bottom w:val="nil"/>
              <w:right w:val="nil"/>
            </w:tcBorders>
            <w:shd w:val="clear" w:color="auto" w:fill="FFFFFF"/>
            <w:tcMar>
              <w:top w:w="55" w:type="dxa"/>
              <w:left w:w="55" w:type="dxa"/>
              <w:bottom w:w="55" w:type="dxa"/>
              <w:right w:w="55" w:type="dxa"/>
            </w:tcMar>
            <w:vAlign w:val="center"/>
          </w:tcPr>
          <w:p w14:paraId="3A30BC96">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Gross motor / power</w:t>
            </w:r>
          </w:p>
        </w:tc>
        <w:tc>
          <w:tcPr>
            <w:tcW w:w="1988" w:type="pct"/>
            <w:tcBorders>
              <w:top w:val="nil"/>
              <w:left w:val="nil"/>
              <w:bottom w:val="nil"/>
              <w:right w:val="nil"/>
            </w:tcBorders>
            <w:shd w:val="clear" w:color="auto" w:fill="FFFFFF"/>
            <w:tcMar>
              <w:top w:w="55" w:type="dxa"/>
              <w:left w:w="55" w:type="dxa"/>
              <w:bottom w:w="55" w:type="dxa"/>
              <w:right w:w="55" w:type="dxa"/>
            </w:tcMar>
            <w:vAlign w:val="center"/>
          </w:tcPr>
          <w:p w14:paraId="35D27114">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Iron–muscle phenotype (high instability + weak grip)</w:t>
            </w:r>
          </w:p>
        </w:tc>
        <w:tc>
          <w:tcPr>
            <w:tcW w:w="1087" w:type="pct"/>
            <w:tcBorders>
              <w:top w:val="nil"/>
              <w:left w:val="nil"/>
              <w:bottom w:val="nil"/>
              <w:right w:val="nil"/>
            </w:tcBorders>
            <w:shd w:val="clear" w:color="auto" w:fill="FFFFFF"/>
            <w:tcMar>
              <w:top w:w="55" w:type="dxa"/>
              <w:left w:w="55" w:type="dxa"/>
              <w:bottom w:w="55" w:type="dxa"/>
              <w:right w:w="55" w:type="dxa"/>
            </w:tcMar>
            <w:vAlign w:val="center"/>
          </w:tcPr>
          <w:p w14:paraId="5CA06E8F">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1.55 (0.74, 3.28)</w:t>
            </w:r>
          </w:p>
        </w:tc>
        <w:tc>
          <w:tcPr>
            <w:tcW w:w="546" w:type="pct"/>
            <w:tcBorders>
              <w:top w:val="nil"/>
              <w:left w:val="nil"/>
              <w:bottom w:val="nil"/>
              <w:right w:val="nil"/>
            </w:tcBorders>
            <w:shd w:val="clear" w:color="auto" w:fill="FFFFFF"/>
            <w:tcMar>
              <w:top w:w="55" w:type="dxa"/>
              <w:left w:w="55" w:type="dxa"/>
              <w:bottom w:w="55" w:type="dxa"/>
              <w:right w:w="55" w:type="dxa"/>
            </w:tcMar>
            <w:vAlign w:val="center"/>
          </w:tcPr>
          <w:p w14:paraId="5F48A7B7">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0.247</w:t>
            </w:r>
          </w:p>
        </w:tc>
      </w:tr>
      <w:tr w14:paraId="252C8621">
        <w:trPr>
          <w:trHeight w:val="193" w:hRule="atLeast"/>
          <w:jc w:val="center"/>
        </w:trPr>
        <w:tc>
          <w:tcPr>
            <w:tcW w:w="137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DE27C7D">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Fine motor / low energy</w:t>
            </w:r>
          </w:p>
        </w:tc>
        <w:tc>
          <w:tcPr>
            <w:tcW w:w="1988"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873E0B8">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08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70DFCA8">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1.68 (0.91, 3.13)</w:t>
            </w:r>
          </w:p>
        </w:tc>
        <w:tc>
          <w:tcPr>
            <w:tcW w:w="546"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4EBA212">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w:t>
            </w:r>
          </w:p>
        </w:tc>
      </w:tr>
    </w:tbl>
    <w:p w14:paraId="63ECCD00">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r>
        <w:rPr>
          <w:rFonts w:hint="default" w:ascii="Times New Roman" w:hAnsi="Times New Roman" w:eastAsia="Times New Roman" w:cs="Times New Roman Regular"/>
          <w:b/>
          <w:bCs/>
          <w:color w:val="auto"/>
          <w:sz w:val="20"/>
          <w:szCs w:val="22"/>
          <w:lang w:val="en-US" w:eastAsia="zh-CN"/>
        </w:rPr>
        <w:br w:type="textWrapping"/>
      </w:r>
      <w:r>
        <w:rPr>
          <w:rFonts w:hint="default" w:ascii="Times New Roman" w:hAnsi="Times New Roman" w:eastAsia="Times New Roman" w:cs="Times New Roman Regular"/>
          <w:b w:val="0"/>
          <w:bCs w:val="0"/>
          <w:color w:val="auto"/>
          <w:sz w:val="20"/>
          <w:szCs w:val="22"/>
          <w:lang w:val="en-US" w:eastAsia="zh-CN"/>
        </w:rPr>
        <w:t>Hazard ratios (HRs), 95% confidence intervals (CIs), and P values are shown from Cox proportional hazards models examining the associations between dynamic iron-related measures and the risk of first events in gross motor/power and fine motor/low-energy activities of daily living (ADL) domains. Dynamic iron-related measures included ferritin coefficient of variation (CV), ferritin slope, the cumulative number of ferritin measurements &lt;30 μg/L, the iron fragility index (IFI), and iron–muscle phenotype, as applicable. Models were adjusted for baseline age, sex, smoking status, body mass index (BMI), log-transformed C-reactive protein (CRP), and baseline hemoglobin (Hb). These analyses were used to compare whether the functional extension of dynamic iron dysregulation was concentrated more strongly in gross motor than in fine motor domains. Extended supplementary tables that are too large for inclusion in the Supplementary Appendix are provided in Supplementary Data 1.</w:t>
      </w:r>
    </w:p>
    <w:p w14:paraId="370B2D02">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440B0B3">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97ACF7B">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82BA8DD">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9B22409">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409ED78">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63F1F38">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2304ED4">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499AF20">
      <w:pPr>
        <w:spacing w:before="0" w:after="0" w:line="240" w:lineRule="auto"/>
        <w:jc w:val="both"/>
        <w:rPr>
          <w:rFonts w:hint="default" w:ascii="Times New Roman Regular" w:hAnsi="Times New Roman Regular" w:cs="Times New Roman Regular"/>
          <w:b/>
          <w:bCs/>
          <w:color w:val="auto"/>
          <w:sz w:val="22"/>
          <w:szCs w:val="22"/>
          <w:highlight w:val="yellow"/>
          <w:lang w:val="en-US" w:eastAsia="zh-CN"/>
        </w:rPr>
      </w:pPr>
    </w:p>
    <w:p w14:paraId="0284444D">
      <w:pPr>
        <w:pStyle w:val="2"/>
        <w:keepNext/>
        <w:spacing w:before="0" w:after="120" w:line="240" w:lineRule="auto"/>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highlight w:val="none"/>
          <w:lang w:val="en-US" w:eastAsia="zh-CN"/>
        </w:rPr>
        <w:t xml:space="preserve">Supplementary Table S27. Coefficient comparisons between gross motor and </w:t>
      </w:r>
      <w:r>
        <w:rPr>
          <w:rFonts w:hint="default" w:ascii="Times New Roman" w:hAnsi="Times New Roman" w:eastAsia="Times New Roman" w:cs="Times New Roman Regular"/>
          <w:b/>
          <w:bCs/>
          <w:color w:val="auto"/>
          <w:sz w:val="20"/>
          <w:szCs w:val="22"/>
          <w:lang w:val="en-US" w:eastAsia="zh-CN"/>
        </w:rPr>
        <w:t>fine motor ADL domains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20"/>
        <w:gridCol w:w="3361"/>
        <w:gridCol w:w="2243"/>
        <w:gridCol w:w="2243"/>
        <w:gridCol w:w="1722"/>
        <w:gridCol w:w="1377"/>
      </w:tblGrid>
      <w:tr w14:paraId="4C86EF7C">
        <w:trPr>
          <w:trHeight w:val="193" w:hRule="atLeast"/>
          <w:tblHeader/>
          <w:jc w:val="center"/>
        </w:trPr>
        <w:tc>
          <w:tcPr>
            <w:tcW w:w="119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072C212">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Exposure</w:t>
            </w:r>
          </w:p>
        </w:tc>
        <w:tc>
          <w:tcPr>
            <w:tcW w:w="116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61E9868">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Comparison</w:t>
            </w:r>
          </w:p>
        </w:tc>
        <w:tc>
          <w:tcPr>
            <w:tcW w:w="78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03C0E443">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Gross motor coefficient (SE)</w:t>
            </w:r>
          </w:p>
        </w:tc>
        <w:tc>
          <w:tcPr>
            <w:tcW w:w="78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D5EA3B4">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Fine motor coefficient (SE)</w:t>
            </w:r>
          </w:p>
        </w:tc>
        <w:tc>
          <w:tcPr>
            <w:tcW w:w="59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7C27227">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Z statistic</w:t>
            </w:r>
          </w:p>
        </w:tc>
        <w:tc>
          <w:tcPr>
            <w:tcW w:w="47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06D1A59D">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P value</w:t>
            </w:r>
          </w:p>
        </w:tc>
      </w:tr>
      <w:tr w14:paraId="62177CE5">
        <w:trPr>
          <w:trHeight w:val="193" w:hRule="atLeast"/>
          <w:jc w:val="center"/>
        </w:trPr>
        <w:tc>
          <w:tcPr>
            <w:tcW w:w="119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C97173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variability (CV)</w:t>
            </w:r>
          </w:p>
        </w:tc>
        <w:tc>
          <w:tcPr>
            <w:tcW w:w="116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2DDE28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Gross motor / power vs fine motor / low energy</w:t>
            </w:r>
          </w:p>
        </w:tc>
        <w:tc>
          <w:tcPr>
            <w:tcW w:w="78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411DF7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0.797 (0.324)</w:t>
            </w:r>
          </w:p>
        </w:tc>
        <w:tc>
          <w:tcPr>
            <w:tcW w:w="78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EEA4AB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0.521 (0.316)</w:t>
            </w:r>
          </w:p>
        </w:tc>
        <w:tc>
          <w:tcPr>
            <w:tcW w:w="59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97BF75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0.61</w:t>
            </w:r>
          </w:p>
        </w:tc>
        <w:tc>
          <w:tcPr>
            <w:tcW w:w="47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91F4F5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0.542</w:t>
            </w:r>
          </w:p>
        </w:tc>
      </w:tr>
      <w:tr w14:paraId="2E88A340">
        <w:trPr>
          <w:trHeight w:val="193" w:hRule="atLeast"/>
          <w:jc w:val="center"/>
        </w:trPr>
        <w:tc>
          <w:tcPr>
            <w:tcW w:w="1190" w:type="pct"/>
            <w:tcBorders>
              <w:top w:val="nil"/>
              <w:left w:val="nil"/>
              <w:bottom w:val="nil"/>
              <w:right w:val="nil"/>
            </w:tcBorders>
            <w:shd w:val="clear" w:color="auto" w:fill="FFFFFF"/>
            <w:tcMar>
              <w:top w:w="55" w:type="dxa"/>
              <w:left w:w="55" w:type="dxa"/>
              <w:bottom w:w="55" w:type="dxa"/>
              <w:right w:w="55" w:type="dxa"/>
            </w:tcMar>
            <w:vAlign w:val="center"/>
          </w:tcPr>
          <w:p w14:paraId="3368784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Iron fragility index</w:t>
            </w:r>
          </w:p>
        </w:tc>
        <w:tc>
          <w:tcPr>
            <w:tcW w:w="1169" w:type="pct"/>
            <w:tcBorders>
              <w:top w:val="nil"/>
              <w:left w:val="nil"/>
              <w:bottom w:val="nil"/>
              <w:right w:val="nil"/>
            </w:tcBorders>
            <w:shd w:val="clear" w:color="auto" w:fill="FFFFFF"/>
            <w:tcMar>
              <w:top w:w="55" w:type="dxa"/>
              <w:left w:w="55" w:type="dxa"/>
              <w:bottom w:w="55" w:type="dxa"/>
              <w:right w:w="55" w:type="dxa"/>
            </w:tcMar>
            <w:vAlign w:val="center"/>
          </w:tcPr>
          <w:p w14:paraId="707B959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Gross motor / power vs fine motor / low energy</w:t>
            </w:r>
          </w:p>
        </w:tc>
        <w:tc>
          <w:tcPr>
            <w:tcW w:w="780" w:type="pct"/>
            <w:tcBorders>
              <w:top w:val="nil"/>
              <w:left w:val="nil"/>
              <w:bottom w:val="nil"/>
              <w:right w:val="nil"/>
            </w:tcBorders>
            <w:shd w:val="clear" w:color="auto" w:fill="FFFFFF"/>
            <w:tcMar>
              <w:top w:w="55" w:type="dxa"/>
              <w:left w:w="55" w:type="dxa"/>
              <w:bottom w:w="55" w:type="dxa"/>
              <w:right w:w="55" w:type="dxa"/>
            </w:tcMar>
            <w:vAlign w:val="center"/>
          </w:tcPr>
          <w:p w14:paraId="0B7DAF0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0.077 (0.037)</w:t>
            </w:r>
          </w:p>
        </w:tc>
        <w:tc>
          <w:tcPr>
            <w:tcW w:w="780" w:type="pct"/>
            <w:tcBorders>
              <w:top w:val="nil"/>
              <w:left w:val="nil"/>
              <w:bottom w:val="nil"/>
              <w:right w:val="nil"/>
            </w:tcBorders>
            <w:shd w:val="clear" w:color="auto" w:fill="FFFFFF"/>
            <w:tcMar>
              <w:top w:w="55" w:type="dxa"/>
              <w:left w:w="55" w:type="dxa"/>
              <w:bottom w:w="55" w:type="dxa"/>
              <w:right w:w="55" w:type="dxa"/>
            </w:tcMar>
            <w:vAlign w:val="center"/>
          </w:tcPr>
          <w:p w14:paraId="4D8A8AD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0.098 (0.036)</w:t>
            </w:r>
          </w:p>
        </w:tc>
        <w:tc>
          <w:tcPr>
            <w:tcW w:w="599" w:type="pct"/>
            <w:tcBorders>
              <w:top w:val="nil"/>
              <w:left w:val="nil"/>
              <w:bottom w:val="nil"/>
              <w:right w:val="nil"/>
            </w:tcBorders>
            <w:shd w:val="clear" w:color="auto" w:fill="FFFFFF"/>
            <w:tcMar>
              <w:top w:w="55" w:type="dxa"/>
              <w:left w:w="55" w:type="dxa"/>
              <w:bottom w:w="55" w:type="dxa"/>
              <w:right w:w="55" w:type="dxa"/>
            </w:tcMar>
            <w:vAlign w:val="center"/>
          </w:tcPr>
          <w:p w14:paraId="6BA0CCC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-0.393</w:t>
            </w:r>
          </w:p>
        </w:tc>
        <w:tc>
          <w:tcPr>
            <w:tcW w:w="479" w:type="pct"/>
            <w:tcBorders>
              <w:top w:val="nil"/>
              <w:left w:val="nil"/>
              <w:bottom w:val="nil"/>
              <w:right w:val="nil"/>
            </w:tcBorders>
            <w:shd w:val="clear" w:color="auto" w:fill="FFFFFF"/>
            <w:tcMar>
              <w:top w:w="55" w:type="dxa"/>
              <w:left w:w="55" w:type="dxa"/>
              <w:bottom w:w="55" w:type="dxa"/>
              <w:right w:w="55" w:type="dxa"/>
            </w:tcMar>
            <w:vAlign w:val="center"/>
          </w:tcPr>
          <w:p w14:paraId="4DC5248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0.694</w:t>
            </w:r>
          </w:p>
        </w:tc>
      </w:tr>
      <w:tr w14:paraId="5B741B4C">
        <w:trPr>
          <w:trHeight w:val="193" w:hRule="atLeast"/>
          <w:jc w:val="center"/>
        </w:trPr>
        <w:tc>
          <w:tcPr>
            <w:tcW w:w="1190" w:type="pct"/>
            <w:tcBorders>
              <w:top w:val="nil"/>
              <w:left w:val="nil"/>
              <w:bottom w:val="nil"/>
              <w:right w:val="nil"/>
            </w:tcBorders>
            <w:shd w:val="clear" w:color="auto" w:fill="FFFFFF"/>
            <w:tcMar>
              <w:top w:w="55" w:type="dxa"/>
              <w:left w:w="55" w:type="dxa"/>
              <w:bottom w:w="55" w:type="dxa"/>
              <w:right w:w="55" w:type="dxa"/>
            </w:tcMar>
            <w:vAlign w:val="center"/>
          </w:tcPr>
          <w:p w14:paraId="10A612F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Number of ferritin &lt;30 episodes</w:t>
            </w:r>
          </w:p>
        </w:tc>
        <w:tc>
          <w:tcPr>
            <w:tcW w:w="1169" w:type="pct"/>
            <w:tcBorders>
              <w:top w:val="nil"/>
              <w:left w:val="nil"/>
              <w:bottom w:val="nil"/>
              <w:right w:val="nil"/>
            </w:tcBorders>
            <w:shd w:val="clear" w:color="auto" w:fill="FFFFFF"/>
            <w:tcMar>
              <w:top w:w="55" w:type="dxa"/>
              <w:left w:w="55" w:type="dxa"/>
              <w:bottom w:w="55" w:type="dxa"/>
              <w:right w:w="55" w:type="dxa"/>
            </w:tcMar>
            <w:vAlign w:val="center"/>
          </w:tcPr>
          <w:p w14:paraId="6A261FC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Gross motor / power vs fine motor / low energy</w:t>
            </w:r>
          </w:p>
        </w:tc>
        <w:tc>
          <w:tcPr>
            <w:tcW w:w="780" w:type="pct"/>
            <w:tcBorders>
              <w:top w:val="nil"/>
              <w:left w:val="nil"/>
              <w:bottom w:val="nil"/>
              <w:right w:val="nil"/>
            </w:tcBorders>
            <w:shd w:val="clear" w:color="auto" w:fill="FFFFFF"/>
            <w:tcMar>
              <w:top w:w="55" w:type="dxa"/>
              <w:left w:w="55" w:type="dxa"/>
              <w:bottom w:w="55" w:type="dxa"/>
              <w:right w:w="55" w:type="dxa"/>
            </w:tcMar>
            <w:vAlign w:val="center"/>
          </w:tcPr>
          <w:p w14:paraId="40650F5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0.105 (0.102)</w:t>
            </w:r>
          </w:p>
        </w:tc>
        <w:tc>
          <w:tcPr>
            <w:tcW w:w="780" w:type="pct"/>
            <w:tcBorders>
              <w:top w:val="nil"/>
              <w:left w:val="nil"/>
              <w:bottom w:val="nil"/>
              <w:right w:val="nil"/>
            </w:tcBorders>
            <w:shd w:val="clear" w:color="auto" w:fill="FFFFFF"/>
            <w:tcMar>
              <w:top w:w="55" w:type="dxa"/>
              <w:left w:w="55" w:type="dxa"/>
              <w:bottom w:w="55" w:type="dxa"/>
              <w:right w:w="55" w:type="dxa"/>
            </w:tcMar>
            <w:vAlign w:val="center"/>
          </w:tcPr>
          <w:p w14:paraId="119C376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0.202 (0.098)</w:t>
            </w:r>
          </w:p>
        </w:tc>
        <w:tc>
          <w:tcPr>
            <w:tcW w:w="599" w:type="pct"/>
            <w:tcBorders>
              <w:top w:val="nil"/>
              <w:left w:val="nil"/>
              <w:bottom w:val="nil"/>
              <w:right w:val="nil"/>
            </w:tcBorders>
            <w:shd w:val="clear" w:color="auto" w:fill="FFFFFF"/>
            <w:tcMar>
              <w:top w:w="55" w:type="dxa"/>
              <w:left w:w="55" w:type="dxa"/>
              <w:bottom w:w="55" w:type="dxa"/>
              <w:right w:w="55" w:type="dxa"/>
            </w:tcMar>
            <w:vAlign w:val="center"/>
          </w:tcPr>
          <w:p w14:paraId="1CC4570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-0.688</w:t>
            </w:r>
          </w:p>
        </w:tc>
        <w:tc>
          <w:tcPr>
            <w:tcW w:w="479" w:type="pct"/>
            <w:tcBorders>
              <w:top w:val="nil"/>
              <w:left w:val="nil"/>
              <w:bottom w:val="nil"/>
              <w:right w:val="nil"/>
            </w:tcBorders>
            <w:shd w:val="clear" w:color="auto" w:fill="FFFFFF"/>
            <w:tcMar>
              <w:top w:w="55" w:type="dxa"/>
              <w:left w:w="55" w:type="dxa"/>
              <w:bottom w:w="55" w:type="dxa"/>
              <w:right w:w="55" w:type="dxa"/>
            </w:tcMar>
            <w:vAlign w:val="center"/>
          </w:tcPr>
          <w:p w14:paraId="0790599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0.492</w:t>
            </w:r>
          </w:p>
        </w:tc>
      </w:tr>
      <w:tr w14:paraId="32747C9D">
        <w:trPr>
          <w:trHeight w:val="193" w:hRule="atLeast"/>
          <w:jc w:val="center"/>
        </w:trPr>
        <w:tc>
          <w:tcPr>
            <w:tcW w:w="119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10270D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slope</w:t>
            </w:r>
          </w:p>
        </w:tc>
        <w:tc>
          <w:tcPr>
            <w:tcW w:w="116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F64193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Gross motor / power vs fine motor / low energy</w:t>
            </w:r>
          </w:p>
        </w:tc>
        <w:tc>
          <w:tcPr>
            <w:tcW w:w="78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2C2EA1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0.185 (0.574)</w:t>
            </w:r>
          </w:p>
        </w:tc>
        <w:tc>
          <w:tcPr>
            <w:tcW w:w="78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75AF0F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-0.465 (0.535)</w:t>
            </w:r>
          </w:p>
        </w:tc>
        <w:tc>
          <w:tcPr>
            <w:tcW w:w="59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72245C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0.828</w:t>
            </w:r>
          </w:p>
        </w:tc>
        <w:tc>
          <w:tcPr>
            <w:tcW w:w="47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4D9172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0.408</w:t>
            </w:r>
          </w:p>
        </w:tc>
      </w:tr>
    </w:tbl>
    <w:p w14:paraId="1A568835">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r>
        <w:rPr>
          <w:rFonts w:hint="default" w:ascii="Times New Roman" w:hAnsi="Times New Roman" w:eastAsia="Times New Roman" w:cs="Times New Roman Regular"/>
          <w:b/>
          <w:bCs/>
          <w:color w:val="auto"/>
          <w:sz w:val="20"/>
          <w:szCs w:val="22"/>
          <w:lang w:val="en-US" w:eastAsia="zh-CN"/>
        </w:rPr>
        <w:br w:type="textWrapping"/>
      </w:r>
      <w:r>
        <w:rPr>
          <w:rFonts w:hint="default" w:ascii="Times New Roman" w:hAnsi="Times New Roman" w:eastAsia="Times New Roman" w:cs="Times New Roman Regular"/>
          <w:b w:val="0"/>
          <w:bCs w:val="0"/>
          <w:color w:val="auto"/>
          <w:sz w:val="20"/>
          <w:szCs w:val="22"/>
          <w:lang w:val="en-US" w:eastAsia="zh-CN"/>
        </w:rPr>
        <w:t>This table presents statistical comparisons of effect estimates between gross motor/power and fine motor/low-energy activities of daily living (ADL) domains for the corresponding dynamic iron-related exposures. Reported statistics, gross motor coefficients, fine motor coefficients, standard errors (SEs), Z statistics, and P values are shown as specified in the table. These analyses were used as supplementary tests to evaluate whether the magnitude of associations differed materially between motor-domain groupings and should be interpreted as supportive rather than primary inferential results.</w:t>
      </w:r>
    </w:p>
    <w:p w14:paraId="284DC55A">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1A2AA18">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675C812">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4209D70">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9326706">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6C1076E">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DE441A5">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0446F43">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C5D6AB6">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0A802523">
      <w:pPr>
        <w:pStyle w:val="2"/>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Supplementary Table S28. Interaction models of ferritin CV and grip strength for motor-related ADL domains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644"/>
        <w:gridCol w:w="4194"/>
        <w:gridCol w:w="3320"/>
        <w:gridCol w:w="3208"/>
      </w:tblGrid>
      <w:tr w14:paraId="76B31F9A">
        <w:trPr>
          <w:trHeight w:val="193" w:hRule="atLeast"/>
          <w:tblHeader/>
          <w:jc w:val="center"/>
        </w:trPr>
        <w:tc>
          <w:tcPr>
            <w:tcW w:w="1268"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7833213">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Domain</w:t>
            </w:r>
          </w:p>
        </w:tc>
        <w:tc>
          <w:tcPr>
            <w:tcW w:w="145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206283A">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Variable</w:t>
            </w:r>
          </w:p>
        </w:tc>
        <w:tc>
          <w:tcPr>
            <w:tcW w:w="1155"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880A4D5">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HR (95% CI)</w:t>
            </w:r>
          </w:p>
        </w:tc>
        <w:tc>
          <w:tcPr>
            <w:tcW w:w="1116"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9E82A2E">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30BBAC8F">
        <w:trPr>
          <w:trHeight w:val="193" w:hRule="atLeast"/>
          <w:jc w:val="center"/>
        </w:trPr>
        <w:tc>
          <w:tcPr>
            <w:tcW w:w="1268"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645F30B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Walking across a room</w:t>
            </w:r>
          </w:p>
        </w:tc>
        <w:tc>
          <w:tcPr>
            <w:tcW w:w="145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E53B74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155"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EAEB8C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1.22 (0.18, 8.20)</w:t>
            </w:r>
          </w:p>
        </w:tc>
        <w:tc>
          <w:tcPr>
            <w:tcW w:w="1116"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2943E21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0.837</w:t>
            </w:r>
          </w:p>
        </w:tc>
      </w:tr>
      <w:tr w14:paraId="2F1A504E">
        <w:trPr>
          <w:trHeight w:val="193" w:hRule="atLeast"/>
          <w:jc w:val="center"/>
        </w:trPr>
        <w:tc>
          <w:tcPr>
            <w:tcW w:w="1268" w:type="pct"/>
            <w:tcBorders>
              <w:top w:val="nil"/>
              <w:left w:val="nil"/>
              <w:bottom w:val="nil"/>
              <w:right w:val="nil"/>
            </w:tcBorders>
            <w:shd w:val="clear" w:color="auto" w:fill="FFFFFF"/>
            <w:tcMar>
              <w:top w:w="55" w:type="dxa"/>
              <w:left w:w="55" w:type="dxa"/>
              <w:bottom w:w="55" w:type="dxa"/>
              <w:right w:w="55" w:type="dxa"/>
            </w:tcMar>
            <w:vAlign w:val="center"/>
          </w:tcPr>
          <w:p w14:paraId="680D012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Walking across a room</w:t>
            </w:r>
          </w:p>
        </w:tc>
        <w:tc>
          <w:tcPr>
            <w:tcW w:w="1459" w:type="pct"/>
            <w:tcBorders>
              <w:top w:val="nil"/>
              <w:left w:val="nil"/>
              <w:bottom w:val="nil"/>
              <w:right w:val="nil"/>
            </w:tcBorders>
            <w:shd w:val="clear" w:color="auto" w:fill="FFFFFF"/>
            <w:tcMar>
              <w:top w:w="55" w:type="dxa"/>
              <w:left w:w="55" w:type="dxa"/>
              <w:bottom w:w="55" w:type="dxa"/>
              <w:right w:w="55" w:type="dxa"/>
            </w:tcMar>
            <w:vAlign w:val="center"/>
          </w:tcPr>
          <w:p w14:paraId="6F04DA9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Weak grip</w:t>
            </w:r>
          </w:p>
        </w:tc>
        <w:tc>
          <w:tcPr>
            <w:tcW w:w="1155" w:type="pct"/>
            <w:tcBorders>
              <w:top w:val="nil"/>
              <w:left w:val="nil"/>
              <w:bottom w:val="nil"/>
              <w:right w:val="nil"/>
            </w:tcBorders>
            <w:shd w:val="clear" w:color="auto" w:fill="FFFFFF"/>
            <w:tcMar>
              <w:top w:w="55" w:type="dxa"/>
              <w:left w:w="55" w:type="dxa"/>
              <w:bottom w:w="55" w:type="dxa"/>
              <w:right w:w="55" w:type="dxa"/>
            </w:tcMar>
            <w:vAlign w:val="center"/>
          </w:tcPr>
          <w:p w14:paraId="6071ADA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3.37 (0.79, 14.40)</w:t>
            </w:r>
          </w:p>
        </w:tc>
        <w:tc>
          <w:tcPr>
            <w:tcW w:w="1116" w:type="pct"/>
            <w:tcBorders>
              <w:top w:val="nil"/>
              <w:left w:val="nil"/>
              <w:bottom w:val="nil"/>
              <w:right w:val="nil"/>
            </w:tcBorders>
            <w:shd w:val="clear" w:color="auto" w:fill="FFFFFF"/>
            <w:tcMar>
              <w:top w:w="55" w:type="dxa"/>
              <w:left w:w="55" w:type="dxa"/>
              <w:bottom w:w="55" w:type="dxa"/>
              <w:right w:w="55" w:type="dxa"/>
            </w:tcMar>
            <w:vAlign w:val="center"/>
          </w:tcPr>
          <w:p w14:paraId="6A698F8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0.101</w:t>
            </w:r>
          </w:p>
        </w:tc>
      </w:tr>
      <w:tr w14:paraId="1412C09C">
        <w:trPr>
          <w:trHeight w:val="193" w:hRule="atLeast"/>
          <w:jc w:val="center"/>
        </w:trPr>
        <w:tc>
          <w:tcPr>
            <w:tcW w:w="1268" w:type="pct"/>
            <w:tcBorders>
              <w:top w:val="nil"/>
              <w:left w:val="nil"/>
              <w:bottom w:val="nil"/>
              <w:right w:val="nil"/>
            </w:tcBorders>
            <w:shd w:val="clear" w:color="auto" w:fill="FFFFFF"/>
            <w:tcMar>
              <w:top w:w="55" w:type="dxa"/>
              <w:left w:w="55" w:type="dxa"/>
              <w:bottom w:w="55" w:type="dxa"/>
              <w:right w:w="55" w:type="dxa"/>
            </w:tcMar>
            <w:vAlign w:val="center"/>
          </w:tcPr>
          <w:p w14:paraId="4046A7C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Walking across a room</w:t>
            </w:r>
          </w:p>
        </w:tc>
        <w:tc>
          <w:tcPr>
            <w:tcW w:w="1459" w:type="pct"/>
            <w:tcBorders>
              <w:top w:val="nil"/>
              <w:left w:val="nil"/>
              <w:bottom w:val="nil"/>
              <w:right w:val="nil"/>
            </w:tcBorders>
            <w:shd w:val="clear" w:color="auto" w:fill="FFFFFF"/>
            <w:tcMar>
              <w:top w:w="55" w:type="dxa"/>
              <w:left w:w="55" w:type="dxa"/>
              <w:bottom w:w="55" w:type="dxa"/>
              <w:right w:w="55" w:type="dxa"/>
            </w:tcMar>
            <w:vAlign w:val="center"/>
          </w:tcPr>
          <w:p w14:paraId="3D8A6B5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CV × weak grip</w:t>
            </w:r>
          </w:p>
        </w:tc>
        <w:tc>
          <w:tcPr>
            <w:tcW w:w="1155" w:type="pct"/>
            <w:tcBorders>
              <w:top w:val="nil"/>
              <w:left w:val="nil"/>
              <w:bottom w:val="nil"/>
              <w:right w:val="nil"/>
            </w:tcBorders>
            <w:shd w:val="clear" w:color="auto" w:fill="FFFFFF"/>
            <w:tcMar>
              <w:top w:w="55" w:type="dxa"/>
              <w:left w:w="55" w:type="dxa"/>
              <w:bottom w:w="55" w:type="dxa"/>
              <w:right w:w="55" w:type="dxa"/>
            </w:tcMar>
            <w:vAlign w:val="center"/>
          </w:tcPr>
          <w:p w14:paraId="18B134A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1.33 (0.09, 18.88)</w:t>
            </w:r>
          </w:p>
        </w:tc>
        <w:tc>
          <w:tcPr>
            <w:tcW w:w="1116" w:type="pct"/>
            <w:tcBorders>
              <w:top w:val="nil"/>
              <w:left w:val="nil"/>
              <w:bottom w:val="nil"/>
              <w:right w:val="nil"/>
            </w:tcBorders>
            <w:shd w:val="clear" w:color="auto" w:fill="FFFFFF"/>
            <w:tcMar>
              <w:top w:w="55" w:type="dxa"/>
              <w:left w:w="55" w:type="dxa"/>
              <w:bottom w:w="55" w:type="dxa"/>
              <w:right w:w="55" w:type="dxa"/>
            </w:tcMar>
            <w:vAlign w:val="center"/>
          </w:tcPr>
          <w:p w14:paraId="74E9D50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0.834</w:t>
            </w:r>
          </w:p>
        </w:tc>
      </w:tr>
      <w:tr w14:paraId="75E44342">
        <w:trPr>
          <w:trHeight w:val="193" w:hRule="atLeast"/>
          <w:jc w:val="center"/>
        </w:trPr>
        <w:tc>
          <w:tcPr>
            <w:tcW w:w="1268" w:type="pct"/>
            <w:tcBorders>
              <w:top w:val="nil"/>
              <w:left w:val="nil"/>
              <w:bottom w:val="nil"/>
              <w:right w:val="nil"/>
            </w:tcBorders>
            <w:shd w:val="clear" w:color="auto" w:fill="FFFFFF"/>
            <w:tcMar>
              <w:top w:w="55" w:type="dxa"/>
              <w:left w:w="55" w:type="dxa"/>
              <w:bottom w:w="55" w:type="dxa"/>
              <w:right w:w="55" w:type="dxa"/>
            </w:tcMar>
            <w:vAlign w:val="center"/>
          </w:tcPr>
          <w:p w14:paraId="38D481D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Bathing</w:t>
            </w:r>
          </w:p>
        </w:tc>
        <w:tc>
          <w:tcPr>
            <w:tcW w:w="1459" w:type="pct"/>
            <w:tcBorders>
              <w:top w:val="nil"/>
              <w:left w:val="nil"/>
              <w:bottom w:val="nil"/>
              <w:right w:val="nil"/>
            </w:tcBorders>
            <w:shd w:val="clear" w:color="auto" w:fill="FFFFFF"/>
            <w:tcMar>
              <w:top w:w="55" w:type="dxa"/>
              <w:left w:w="55" w:type="dxa"/>
              <w:bottom w:w="55" w:type="dxa"/>
              <w:right w:w="55" w:type="dxa"/>
            </w:tcMar>
            <w:vAlign w:val="center"/>
          </w:tcPr>
          <w:p w14:paraId="114DE40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155" w:type="pct"/>
            <w:tcBorders>
              <w:top w:val="nil"/>
              <w:left w:val="nil"/>
              <w:bottom w:val="nil"/>
              <w:right w:val="nil"/>
            </w:tcBorders>
            <w:shd w:val="clear" w:color="auto" w:fill="FFFFFF"/>
            <w:tcMar>
              <w:top w:w="55" w:type="dxa"/>
              <w:left w:w="55" w:type="dxa"/>
              <w:bottom w:w="55" w:type="dxa"/>
              <w:right w:w="55" w:type="dxa"/>
            </w:tcMar>
            <w:vAlign w:val="center"/>
          </w:tcPr>
          <w:p w14:paraId="2C39311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2.55 (0.76, 8.59)</w:t>
            </w:r>
          </w:p>
        </w:tc>
        <w:tc>
          <w:tcPr>
            <w:tcW w:w="1116" w:type="pct"/>
            <w:tcBorders>
              <w:top w:val="nil"/>
              <w:left w:val="nil"/>
              <w:bottom w:val="nil"/>
              <w:right w:val="nil"/>
            </w:tcBorders>
            <w:shd w:val="clear" w:color="auto" w:fill="FFFFFF"/>
            <w:tcMar>
              <w:top w:w="55" w:type="dxa"/>
              <w:left w:w="55" w:type="dxa"/>
              <w:bottom w:w="55" w:type="dxa"/>
              <w:right w:w="55" w:type="dxa"/>
            </w:tcMar>
            <w:vAlign w:val="center"/>
          </w:tcPr>
          <w:p w14:paraId="35ADFD3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0.131</w:t>
            </w:r>
          </w:p>
        </w:tc>
      </w:tr>
      <w:tr w14:paraId="1EFA0954">
        <w:trPr>
          <w:trHeight w:val="193" w:hRule="atLeast"/>
          <w:jc w:val="center"/>
        </w:trPr>
        <w:tc>
          <w:tcPr>
            <w:tcW w:w="1268" w:type="pct"/>
            <w:tcBorders>
              <w:top w:val="nil"/>
              <w:left w:val="nil"/>
              <w:bottom w:val="nil"/>
              <w:right w:val="nil"/>
            </w:tcBorders>
            <w:shd w:val="clear" w:color="auto" w:fill="FFFFFF"/>
            <w:tcMar>
              <w:top w:w="55" w:type="dxa"/>
              <w:left w:w="55" w:type="dxa"/>
              <w:bottom w:w="55" w:type="dxa"/>
              <w:right w:w="55" w:type="dxa"/>
            </w:tcMar>
            <w:vAlign w:val="center"/>
          </w:tcPr>
          <w:p w14:paraId="17A6071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Bathing</w:t>
            </w:r>
          </w:p>
        </w:tc>
        <w:tc>
          <w:tcPr>
            <w:tcW w:w="1459" w:type="pct"/>
            <w:tcBorders>
              <w:top w:val="nil"/>
              <w:left w:val="nil"/>
              <w:bottom w:val="nil"/>
              <w:right w:val="nil"/>
            </w:tcBorders>
            <w:shd w:val="clear" w:color="auto" w:fill="FFFFFF"/>
            <w:tcMar>
              <w:top w:w="55" w:type="dxa"/>
              <w:left w:w="55" w:type="dxa"/>
              <w:bottom w:w="55" w:type="dxa"/>
              <w:right w:w="55" w:type="dxa"/>
            </w:tcMar>
            <w:vAlign w:val="center"/>
          </w:tcPr>
          <w:p w14:paraId="5E81427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Weak grip</w:t>
            </w:r>
          </w:p>
        </w:tc>
        <w:tc>
          <w:tcPr>
            <w:tcW w:w="1155" w:type="pct"/>
            <w:tcBorders>
              <w:top w:val="nil"/>
              <w:left w:val="nil"/>
              <w:bottom w:val="nil"/>
              <w:right w:val="nil"/>
            </w:tcBorders>
            <w:shd w:val="clear" w:color="auto" w:fill="FFFFFF"/>
            <w:tcMar>
              <w:top w:w="55" w:type="dxa"/>
              <w:left w:w="55" w:type="dxa"/>
              <w:bottom w:w="55" w:type="dxa"/>
              <w:right w:w="55" w:type="dxa"/>
            </w:tcMar>
            <w:vAlign w:val="center"/>
          </w:tcPr>
          <w:p w14:paraId="6FEDF58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3.66 (1.54, 8.70)</w:t>
            </w:r>
          </w:p>
        </w:tc>
        <w:tc>
          <w:tcPr>
            <w:tcW w:w="1116" w:type="pct"/>
            <w:tcBorders>
              <w:top w:val="nil"/>
              <w:left w:val="nil"/>
              <w:bottom w:val="nil"/>
              <w:right w:val="nil"/>
            </w:tcBorders>
            <w:shd w:val="clear" w:color="auto" w:fill="FFFFFF"/>
            <w:tcMar>
              <w:top w:w="55" w:type="dxa"/>
              <w:left w:w="55" w:type="dxa"/>
              <w:bottom w:w="55" w:type="dxa"/>
              <w:right w:w="55" w:type="dxa"/>
            </w:tcMar>
            <w:vAlign w:val="center"/>
          </w:tcPr>
          <w:p w14:paraId="5F9E49F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0.003</w:t>
            </w:r>
          </w:p>
        </w:tc>
      </w:tr>
      <w:tr w14:paraId="60218732">
        <w:trPr>
          <w:trHeight w:val="193" w:hRule="atLeast"/>
          <w:jc w:val="center"/>
        </w:trPr>
        <w:tc>
          <w:tcPr>
            <w:tcW w:w="1268" w:type="pct"/>
            <w:tcBorders>
              <w:top w:val="nil"/>
              <w:left w:val="nil"/>
              <w:bottom w:val="nil"/>
              <w:right w:val="nil"/>
            </w:tcBorders>
            <w:shd w:val="clear" w:color="auto" w:fill="FFFFFF"/>
            <w:tcMar>
              <w:top w:w="55" w:type="dxa"/>
              <w:left w:w="55" w:type="dxa"/>
              <w:bottom w:w="55" w:type="dxa"/>
              <w:right w:w="55" w:type="dxa"/>
            </w:tcMar>
            <w:vAlign w:val="center"/>
          </w:tcPr>
          <w:p w14:paraId="070BC75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Bathing</w:t>
            </w:r>
          </w:p>
        </w:tc>
        <w:tc>
          <w:tcPr>
            <w:tcW w:w="1459" w:type="pct"/>
            <w:tcBorders>
              <w:top w:val="nil"/>
              <w:left w:val="nil"/>
              <w:bottom w:val="nil"/>
              <w:right w:val="nil"/>
            </w:tcBorders>
            <w:shd w:val="clear" w:color="auto" w:fill="FFFFFF"/>
            <w:tcMar>
              <w:top w:w="55" w:type="dxa"/>
              <w:left w:w="55" w:type="dxa"/>
              <w:bottom w:w="55" w:type="dxa"/>
              <w:right w:w="55" w:type="dxa"/>
            </w:tcMar>
            <w:vAlign w:val="center"/>
          </w:tcPr>
          <w:p w14:paraId="37FE2C3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CV × weak grip</w:t>
            </w:r>
          </w:p>
        </w:tc>
        <w:tc>
          <w:tcPr>
            <w:tcW w:w="1155" w:type="pct"/>
            <w:tcBorders>
              <w:top w:val="nil"/>
              <w:left w:val="nil"/>
              <w:bottom w:val="nil"/>
              <w:right w:val="nil"/>
            </w:tcBorders>
            <w:shd w:val="clear" w:color="auto" w:fill="FFFFFF"/>
            <w:tcMar>
              <w:top w:w="55" w:type="dxa"/>
              <w:left w:w="55" w:type="dxa"/>
              <w:bottom w:w="55" w:type="dxa"/>
              <w:right w:w="55" w:type="dxa"/>
            </w:tcMar>
            <w:vAlign w:val="center"/>
          </w:tcPr>
          <w:p w14:paraId="6B5F1D1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1.02 (0.23, 4.65)</w:t>
            </w:r>
          </w:p>
        </w:tc>
        <w:tc>
          <w:tcPr>
            <w:tcW w:w="1116" w:type="pct"/>
            <w:tcBorders>
              <w:top w:val="nil"/>
              <w:left w:val="nil"/>
              <w:bottom w:val="nil"/>
              <w:right w:val="nil"/>
            </w:tcBorders>
            <w:shd w:val="clear" w:color="auto" w:fill="FFFFFF"/>
            <w:tcMar>
              <w:top w:w="55" w:type="dxa"/>
              <w:left w:w="55" w:type="dxa"/>
              <w:bottom w:w="55" w:type="dxa"/>
              <w:right w:w="55" w:type="dxa"/>
            </w:tcMar>
            <w:vAlign w:val="center"/>
          </w:tcPr>
          <w:p w14:paraId="56EBA3E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0.978</w:t>
            </w:r>
          </w:p>
        </w:tc>
      </w:tr>
      <w:tr w14:paraId="384FC5A4">
        <w:trPr>
          <w:trHeight w:val="193" w:hRule="atLeast"/>
          <w:jc w:val="center"/>
        </w:trPr>
        <w:tc>
          <w:tcPr>
            <w:tcW w:w="1268" w:type="pct"/>
            <w:tcBorders>
              <w:top w:val="nil"/>
              <w:left w:val="nil"/>
              <w:bottom w:val="nil"/>
              <w:right w:val="nil"/>
            </w:tcBorders>
            <w:shd w:val="clear" w:color="auto" w:fill="FFFFFF"/>
            <w:tcMar>
              <w:top w:w="55" w:type="dxa"/>
              <w:left w:w="55" w:type="dxa"/>
              <w:bottom w:w="55" w:type="dxa"/>
              <w:right w:w="55" w:type="dxa"/>
            </w:tcMar>
            <w:vAlign w:val="center"/>
          </w:tcPr>
          <w:p w14:paraId="78A7671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Getting in/out of bed</w:t>
            </w:r>
          </w:p>
        </w:tc>
        <w:tc>
          <w:tcPr>
            <w:tcW w:w="1459" w:type="pct"/>
            <w:tcBorders>
              <w:top w:val="nil"/>
              <w:left w:val="nil"/>
              <w:bottom w:val="nil"/>
              <w:right w:val="nil"/>
            </w:tcBorders>
            <w:shd w:val="clear" w:color="auto" w:fill="FFFFFF"/>
            <w:tcMar>
              <w:top w:w="55" w:type="dxa"/>
              <w:left w:w="55" w:type="dxa"/>
              <w:bottom w:w="55" w:type="dxa"/>
              <w:right w:w="55" w:type="dxa"/>
            </w:tcMar>
            <w:vAlign w:val="center"/>
          </w:tcPr>
          <w:p w14:paraId="440856D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155" w:type="pct"/>
            <w:tcBorders>
              <w:top w:val="nil"/>
              <w:left w:val="nil"/>
              <w:bottom w:val="nil"/>
              <w:right w:val="nil"/>
            </w:tcBorders>
            <w:shd w:val="clear" w:color="auto" w:fill="FFFFFF"/>
            <w:tcMar>
              <w:top w:w="55" w:type="dxa"/>
              <w:left w:w="55" w:type="dxa"/>
              <w:bottom w:w="55" w:type="dxa"/>
              <w:right w:w="55" w:type="dxa"/>
            </w:tcMar>
            <w:vAlign w:val="center"/>
          </w:tcPr>
          <w:p w14:paraId="575B875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1.17 (0.28, 4.87)</w:t>
            </w:r>
          </w:p>
        </w:tc>
        <w:tc>
          <w:tcPr>
            <w:tcW w:w="1116" w:type="pct"/>
            <w:tcBorders>
              <w:top w:val="nil"/>
              <w:left w:val="nil"/>
              <w:bottom w:val="nil"/>
              <w:right w:val="nil"/>
            </w:tcBorders>
            <w:shd w:val="clear" w:color="auto" w:fill="FFFFFF"/>
            <w:tcMar>
              <w:top w:w="55" w:type="dxa"/>
              <w:left w:w="55" w:type="dxa"/>
              <w:bottom w:w="55" w:type="dxa"/>
              <w:right w:w="55" w:type="dxa"/>
            </w:tcMar>
            <w:vAlign w:val="center"/>
          </w:tcPr>
          <w:p w14:paraId="6EDA507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0.826</w:t>
            </w:r>
          </w:p>
        </w:tc>
      </w:tr>
      <w:tr w14:paraId="4DB07D4F">
        <w:trPr>
          <w:trHeight w:val="193" w:hRule="atLeast"/>
          <w:jc w:val="center"/>
        </w:trPr>
        <w:tc>
          <w:tcPr>
            <w:tcW w:w="1268" w:type="pct"/>
            <w:tcBorders>
              <w:top w:val="nil"/>
              <w:left w:val="nil"/>
              <w:bottom w:val="nil"/>
              <w:right w:val="nil"/>
            </w:tcBorders>
            <w:shd w:val="clear" w:color="auto" w:fill="FFFFFF"/>
            <w:tcMar>
              <w:top w:w="55" w:type="dxa"/>
              <w:left w:w="55" w:type="dxa"/>
              <w:bottom w:w="55" w:type="dxa"/>
              <w:right w:w="55" w:type="dxa"/>
            </w:tcMar>
            <w:vAlign w:val="center"/>
          </w:tcPr>
          <w:p w14:paraId="630F4A3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Getting in/out of bed</w:t>
            </w:r>
          </w:p>
        </w:tc>
        <w:tc>
          <w:tcPr>
            <w:tcW w:w="1459" w:type="pct"/>
            <w:tcBorders>
              <w:top w:val="nil"/>
              <w:left w:val="nil"/>
              <w:bottom w:val="nil"/>
              <w:right w:val="nil"/>
            </w:tcBorders>
            <w:shd w:val="clear" w:color="auto" w:fill="FFFFFF"/>
            <w:tcMar>
              <w:top w:w="55" w:type="dxa"/>
              <w:left w:w="55" w:type="dxa"/>
              <w:bottom w:w="55" w:type="dxa"/>
              <w:right w:w="55" w:type="dxa"/>
            </w:tcMar>
            <w:vAlign w:val="center"/>
          </w:tcPr>
          <w:p w14:paraId="316987A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Weak grip</w:t>
            </w:r>
          </w:p>
        </w:tc>
        <w:tc>
          <w:tcPr>
            <w:tcW w:w="1155" w:type="pct"/>
            <w:tcBorders>
              <w:top w:val="nil"/>
              <w:left w:val="nil"/>
              <w:bottom w:val="nil"/>
              <w:right w:val="nil"/>
            </w:tcBorders>
            <w:shd w:val="clear" w:color="auto" w:fill="FFFFFF"/>
            <w:tcMar>
              <w:top w:w="55" w:type="dxa"/>
              <w:left w:w="55" w:type="dxa"/>
              <w:bottom w:w="55" w:type="dxa"/>
              <w:right w:w="55" w:type="dxa"/>
            </w:tcMar>
            <w:vAlign w:val="center"/>
          </w:tcPr>
          <w:p w14:paraId="56AA4C0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2.01 (0.77, 5.23)</w:t>
            </w:r>
          </w:p>
        </w:tc>
        <w:tc>
          <w:tcPr>
            <w:tcW w:w="1116" w:type="pct"/>
            <w:tcBorders>
              <w:top w:val="nil"/>
              <w:left w:val="nil"/>
              <w:bottom w:val="nil"/>
              <w:right w:val="nil"/>
            </w:tcBorders>
            <w:shd w:val="clear" w:color="auto" w:fill="FFFFFF"/>
            <w:tcMar>
              <w:top w:w="55" w:type="dxa"/>
              <w:left w:w="55" w:type="dxa"/>
              <w:bottom w:w="55" w:type="dxa"/>
              <w:right w:w="55" w:type="dxa"/>
            </w:tcMar>
            <w:vAlign w:val="center"/>
          </w:tcPr>
          <w:p w14:paraId="7F080EF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0.155</w:t>
            </w:r>
          </w:p>
        </w:tc>
      </w:tr>
      <w:tr w14:paraId="1FD0D9E1">
        <w:trPr>
          <w:trHeight w:val="193" w:hRule="atLeast"/>
          <w:jc w:val="center"/>
        </w:trPr>
        <w:tc>
          <w:tcPr>
            <w:tcW w:w="1268"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3251BE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Getting in/out of bed</w:t>
            </w:r>
          </w:p>
        </w:tc>
        <w:tc>
          <w:tcPr>
            <w:tcW w:w="145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698C1D4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CV × weak grip</w:t>
            </w:r>
          </w:p>
        </w:tc>
        <w:tc>
          <w:tcPr>
            <w:tcW w:w="1155"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FC9BE9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1.52 (0.24, 9.54)</w:t>
            </w:r>
          </w:p>
        </w:tc>
        <w:tc>
          <w:tcPr>
            <w:tcW w:w="1116"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5AC339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0.655</w:t>
            </w:r>
          </w:p>
        </w:tc>
      </w:tr>
    </w:tbl>
    <w:p w14:paraId="442D7EBF">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r>
        <w:rPr>
          <w:rFonts w:hint="default" w:ascii="Times New Roman" w:hAnsi="Times New Roman" w:eastAsia="Times New Roman" w:cs="Times New Roman Regular"/>
          <w:b/>
          <w:bCs/>
          <w:color w:val="auto"/>
          <w:sz w:val="20"/>
          <w:szCs w:val="22"/>
          <w:lang w:val="en-US" w:eastAsia="zh-CN"/>
        </w:rPr>
        <w:br w:type="textWrapping"/>
      </w:r>
      <w:r>
        <w:rPr>
          <w:rFonts w:hint="default" w:ascii="Times New Roman" w:hAnsi="Times New Roman" w:eastAsia="Times New Roman" w:cs="Times New Roman Regular"/>
          <w:b w:val="0"/>
          <w:bCs w:val="0"/>
          <w:color w:val="auto"/>
          <w:sz w:val="20"/>
          <w:szCs w:val="22"/>
          <w:lang w:val="en-US" w:eastAsia="zh-CN"/>
        </w:rPr>
        <w:t>Hazard ratios (HRs), 95% confidence intervals (CIs), and P values are shown from Cox proportional hazards models including interaction terms between ferritin coefficient of variation (CV) and grip strength in relation to motor-related activities of daily living (ADL) domains. Models were adjusted for baseline age, sex, smoking status, body mass index (BMI), log-transformed C-reactive protein (CRP), and baseline hemoglobin (Hb). These analyses were used to formally assess whether the domain-specific associations between ferritin CV and subsequent ADL deterioration differed by muscle-strength status. Extended supplementary tables that are too large for inclusion in the Supplementary Appendix are provided in Supplementary Data 1.</w:t>
      </w:r>
    </w:p>
    <w:p w14:paraId="6B98058B">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1391865">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9100BBB">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A47F254">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8546B52">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E242BE8">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ABDED7E">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718D978">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54BB53A">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B6D0B4A">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6B5A4AF">
      <w:pPr>
        <w:pStyle w:val="2"/>
        <w:keepNext/>
        <w:spacing w:before="0" w:after="120" w:line="240" w:lineRule="auto"/>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highlight w:val="none"/>
          <w:lang w:val="en-US" w:eastAsia="zh-CN"/>
        </w:rPr>
        <w:t>Supplementary Table S29. Proportional hazards assumption checks for ferritin CV in specific ADL-domain analyses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81"/>
        <w:gridCol w:w="4717"/>
        <w:gridCol w:w="4668"/>
      </w:tblGrid>
      <w:tr w14:paraId="3F36D039">
        <w:trPr>
          <w:trHeight w:val="193" w:hRule="atLeast"/>
          <w:tblHeader/>
          <w:jc w:val="center"/>
        </w:trPr>
        <w:tc>
          <w:tcPr>
            <w:tcW w:w="1733"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542E9CE">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Domain</w:t>
            </w:r>
          </w:p>
        </w:tc>
        <w:tc>
          <w:tcPr>
            <w:tcW w:w="1641"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8096324">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Ferritin CV test: χ² (df), P value</w:t>
            </w:r>
          </w:p>
        </w:tc>
        <w:tc>
          <w:tcPr>
            <w:tcW w:w="1624"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65C6B030">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Global test: χ² (df), P value</w:t>
            </w:r>
          </w:p>
        </w:tc>
      </w:tr>
      <w:tr w14:paraId="792D3C1E">
        <w:trPr>
          <w:trHeight w:val="193" w:hRule="atLeast"/>
          <w:jc w:val="center"/>
        </w:trPr>
        <w:tc>
          <w:tcPr>
            <w:tcW w:w="1733"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2F5997E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Walking across a room</w:t>
            </w:r>
          </w:p>
        </w:tc>
        <w:tc>
          <w:tcPr>
            <w:tcW w:w="1641"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23C850D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0.02 (1), 0.896</w:t>
            </w:r>
          </w:p>
        </w:tc>
        <w:tc>
          <w:tcPr>
            <w:tcW w:w="1624"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011C3D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5.38 (7), 0.613</w:t>
            </w:r>
          </w:p>
        </w:tc>
      </w:tr>
      <w:tr w14:paraId="3521F4F5">
        <w:trPr>
          <w:trHeight w:val="193" w:hRule="atLeast"/>
          <w:jc w:val="center"/>
        </w:trPr>
        <w:tc>
          <w:tcPr>
            <w:tcW w:w="1733" w:type="pct"/>
            <w:tcBorders>
              <w:top w:val="nil"/>
              <w:left w:val="nil"/>
              <w:bottom w:val="nil"/>
              <w:right w:val="nil"/>
            </w:tcBorders>
            <w:shd w:val="clear" w:color="auto" w:fill="FFFFFF"/>
            <w:tcMar>
              <w:top w:w="55" w:type="dxa"/>
              <w:left w:w="55" w:type="dxa"/>
              <w:bottom w:w="55" w:type="dxa"/>
              <w:right w:w="55" w:type="dxa"/>
            </w:tcMar>
            <w:vAlign w:val="center"/>
          </w:tcPr>
          <w:p w14:paraId="6F47BCE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Dressing</w:t>
            </w:r>
          </w:p>
        </w:tc>
        <w:tc>
          <w:tcPr>
            <w:tcW w:w="1641" w:type="pct"/>
            <w:tcBorders>
              <w:top w:val="nil"/>
              <w:left w:val="nil"/>
              <w:bottom w:val="nil"/>
              <w:right w:val="nil"/>
            </w:tcBorders>
            <w:shd w:val="clear" w:color="auto" w:fill="FFFFFF"/>
            <w:tcMar>
              <w:top w:w="55" w:type="dxa"/>
              <w:left w:w="55" w:type="dxa"/>
              <w:bottom w:w="55" w:type="dxa"/>
              <w:right w:w="55" w:type="dxa"/>
            </w:tcMar>
            <w:vAlign w:val="center"/>
          </w:tcPr>
          <w:p w14:paraId="35C3A72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1.78 (1), 0.182</w:t>
            </w:r>
          </w:p>
        </w:tc>
        <w:tc>
          <w:tcPr>
            <w:tcW w:w="1624" w:type="pct"/>
            <w:tcBorders>
              <w:top w:val="nil"/>
              <w:left w:val="nil"/>
              <w:bottom w:val="nil"/>
              <w:right w:val="nil"/>
            </w:tcBorders>
            <w:shd w:val="clear" w:color="auto" w:fill="FFFFFF"/>
            <w:tcMar>
              <w:top w:w="55" w:type="dxa"/>
              <w:left w:w="55" w:type="dxa"/>
              <w:bottom w:w="55" w:type="dxa"/>
              <w:right w:w="55" w:type="dxa"/>
            </w:tcMar>
            <w:vAlign w:val="center"/>
          </w:tcPr>
          <w:p w14:paraId="565338C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5.66 (7), 0.579</w:t>
            </w:r>
          </w:p>
        </w:tc>
      </w:tr>
      <w:tr w14:paraId="4C74335C">
        <w:trPr>
          <w:trHeight w:val="193" w:hRule="atLeast"/>
          <w:jc w:val="center"/>
        </w:trPr>
        <w:tc>
          <w:tcPr>
            <w:tcW w:w="1733" w:type="pct"/>
            <w:tcBorders>
              <w:top w:val="nil"/>
              <w:left w:val="nil"/>
              <w:bottom w:val="nil"/>
              <w:right w:val="nil"/>
            </w:tcBorders>
            <w:shd w:val="clear" w:color="auto" w:fill="FFFFFF"/>
            <w:tcMar>
              <w:top w:w="55" w:type="dxa"/>
              <w:left w:w="55" w:type="dxa"/>
              <w:bottom w:w="55" w:type="dxa"/>
              <w:right w:w="55" w:type="dxa"/>
            </w:tcMar>
            <w:vAlign w:val="center"/>
          </w:tcPr>
          <w:p w14:paraId="610121D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Bathing</w:t>
            </w:r>
          </w:p>
        </w:tc>
        <w:tc>
          <w:tcPr>
            <w:tcW w:w="1641" w:type="pct"/>
            <w:tcBorders>
              <w:top w:val="nil"/>
              <w:left w:val="nil"/>
              <w:bottom w:val="nil"/>
              <w:right w:val="nil"/>
            </w:tcBorders>
            <w:shd w:val="clear" w:color="auto" w:fill="FFFFFF"/>
            <w:tcMar>
              <w:top w:w="55" w:type="dxa"/>
              <w:left w:w="55" w:type="dxa"/>
              <w:bottom w:w="55" w:type="dxa"/>
              <w:right w:w="55" w:type="dxa"/>
            </w:tcMar>
            <w:vAlign w:val="center"/>
          </w:tcPr>
          <w:p w14:paraId="77D969F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0.04 (1), 0.839</w:t>
            </w:r>
          </w:p>
        </w:tc>
        <w:tc>
          <w:tcPr>
            <w:tcW w:w="1624" w:type="pct"/>
            <w:tcBorders>
              <w:top w:val="nil"/>
              <w:left w:val="nil"/>
              <w:bottom w:val="nil"/>
              <w:right w:val="nil"/>
            </w:tcBorders>
            <w:shd w:val="clear" w:color="auto" w:fill="FFFFFF"/>
            <w:tcMar>
              <w:top w:w="55" w:type="dxa"/>
              <w:left w:w="55" w:type="dxa"/>
              <w:bottom w:w="55" w:type="dxa"/>
              <w:right w:w="55" w:type="dxa"/>
            </w:tcMar>
            <w:vAlign w:val="center"/>
          </w:tcPr>
          <w:p w14:paraId="0C95A28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2.31 (7), 0.941</w:t>
            </w:r>
          </w:p>
        </w:tc>
      </w:tr>
      <w:tr w14:paraId="0DCF1110">
        <w:trPr>
          <w:trHeight w:val="193" w:hRule="atLeast"/>
          <w:jc w:val="center"/>
        </w:trPr>
        <w:tc>
          <w:tcPr>
            <w:tcW w:w="1733" w:type="pct"/>
            <w:tcBorders>
              <w:top w:val="nil"/>
              <w:left w:val="nil"/>
              <w:bottom w:val="nil"/>
              <w:right w:val="nil"/>
            </w:tcBorders>
            <w:shd w:val="clear" w:color="auto" w:fill="FFFFFF"/>
            <w:tcMar>
              <w:top w:w="55" w:type="dxa"/>
              <w:left w:w="55" w:type="dxa"/>
              <w:bottom w:w="55" w:type="dxa"/>
              <w:right w:w="55" w:type="dxa"/>
            </w:tcMar>
            <w:vAlign w:val="center"/>
          </w:tcPr>
          <w:p w14:paraId="500A5F9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Eating</w:t>
            </w:r>
          </w:p>
        </w:tc>
        <w:tc>
          <w:tcPr>
            <w:tcW w:w="1641" w:type="pct"/>
            <w:tcBorders>
              <w:top w:val="nil"/>
              <w:left w:val="nil"/>
              <w:bottom w:val="nil"/>
              <w:right w:val="nil"/>
            </w:tcBorders>
            <w:shd w:val="clear" w:color="auto" w:fill="FFFFFF"/>
            <w:tcMar>
              <w:top w:w="55" w:type="dxa"/>
              <w:left w:w="55" w:type="dxa"/>
              <w:bottom w:w="55" w:type="dxa"/>
              <w:right w:w="55" w:type="dxa"/>
            </w:tcMar>
            <w:vAlign w:val="center"/>
          </w:tcPr>
          <w:p w14:paraId="78A58CC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0.01 (1), 0.926</w:t>
            </w:r>
          </w:p>
        </w:tc>
        <w:tc>
          <w:tcPr>
            <w:tcW w:w="1624" w:type="pct"/>
            <w:tcBorders>
              <w:top w:val="nil"/>
              <w:left w:val="nil"/>
              <w:bottom w:val="nil"/>
              <w:right w:val="nil"/>
            </w:tcBorders>
            <w:shd w:val="clear" w:color="auto" w:fill="FFFFFF"/>
            <w:tcMar>
              <w:top w:w="55" w:type="dxa"/>
              <w:left w:w="55" w:type="dxa"/>
              <w:bottom w:w="55" w:type="dxa"/>
              <w:right w:w="55" w:type="dxa"/>
            </w:tcMar>
            <w:vAlign w:val="center"/>
          </w:tcPr>
          <w:p w14:paraId="3721D5A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12.40 (7), 0.088</w:t>
            </w:r>
          </w:p>
        </w:tc>
      </w:tr>
      <w:tr w14:paraId="773C68C1">
        <w:trPr>
          <w:trHeight w:val="193" w:hRule="atLeast"/>
          <w:jc w:val="center"/>
        </w:trPr>
        <w:tc>
          <w:tcPr>
            <w:tcW w:w="1733"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D17C44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Getting in/out of bed</w:t>
            </w:r>
          </w:p>
        </w:tc>
        <w:tc>
          <w:tcPr>
            <w:tcW w:w="1641"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EA0A8A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1.11 (1), 0.292</w:t>
            </w:r>
          </w:p>
        </w:tc>
        <w:tc>
          <w:tcPr>
            <w:tcW w:w="1624"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4907DD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11.64 (7), 0.113</w:t>
            </w:r>
          </w:p>
        </w:tc>
      </w:tr>
    </w:tbl>
    <w:p w14:paraId="0D67F56A">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r>
        <w:rPr>
          <w:rFonts w:hint="default" w:ascii="Times New Roman" w:hAnsi="Times New Roman" w:eastAsia="Times New Roman" w:cs="Times New Roman Regular"/>
          <w:b/>
          <w:bCs/>
          <w:color w:val="auto"/>
          <w:sz w:val="20"/>
          <w:szCs w:val="22"/>
          <w:lang w:val="en-US" w:eastAsia="zh-CN"/>
        </w:rPr>
        <w:br w:type="textWrapping"/>
      </w:r>
      <w:r>
        <w:rPr>
          <w:rFonts w:hint="default" w:ascii="Times New Roman" w:hAnsi="Times New Roman" w:eastAsia="Times New Roman" w:cs="Times New Roman Regular"/>
          <w:b w:val="0"/>
          <w:bCs w:val="0"/>
          <w:color w:val="auto"/>
          <w:sz w:val="20"/>
          <w:szCs w:val="22"/>
          <w:lang w:val="en-US" w:eastAsia="zh-CN"/>
        </w:rPr>
        <w:t>This table summarizes proportional hazards assumption checks for Cox models evaluating ferritin coefficient of variation (CV) in specific activities of daily living (ADL)-domain analyses. Reported statistics and P values are shown as specified in the table. These analyses were used to assess whether the proportional hazards assumption was reasonably satisfied for the domain-specific ferritin CV models. Extended supplementary tables that are too large for inclusion in the Supplementary Appendix are provided in Supplementary Data 1.</w:t>
      </w:r>
    </w:p>
    <w:p w14:paraId="54D7B35F">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BC61C8C">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BE5A2DA">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CED4AA6">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0B348D4">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C055E2F">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AED177B">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7C2329D">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92B82EF">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090C4C4">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EA6BA42">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CCD8C48">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2C2BA9E7">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38AA105D">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4D1C09BF">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48AB0D7B">
      <w:pPr>
        <w:pStyle w:val="2"/>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Supplementary Table S30. Phenotype detail for first severe ADL deterioration</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98"/>
        <w:gridCol w:w="3434"/>
        <w:gridCol w:w="3934"/>
      </w:tblGrid>
      <w:tr w14:paraId="0C3219B8">
        <w:trPr>
          <w:trHeight w:val="193" w:hRule="atLeast"/>
          <w:tblHeader/>
          <w:jc w:val="center"/>
        </w:trPr>
        <w:tc>
          <w:tcPr>
            <w:tcW w:w="2435" w:type="pct"/>
            <w:tcBorders>
              <w:top w:val="single" w:color="000000" w:sz="12" w:space="0"/>
              <w:left w:val="nil"/>
              <w:bottom w:val="single" w:color="000000" w:sz="4" w:space="0"/>
              <w:right w:val="nil"/>
              <w:tl2br w:val="nil"/>
            </w:tcBorders>
            <w:shd w:val="clear" w:color="auto" w:fill="EAF2F8"/>
            <w:tcMar>
              <w:top w:w="55" w:type="dxa"/>
              <w:left w:w="55" w:type="dxa"/>
              <w:bottom w:w="55" w:type="dxa"/>
              <w:right w:w="55" w:type="dxa"/>
            </w:tcMar>
            <w:vAlign w:val="center"/>
          </w:tcPr>
          <w:p w14:paraId="2B87EB71">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Variable</w:t>
            </w:r>
          </w:p>
        </w:tc>
        <w:tc>
          <w:tcPr>
            <w:tcW w:w="1195" w:type="pct"/>
            <w:tcBorders>
              <w:top w:val="single" w:color="000000" w:sz="12" w:space="0"/>
              <w:left w:val="nil"/>
              <w:bottom w:val="single" w:color="000000" w:sz="4" w:space="0"/>
              <w:right w:val="nil"/>
            </w:tcBorders>
            <w:shd w:val="clear" w:color="auto" w:fill="EAF2F8"/>
            <w:tcMar>
              <w:top w:w="55" w:type="dxa"/>
              <w:left w:w="55" w:type="dxa"/>
              <w:bottom w:w="55" w:type="dxa"/>
              <w:right w:w="55" w:type="dxa"/>
            </w:tcMar>
            <w:vAlign w:val="center"/>
          </w:tcPr>
          <w:p w14:paraId="38691E5B">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HR (95% CI)</w:t>
            </w:r>
          </w:p>
        </w:tc>
        <w:tc>
          <w:tcPr>
            <w:tcW w:w="1369" w:type="pct"/>
            <w:tcBorders>
              <w:top w:val="single" w:color="000000" w:sz="12" w:space="0"/>
              <w:left w:val="nil"/>
              <w:bottom w:val="single" w:color="000000" w:sz="4" w:space="0"/>
              <w:right w:val="nil"/>
            </w:tcBorders>
            <w:shd w:val="clear" w:color="auto" w:fill="EAF2F8"/>
            <w:tcMar>
              <w:top w:w="55" w:type="dxa"/>
              <w:left w:w="55" w:type="dxa"/>
              <w:bottom w:w="55" w:type="dxa"/>
              <w:right w:w="55" w:type="dxa"/>
            </w:tcMar>
            <w:vAlign w:val="center"/>
          </w:tcPr>
          <w:p w14:paraId="0BDC46EC">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2C7F0EEE">
        <w:trPr>
          <w:trHeight w:val="193" w:hRule="atLeast"/>
          <w:jc w:val="center"/>
        </w:trPr>
        <w:tc>
          <w:tcPr>
            <w:tcW w:w="2435" w:type="pct"/>
            <w:tcBorders>
              <w:top w:val="single" w:color="000000" w:sz="4" w:space="0"/>
              <w:left w:val="nil"/>
              <w:bottom w:val="nil"/>
              <w:right w:val="nil"/>
            </w:tcBorders>
            <w:shd w:val="clear" w:color="auto" w:fill="FFFFFF"/>
            <w:tcMar>
              <w:top w:w="55" w:type="dxa"/>
              <w:left w:w="55" w:type="dxa"/>
              <w:bottom w:w="55" w:type="dxa"/>
              <w:right w:w="55" w:type="dxa"/>
            </w:tcMar>
            <w:vAlign w:val="center"/>
          </w:tcPr>
          <w:p w14:paraId="1055796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High instability + Weak grip</w:t>
            </w:r>
          </w:p>
        </w:tc>
        <w:tc>
          <w:tcPr>
            <w:tcW w:w="1195" w:type="pct"/>
            <w:tcBorders>
              <w:top w:val="single" w:color="000000" w:sz="4" w:space="0"/>
              <w:left w:val="nil"/>
              <w:bottom w:val="nil"/>
              <w:right w:val="nil"/>
            </w:tcBorders>
            <w:shd w:val="clear" w:color="auto" w:fill="FFFFFF"/>
            <w:tcMar>
              <w:top w:w="55" w:type="dxa"/>
              <w:left w:w="55" w:type="dxa"/>
              <w:bottom w:w="55" w:type="dxa"/>
              <w:right w:w="55" w:type="dxa"/>
            </w:tcMar>
            <w:vAlign w:val="center"/>
          </w:tcPr>
          <w:p w14:paraId="3C7C500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2.94 (1.25, 6.91)</w:t>
            </w:r>
          </w:p>
        </w:tc>
        <w:tc>
          <w:tcPr>
            <w:tcW w:w="1369" w:type="pct"/>
            <w:tcBorders>
              <w:top w:val="single" w:color="000000" w:sz="4" w:space="0"/>
              <w:left w:val="nil"/>
              <w:bottom w:val="nil"/>
              <w:right w:val="nil"/>
            </w:tcBorders>
            <w:shd w:val="clear" w:color="auto" w:fill="FFFFFF"/>
            <w:tcMar>
              <w:top w:w="55" w:type="dxa"/>
              <w:left w:w="55" w:type="dxa"/>
              <w:bottom w:w="55" w:type="dxa"/>
              <w:right w:w="55" w:type="dxa"/>
            </w:tcMar>
            <w:vAlign w:val="center"/>
          </w:tcPr>
          <w:p w14:paraId="375600E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0.013</w:t>
            </w:r>
          </w:p>
        </w:tc>
      </w:tr>
      <w:tr w14:paraId="09D64033">
        <w:trPr>
          <w:trHeight w:val="193" w:hRule="atLeast"/>
          <w:jc w:val="center"/>
        </w:trPr>
        <w:tc>
          <w:tcPr>
            <w:tcW w:w="2435" w:type="pct"/>
            <w:tcBorders>
              <w:top w:val="nil"/>
              <w:left w:val="nil"/>
              <w:bottom w:val="nil"/>
              <w:right w:val="nil"/>
            </w:tcBorders>
            <w:shd w:val="clear" w:color="auto" w:fill="FFFFFF"/>
            <w:tcMar>
              <w:top w:w="55" w:type="dxa"/>
              <w:left w:w="55" w:type="dxa"/>
              <w:bottom w:w="55" w:type="dxa"/>
              <w:right w:w="55" w:type="dxa"/>
            </w:tcMar>
            <w:vAlign w:val="center"/>
          </w:tcPr>
          <w:p w14:paraId="3D3ED94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Low instability + Strong grip</w:t>
            </w:r>
          </w:p>
        </w:tc>
        <w:tc>
          <w:tcPr>
            <w:tcW w:w="1195" w:type="pct"/>
            <w:tcBorders>
              <w:top w:val="nil"/>
              <w:left w:val="nil"/>
              <w:bottom w:val="nil"/>
              <w:right w:val="nil"/>
            </w:tcBorders>
            <w:shd w:val="clear" w:color="auto" w:fill="FFFFFF"/>
            <w:tcMar>
              <w:top w:w="55" w:type="dxa"/>
              <w:left w:w="55" w:type="dxa"/>
              <w:bottom w:w="55" w:type="dxa"/>
              <w:right w:w="55" w:type="dxa"/>
            </w:tcMar>
            <w:vAlign w:val="center"/>
          </w:tcPr>
          <w:p w14:paraId="2918DF1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0.89 (0.37, 2.12)</w:t>
            </w:r>
          </w:p>
        </w:tc>
        <w:tc>
          <w:tcPr>
            <w:tcW w:w="1369" w:type="pct"/>
            <w:tcBorders>
              <w:top w:val="nil"/>
              <w:left w:val="nil"/>
              <w:bottom w:val="nil"/>
              <w:right w:val="nil"/>
            </w:tcBorders>
            <w:shd w:val="clear" w:color="auto" w:fill="FFFFFF"/>
            <w:tcMar>
              <w:top w:w="55" w:type="dxa"/>
              <w:left w:w="55" w:type="dxa"/>
              <w:bottom w:w="55" w:type="dxa"/>
              <w:right w:w="55" w:type="dxa"/>
            </w:tcMar>
            <w:vAlign w:val="center"/>
          </w:tcPr>
          <w:p w14:paraId="6DB6636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0.785</w:t>
            </w:r>
          </w:p>
        </w:tc>
      </w:tr>
      <w:tr w14:paraId="134C8A13">
        <w:trPr>
          <w:trHeight w:val="193" w:hRule="atLeast"/>
          <w:jc w:val="center"/>
        </w:trPr>
        <w:tc>
          <w:tcPr>
            <w:tcW w:w="2435" w:type="pct"/>
            <w:tcBorders>
              <w:top w:val="nil"/>
              <w:left w:val="nil"/>
              <w:bottom w:val="nil"/>
              <w:right w:val="nil"/>
            </w:tcBorders>
            <w:shd w:val="clear" w:color="auto" w:fill="FFFFFF"/>
            <w:tcMar>
              <w:top w:w="55" w:type="dxa"/>
              <w:left w:w="55" w:type="dxa"/>
              <w:bottom w:w="55" w:type="dxa"/>
              <w:right w:w="55" w:type="dxa"/>
            </w:tcMar>
            <w:vAlign w:val="center"/>
          </w:tcPr>
          <w:p w14:paraId="09F5555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Low instability + Weak grip</w:t>
            </w:r>
          </w:p>
        </w:tc>
        <w:tc>
          <w:tcPr>
            <w:tcW w:w="1195" w:type="pct"/>
            <w:tcBorders>
              <w:top w:val="nil"/>
              <w:left w:val="nil"/>
              <w:bottom w:val="nil"/>
              <w:right w:val="nil"/>
            </w:tcBorders>
            <w:shd w:val="clear" w:color="auto" w:fill="FFFFFF"/>
            <w:tcMar>
              <w:top w:w="55" w:type="dxa"/>
              <w:left w:w="55" w:type="dxa"/>
              <w:bottom w:w="55" w:type="dxa"/>
              <w:right w:w="55" w:type="dxa"/>
            </w:tcMar>
            <w:vAlign w:val="center"/>
          </w:tcPr>
          <w:p w14:paraId="30DC1EF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1.73 (0.68, 4.45)</w:t>
            </w:r>
          </w:p>
        </w:tc>
        <w:tc>
          <w:tcPr>
            <w:tcW w:w="1369" w:type="pct"/>
            <w:tcBorders>
              <w:top w:val="nil"/>
              <w:left w:val="nil"/>
              <w:bottom w:val="nil"/>
              <w:right w:val="nil"/>
            </w:tcBorders>
            <w:shd w:val="clear" w:color="auto" w:fill="FFFFFF"/>
            <w:tcMar>
              <w:top w:w="55" w:type="dxa"/>
              <w:left w:w="55" w:type="dxa"/>
              <w:bottom w:w="55" w:type="dxa"/>
              <w:right w:w="55" w:type="dxa"/>
            </w:tcMar>
            <w:vAlign w:val="center"/>
          </w:tcPr>
          <w:p w14:paraId="072FE53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0.253</w:t>
            </w:r>
          </w:p>
        </w:tc>
      </w:tr>
      <w:tr w14:paraId="3761819A">
        <w:trPr>
          <w:trHeight w:val="193" w:hRule="atLeast"/>
          <w:jc w:val="center"/>
        </w:trPr>
        <w:tc>
          <w:tcPr>
            <w:tcW w:w="2435" w:type="pct"/>
            <w:tcBorders>
              <w:top w:val="nil"/>
              <w:left w:val="nil"/>
              <w:bottom w:val="nil"/>
              <w:right w:val="nil"/>
            </w:tcBorders>
            <w:shd w:val="clear" w:color="auto" w:fill="FFFFFF"/>
            <w:tcMar>
              <w:top w:w="55" w:type="dxa"/>
              <w:left w:w="55" w:type="dxa"/>
              <w:bottom w:w="55" w:type="dxa"/>
              <w:right w:w="55" w:type="dxa"/>
            </w:tcMar>
            <w:vAlign w:val="center"/>
          </w:tcPr>
          <w:p w14:paraId="17DB5AD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Baseline age</w:t>
            </w:r>
          </w:p>
        </w:tc>
        <w:tc>
          <w:tcPr>
            <w:tcW w:w="1195" w:type="pct"/>
            <w:tcBorders>
              <w:top w:val="nil"/>
              <w:left w:val="nil"/>
              <w:bottom w:val="nil"/>
              <w:right w:val="nil"/>
            </w:tcBorders>
            <w:shd w:val="clear" w:color="auto" w:fill="FFFFFF"/>
            <w:tcMar>
              <w:top w:w="55" w:type="dxa"/>
              <w:left w:w="55" w:type="dxa"/>
              <w:bottom w:w="55" w:type="dxa"/>
              <w:right w:w="55" w:type="dxa"/>
            </w:tcMar>
            <w:vAlign w:val="center"/>
          </w:tcPr>
          <w:p w14:paraId="0AEAC7C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1.07 (1.03, 1.12)</w:t>
            </w:r>
          </w:p>
        </w:tc>
        <w:tc>
          <w:tcPr>
            <w:tcW w:w="1369" w:type="pct"/>
            <w:tcBorders>
              <w:top w:val="nil"/>
              <w:left w:val="nil"/>
              <w:bottom w:val="nil"/>
              <w:right w:val="nil"/>
            </w:tcBorders>
            <w:shd w:val="clear" w:color="auto" w:fill="FFFFFF"/>
            <w:tcMar>
              <w:top w:w="55" w:type="dxa"/>
              <w:left w:w="55" w:type="dxa"/>
              <w:bottom w:w="55" w:type="dxa"/>
              <w:right w:w="55" w:type="dxa"/>
            </w:tcMar>
            <w:vAlign w:val="center"/>
          </w:tcPr>
          <w:p w14:paraId="56D949F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&lt;0.001</w:t>
            </w:r>
          </w:p>
        </w:tc>
      </w:tr>
      <w:tr w14:paraId="29DEA3FB">
        <w:trPr>
          <w:trHeight w:val="193" w:hRule="atLeast"/>
          <w:jc w:val="center"/>
        </w:trPr>
        <w:tc>
          <w:tcPr>
            <w:tcW w:w="2435" w:type="pct"/>
            <w:tcBorders>
              <w:top w:val="nil"/>
              <w:left w:val="nil"/>
              <w:bottom w:val="nil"/>
              <w:right w:val="nil"/>
            </w:tcBorders>
            <w:shd w:val="clear" w:color="auto" w:fill="FFFFFF"/>
            <w:tcMar>
              <w:top w:w="55" w:type="dxa"/>
              <w:left w:w="55" w:type="dxa"/>
              <w:bottom w:w="55" w:type="dxa"/>
              <w:right w:w="55" w:type="dxa"/>
            </w:tcMar>
            <w:vAlign w:val="center"/>
          </w:tcPr>
          <w:p w14:paraId="50361B6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Female sex</w:t>
            </w:r>
          </w:p>
        </w:tc>
        <w:tc>
          <w:tcPr>
            <w:tcW w:w="1195" w:type="pct"/>
            <w:tcBorders>
              <w:top w:val="nil"/>
              <w:left w:val="nil"/>
              <w:bottom w:val="nil"/>
              <w:right w:val="nil"/>
            </w:tcBorders>
            <w:shd w:val="clear" w:color="auto" w:fill="FFFFFF"/>
            <w:tcMar>
              <w:top w:w="55" w:type="dxa"/>
              <w:left w:w="55" w:type="dxa"/>
              <w:bottom w:w="55" w:type="dxa"/>
              <w:right w:w="55" w:type="dxa"/>
            </w:tcMar>
            <w:vAlign w:val="center"/>
          </w:tcPr>
          <w:p w14:paraId="25397BF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0.68 (0.31, 1.46)</w:t>
            </w:r>
          </w:p>
        </w:tc>
        <w:tc>
          <w:tcPr>
            <w:tcW w:w="1369" w:type="pct"/>
            <w:tcBorders>
              <w:top w:val="nil"/>
              <w:left w:val="nil"/>
              <w:bottom w:val="nil"/>
              <w:right w:val="nil"/>
            </w:tcBorders>
            <w:shd w:val="clear" w:color="auto" w:fill="FFFFFF"/>
            <w:tcMar>
              <w:top w:w="55" w:type="dxa"/>
              <w:left w:w="55" w:type="dxa"/>
              <w:bottom w:w="55" w:type="dxa"/>
              <w:right w:w="55" w:type="dxa"/>
            </w:tcMar>
            <w:vAlign w:val="center"/>
          </w:tcPr>
          <w:p w14:paraId="6BBB42F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0.321</w:t>
            </w:r>
          </w:p>
        </w:tc>
      </w:tr>
      <w:tr w14:paraId="0610532F">
        <w:trPr>
          <w:trHeight w:val="193" w:hRule="atLeast"/>
          <w:jc w:val="center"/>
        </w:trPr>
        <w:tc>
          <w:tcPr>
            <w:tcW w:w="2435" w:type="pct"/>
            <w:tcBorders>
              <w:top w:val="nil"/>
              <w:left w:val="nil"/>
              <w:bottom w:val="nil"/>
              <w:right w:val="nil"/>
            </w:tcBorders>
            <w:shd w:val="clear" w:color="auto" w:fill="FFFFFF"/>
            <w:tcMar>
              <w:top w:w="55" w:type="dxa"/>
              <w:left w:w="55" w:type="dxa"/>
              <w:bottom w:w="55" w:type="dxa"/>
              <w:right w:w="55" w:type="dxa"/>
            </w:tcMar>
            <w:vAlign w:val="center"/>
          </w:tcPr>
          <w:p w14:paraId="3FFD656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Current smoking</w:t>
            </w:r>
          </w:p>
        </w:tc>
        <w:tc>
          <w:tcPr>
            <w:tcW w:w="1195" w:type="pct"/>
            <w:tcBorders>
              <w:top w:val="nil"/>
              <w:left w:val="nil"/>
              <w:bottom w:val="nil"/>
              <w:right w:val="nil"/>
            </w:tcBorders>
            <w:shd w:val="clear" w:color="auto" w:fill="FFFFFF"/>
            <w:tcMar>
              <w:top w:w="55" w:type="dxa"/>
              <w:left w:w="55" w:type="dxa"/>
              <w:bottom w:w="55" w:type="dxa"/>
              <w:right w:w="55" w:type="dxa"/>
            </w:tcMar>
            <w:vAlign w:val="center"/>
          </w:tcPr>
          <w:p w14:paraId="2D3CC70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1.47 (0.82, 2.65)</w:t>
            </w:r>
          </w:p>
        </w:tc>
        <w:tc>
          <w:tcPr>
            <w:tcW w:w="1369" w:type="pct"/>
            <w:tcBorders>
              <w:top w:val="nil"/>
              <w:left w:val="nil"/>
              <w:bottom w:val="nil"/>
              <w:right w:val="nil"/>
            </w:tcBorders>
            <w:shd w:val="clear" w:color="auto" w:fill="FFFFFF"/>
            <w:tcMar>
              <w:top w:w="55" w:type="dxa"/>
              <w:left w:w="55" w:type="dxa"/>
              <w:bottom w:w="55" w:type="dxa"/>
              <w:right w:w="55" w:type="dxa"/>
            </w:tcMar>
            <w:vAlign w:val="center"/>
          </w:tcPr>
          <w:p w14:paraId="28C2A5F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0.198</w:t>
            </w:r>
          </w:p>
        </w:tc>
      </w:tr>
      <w:tr w14:paraId="03BBC307">
        <w:trPr>
          <w:trHeight w:val="193" w:hRule="atLeast"/>
          <w:jc w:val="center"/>
        </w:trPr>
        <w:tc>
          <w:tcPr>
            <w:tcW w:w="2435" w:type="pct"/>
            <w:tcBorders>
              <w:top w:val="nil"/>
              <w:left w:val="nil"/>
              <w:bottom w:val="nil"/>
              <w:right w:val="nil"/>
            </w:tcBorders>
            <w:shd w:val="clear" w:color="auto" w:fill="FFFFFF"/>
            <w:tcMar>
              <w:top w:w="55" w:type="dxa"/>
              <w:left w:w="55" w:type="dxa"/>
              <w:bottom w:w="55" w:type="dxa"/>
              <w:right w:w="55" w:type="dxa"/>
            </w:tcMar>
            <w:vAlign w:val="center"/>
          </w:tcPr>
          <w:p w14:paraId="3654ECF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Body mass index (BMI)</w:t>
            </w:r>
          </w:p>
        </w:tc>
        <w:tc>
          <w:tcPr>
            <w:tcW w:w="1195" w:type="pct"/>
            <w:tcBorders>
              <w:top w:val="nil"/>
              <w:left w:val="nil"/>
              <w:bottom w:val="nil"/>
              <w:right w:val="nil"/>
            </w:tcBorders>
            <w:shd w:val="clear" w:color="auto" w:fill="FFFFFF"/>
            <w:tcMar>
              <w:top w:w="55" w:type="dxa"/>
              <w:left w:w="55" w:type="dxa"/>
              <w:bottom w:w="55" w:type="dxa"/>
              <w:right w:w="55" w:type="dxa"/>
            </w:tcMar>
            <w:vAlign w:val="center"/>
          </w:tcPr>
          <w:p w14:paraId="34F4F3B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1.07 (1.02, 1.14)</w:t>
            </w:r>
          </w:p>
        </w:tc>
        <w:tc>
          <w:tcPr>
            <w:tcW w:w="1369" w:type="pct"/>
            <w:tcBorders>
              <w:top w:val="nil"/>
              <w:left w:val="nil"/>
              <w:bottom w:val="nil"/>
              <w:right w:val="nil"/>
            </w:tcBorders>
            <w:shd w:val="clear" w:color="auto" w:fill="FFFFFF"/>
            <w:tcMar>
              <w:top w:w="55" w:type="dxa"/>
              <w:left w:w="55" w:type="dxa"/>
              <w:bottom w:w="55" w:type="dxa"/>
              <w:right w:w="55" w:type="dxa"/>
            </w:tcMar>
            <w:vAlign w:val="center"/>
          </w:tcPr>
          <w:p w14:paraId="5CF6DF4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0.014</w:t>
            </w:r>
          </w:p>
        </w:tc>
      </w:tr>
      <w:tr w14:paraId="1C67E189">
        <w:trPr>
          <w:trHeight w:val="193" w:hRule="atLeast"/>
          <w:jc w:val="center"/>
        </w:trPr>
        <w:tc>
          <w:tcPr>
            <w:tcW w:w="2435" w:type="pct"/>
            <w:tcBorders>
              <w:top w:val="nil"/>
              <w:left w:val="nil"/>
              <w:bottom w:val="nil"/>
              <w:right w:val="nil"/>
            </w:tcBorders>
            <w:shd w:val="clear" w:color="auto" w:fill="FFFFFF"/>
            <w:tcMar>
              <w:top w:w="55" w:type="dxa"/>
              <w:left w:w="55" w:type="dxa"/>
              <w:bottom w:w="55" w:type="dxa"/>
              <w:right w:w="55" w:type="dxa"/>
            </w:tcMar>
            <w:vAlign w:val="center"/>
          </w:tcPr>
          <w:p w14:paraId="624E4D7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log(C-reactive protein)</w:t>
            </w:r>
          </w:p>
        </w:tc>
        <w:tc>
          <w:tcPr>
            <w:tcW w:w="1195" w:type="pct"/>
            <w:tcBorders>
              <w:top w:val="nil"/>
              <w:left w:val="nil"/>
              <w:bottom w:val="nil"/>
              <w:right w:val="nil"/>
            </w:tcBorders>
            <w:shd w:val="clear" w:color="auto" w:fill="FFFFFF"/>
            <w:tcMar>
              <w:top w:w="55" w:type="dxa"/>
              <w:left w:w="55" w:type="dxa"/>
              <w:bottom w:w="55" w:type="dxa"/>
              <w:right w:w="55" w:type="dxa"/>
            </w:tcMar>
            <w:vAlign w:val="center"/>
          </w:tcPr>
          <w:p w14:paraId="537B4B4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1.24 (1.01, 1.52)</w:t>
            </w:r>
          </w:p>
        </w:tc>
        <w:tc>
          <w:tcPr>
            <w:tcW w:w="1369" w:type="pct"/>
            <w:tcBorders>
              <w:top w:val="nil"/>
              <w:left w:val="nil"/>
              <w:bottom w:val="nil"/>
              <w:right w:val="nil"/>
            </w:tcBorders>
            <w:shd w:val="clear" w:color="auto" w:fill="FFFFFF"/>
            <w:tcMar>
              <w:top w:w="55" w:type="dxa"/>
              <w:left w:w="55" w:type="dxa"/>
              <w:bottom w:w="55" w:type="dxa"/>
              <w:right w:w="55" w:type="dxa"/>
            </w:tcMar>
            <w:vAlign w:val="center"/>
          </w:tcPr>
          <w:p w14:paraId="1F6F69C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0.042</w:t>
            </w:r>
          </w:p>
        </w:tc>
      </w:tr>
      <w:tr w14:paraId="73D2C98A">
        <w:trPr>
          <w:trHeight w:val="193" w:hRule="atLeast"/>
          <w:jc w:val="center"/>
        </w:trPr>
        <w:tc>
          <w:tcPr>
            <w:tcW w:w="2435"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01C758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Baseline hemoglobin</w:t>
            </w:r>
          </w:p>
        </w:tc>
        <w:tc>
          <w:tcPr>
            <w:tcW w:w="1195"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14C38E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1.00 (0.79, 1.25)</w:t>
            </w:r>
          </w:p>
        </w:tc>
        <w:tc>
          <w:tcPr>
            <w:tcW w:w="136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48119E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0.963</w:t>
            </w:r>
          </w:p>
        </w:tc>
      </w:tr>
    </w:tbl>
    <w:p w14:paraId="573D77BD">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r>
        <w:rPr>
          <w:rFonts w:hint="default" w:ascii="Times New Roman" w:hAnsi="Times New Roman" w:eastAsia="Times New Roman" w:cs="Times New Roman Regular"/>
          <w:b/>
          <w:bCs/>
          <w:color w:val="auto"/>
          <w:sz w:val="20"/>
          <w:szCs w:val="22"/>
          <w:lang w:val="en-US" w:eastAsia="zh-CN"/>
        </w:rPr>
        <w:br w:type="textWrapping"/>
      </w:r>
      <w:r>
        <w:rPr>
          <w:rFonts w:hint="default" w:ascii="Times New Roman" w:hAnsi="Times New Roman" w:eastAsia="Times New Roman" w:cs="Times New Roman Regular"/>
          <w:b w:val="0"/>
          <w:bCs w:val="0"/>
          <w:color w:val="auto"/>
          <w:sz w:val="20"/>
          <w:szCs w:val="22"/>
          <w:lang w:val="en-US" w:eastAsia="zh-CN"/>
        </w:rPr>
        <w:t>Hazard ratios (HRs), 95% confidence intervals (CIs), and P values are shown from Cox proportional hazards models examining first severe activities of daily living deterioration (severe ADL deterioration) according to iron–muscle phenotype categories. Phenotype groups were defined by the combination of ferritin instability and grip-strength status, as specified in the table. Models were adjusted for baseline age, sex, smoking status, body mass index (BMI), log-transformed C-reactive protein (CRP), and baseline hemoglobin (Hb). These analyses were used to further characterize joint phenotype-related risk patterns underlying the extension to functional deterioration.</w:t>
      </w:r>
    </w:p>
    <w:p w14:paraId="2D23A891">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62BD0DD">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F535C91">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016EEB4">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E8E58AF">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5F6762E">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3749037">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28A22AB">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8FF9CEC">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3EDAC15">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F8A7B0B">
      <w:pPr>
        <w:spacing w:before="0" w:after="0" w:line="240" w:lineRule="auto"/>
        <w:rPr>
          <w:rFonts w:hint="default" w:ascii="Times New Roman Regular" w:hAnsi="Times New Roman Regular" w:cs="Times New Roman Regular"/>
          <w:b/>
          <w:bCs/>
          <w:color w:val="auto"/>
          <w:sz w:val="22"/>
          <w:szCs w:val="22"/>
          <w:highlight w:val="none"/>
          <w:lang w:val="en-US" w:eastAsia="zh-CN"/>
        </w:rPr>
      </w:pPr>
      <w:r>
        <w:rPr>
          <w:rFonts w:hint="default" w:ascii="Times New Roman Regular" w:hAnsi="Times New Roman Regular" w:cs="Times New Roman Regular"/>
          <w:b/>
          <w:bCs/>
          <w:color w:val="auto"/>
          <w:sz w:val="22"/>
          <w:szCs w:val="22"/>
          <w:highlight w:val="none"/>
          <w:lang w:val="en-US" w:eastAsia="zh-CN"/>
        </w:rPr>
        <w:br w:type="page"/>
      </w:r>
    </w:p>
    <w:p w14:paraId="79F2B6FE">
      <w:pPr>
        <w:pStyle w:val="2"/>
        <w:keepNext/>
        <w:spacing w:before="0" w:after="120" w:line="240" w:lineRule="auto"/>
        <w:jc w:val="both"/>
        <w:rPr>
          <w:rFonts w:hint="default" w:ascii="Times New Roman Regular" w:hAnsi="Times New Roman Regular" w:cs="Times New Roman Regular"/>
          <w:b/>
          <w:bCs/>
          <w:color w:val="auto"/>
          <w:sz w:val="22"/>
          <w:szCs w:val="22"/>
          <w:highlight w:val="none"/>
          <w:lang w:val="en-US" w:eastAsia="zh-CN"/>
        </w:rPr>
      </w:pPr>
      <w:r>
        <w:rPr>
          <w:rFonts w:hint="default" w:ascii="Times New Roman" w:hAnsi="Times New Roman" w:eastAsia="Times New Roman" w:cs="Times New Roman Regular"/>
          <w:b/>
          <w:bCs/>
          <w:color w:val="auto"/>
          <w:sz w:val="20"/>
          <w:szCs w:val="22"/>
          <w:highlight w:val="none"/>
          <w:lang w:val="en-US" w:eastAsia="zh-CN"/>
        </w:rPr>
        <w:t>Supplementary Table S31. Proportional hazards assumption checks for first severe ADL deterioration models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24"/>
        <w:gridCol w:w="5519"/>
        <w:gridCol w:w="4323"/>
      </w:tblGrid>
      <w:tr w14:paraId="15629702">
        <w:trPr>
          <w:trHeight w:val="193" w:hRule="atLeast"/>
          <w:tblHeader/>
          <w:jc w:val="center"/>
        </w:trPr>
        <w:tc>
          <w:tcPr>
            <w:tcW w:w="1574"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A15FBEB">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Model</w:t>
            </w:r>
          </w:p>
        </w:tc>
        <w:tc>
          <w:tcPr>
            <w:tcW w:w="192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F2D48E0">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Exposure term test: χ² (df), P value</w:t>
            </w:r>
          </w:p>
        </w:tc>
        <w:tc>
          <w:tcPr>
            <w:tcW w:w="1504"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D9C80DD">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Global test: χ² (df), P value</w:t>
            </w:r>
          </w:p>
        </w:tc>
      </w:tr>
      <w:tr w14:paraId="5F4CF167">
        <w:trPr>
          <w:trHeight w:val="193" w:hRule="atLeast"/>
          <w:jc w:val="center"/>
        </w:trPr>
        <w:tc>
          <w:tcPr>
            <w:tcW w:w="1574"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528477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92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62BD7C2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0.01 (1), 0.913</w:t>
            </w:r>
          </w:p>
        </w:tc>
        <w:tc>
          <w:tcPr>
            <w:tcW w:w="1504"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6F6BD04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4.83 (7), 0.680</w:t>
            </w:r>
          </w:p>
        </w:tc>
      </w:tr>
      <w:tr w14:paraId="57868E39">
        <w:trPr>
          <w:trHeight w:val="193" w:hRule="atLeast"/>
          <w:jc w:val="center"/>
        </w:trPr>
        <w:tc>
          <w:tcPr>
            <w:tcW w:w="1574" w:type="pct"/>
            <w:tcBorders>
              <w:top w:val="nil"/>
              <w:left w:val="nil"/>
              <w:bottom w:val="nil"/>
              <w:right w:val="nil"/>
            </w:tcBorders>
            <w:shd w:val="clear" w:color="auto" w:fill="FFFFFF"/>
            <w:tcMar>
              <w:top w:w="55" w:type="dxa"/>
              <w:left w:w="55" w:type="dxa"/>
              <w:bottom w:w="55" w:type="dxa"/>
              <w:right w:w="55" w:type="dxa"/>
            </w:tcMar>
            <w:vAlign w:val="center"/>
          </w:tcPr>
          <w:p w14:paraId="788222D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slope</w:t>
            </w:r>
          </w:p>
        </w:tc>
        <w:tc>
          <w:tcPr>
            <w:tcW w:w="1920" w:type="pct"/>
            <w:tcBorders>
              <w:top w:val="nil"/>
              <w:left w:val="nil"/>
              <w:bottom w:val="nil"/>
              <w:right w:val="nil"/>
            </w:tcBorders>
            <w:shd w:val="clear" w:color="auto" w:fill="FFFFFF"/>
            <w:tcMar>
              <w:top w:w="55" w:type="dxa"/>
              <w:left w:w="55" w:type="dxa"/>
              <w:bottom w:w="55" w:type="dxa"/>
              <w:right w:w="55" w:type="dxa"/>
            </w:tcMar>
            <w:vAlign w:val="center"/>
          </w:tcPr>
          <w:p w14:paraId="16B42D1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1.06 (1), 0.302</w:t>
            </w:r>
          </w:p>
        </w:tc>
        <w:tc>
          <w:tcPr>
            <w:tcW w:w="1504" w:type="pct"/>
            <w:tcBorders>
              <w:top w:val="nil"/>
              <w:left w:val="nil"/>
              <w:bottom w:val="nil"/>
              <w:right w:val="nil"/>
            </w:tcBorders>
            <w:shd w:val="clear" w:color="auto" w:fill="FFFFFF"/>
            <w:tcMar>
              <w:top w:w="55" w:type="dxa"/>
              <w:left w:w="55" w:type="dxa"/>
              <w:bottom w:w="55" w:type="dxa"/>
              <w:right w:w="55" w:type="dxa"/>
            </w:tcMar>
            <w:vAlign w:val="center"/>
          </w:tcPr>
          <w:p w14:paraId="16DD830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5.98 (7), 0.542</w:t>
            </w:r>
          </w:p>
        </w:tc>
      </w:tr>
      <w:tr w14:paraId="6A40B98E">
        <w:trPr>
          <w:trHeight w:val="193" w:hRule="atLeast"/>
          <w:jc w:val="center"/>
        </w:trPr>
        <w:tc>
          <w:tcPr>
            <w:tcW w:w="1574" w:type="pct"/>
            <w:tcBorders>
              <w:top w:val="nil"/>
              <w:left w:val="nil"/>
              <w:bottom w:val="nil"/>
              <w:right w:val="nil"/>
            </w:tcBorders>
            <w:shd w:val="clear" w:color="auto" w:fill="FFFFFF"/>
            <w:tcMar>
              <w:top w:w="55" w:type="dxa"/>
              <w:left w:w="55" w:type="dxa"/>
              <w:bottom w:w="55" w:type="dxa"/>
              <w:right w:w="55" w:type="dxa"/>
            </w:tcMar>
            <w:vAlign w:val="center"/>
          </w:tcPr>
          <w:p w14:paraId="05D4570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Low ferritin exposure count</w:t>
            </w:r>
          </w:p>
        </w:tc>
        <w:tc>
          <w:tcPr>
            <w:tcW w:w="1920" w:type="pct"/>
            <w:tcBorders>
              <w:top w:val="nil"/>
              <w:left w:val="nil"/>
              <w:bottom w:val="nil"/>
              <w:right w:val="nil"/>
            </w:tcBorders>
            <w:shd w:val="clear" w:color="auto" w:fill="FFFFFF"/>
            <w:tcMar>
              <w:top w:w="55" w:type="dxa"/>
              <w:left w:w="55" w:type="dxa"/>
              <w:bottom w:w="55" w:type="dxa"/>
              <w:right w:w="55" w:type="dxa"/>
            </w:tcMar>
            <w:vAlign w:val="center"/>
          </w:tcPr>
          <w:p w14:paraId="49495A5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0.24 (1), 0.627</w:t>
            </w:r>
          </w:p>
        </w:tc>
        <w:tc>
          <w:tcPr>
            <w:tcW w:w="1504" w:type="pct"/>
            <w:tcBorders>
              <w:top w:val="nil"/>
              <w:left w:val="nil"/>
              <w:bottom w:val="nil"/>
              <w:right w:val="nil"/>
            </w:tcBorders>
            <w:shd w:val="clear" w:color="auto" w:fill="FFFFFF"/>
            <w:tcMar>
              <w:top w:w="55" w:type="dxa"/>
              <w:left w:w="55" w:type="dxa"/>
              <w:bottom w:w="55" w:type="dxa"/>
              <w:right w:w="55" w:type="dxa"/>
            </w:tcMar>
            <w:vAlign w:val="center"/>
          </w:tcPr>
          <w:p w14:paraId="5AD2343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2.32 (7), 0.940</w:t>
            </w:r>
          </w:p>
        </w:tc>
      </w:tr>
      <w:tr w14:paraId="24795602">
        <w:trPr>
          <w:trHeight w:val="193" w:hRule="atLeast"/>
          <w:jc w:val="center"/>
        </w:trPr>
        <w:tc>
          <w:tcPr>
            <w:tcW w:w="1574" w:type="pct"/>
            <w:tcBorders>
              <w:top w:val="nil"/>
              <w:left w:val="nil"/>
              <w:bottom w:val="nil"/>
              <w:right w:val="nil"/>
            </w:tcBorders>
            <w:shd w:val="clear" w:color="auto" w:fill="FFFFFF"/>
            <w:tcMar>
              <w:top w:w="55" w:type="dxa"/>
              <w:left w:w="55" w:type="dxa"/>
              <w:bottom w:w="55" w:type="dxa"/>
              <w:right w:w="55" w:type="dxa"/>
            </w:tcMar>
            <w:vAlign w:val="center"/>
          </w:tcPr>
          <w:p w14:paraId="3683F25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Iron fragility index</w:t>
            </w:r>
          </w:p>
        </w:tc>
        <w:tc>
          <w:tcPr>
            <w:tcW w:w="1920" w:type="pct"/>
            <w:tcBorders>
              <w:top w:val="nil"/>
              <w:left w:val="nil"/>
              <w:bottom w:val="nil"/>
              <w:right w:val="nil"/>
            </w:tcBorders>
            <w:shd w:val="clear" w:color="auto" w:fill="FFFFFF"/>
            <w:tcMar>
              <w:top w:w="55" w:type="dxa"/>
              <w:left w:w="55" w:type="dxa"/>
              <w:bottom w:w="55" w:type="dxa"/>
              <w:right w:w="55" w:type="dxa"/>
            </w:tcMar>
            <w:vAlign w:val="center"/>
          </w:tcPr>
          <w:p w14:paraId="7045557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0.67 (1), 0.413</w:t>
            </w:r>
          </w:p>
        </w:tc>
        <w:tc>
          <w:tcPr>
            <w:tcW w:w="1504" w:type="pct"/>
            <w:tcBorders>
              <w:top w:val="nil"/>
              <w:left w:val="nil"/>
              <w:bottom w:val="nil"/>
              <w:right w:val="nil"/>
            </w:tcBorders>
            <w:shd w:val="clear" w:color="auto" w:fill="FFFFFF"/>
            <w:tcMar>
              <w:top w:w="55" w:type="dxa"/>
              <w:left w:w="55" w:type="dxa"/>
              <w:bottom w:w="55" w:type="dxa"/>
              <w:right w:w="55" w:type="dxa"/>
            </w:tcMar>
            <w:vAlign w:val="center"/>
          </w:tcPr>
          <w:p w14:paraId="6B2D68A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5.48 (7), 0.602</w:t>
            </w:r>
          </w:p>
        </w:tc>
      </w:tr>
      <w:tr w14:paraId="071FA5B5">
        <w:trPr>
          <w:trHeight w:val="193" w:hRule="atLeast"/>
          <w:jc w:val="center"/>
        </w:trPr>
        <w:tc>
          <w:tcPr>
            <w:tcW w:w="1574"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3A77ED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Iron–muscle phenotype</w:t>
            </w:r>
          </w:p>
        </w:tc>
        <w:tc>
          <w:tcPr>
            <w:tcW w:w="192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C67FD7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2.50 (3), 0.476</w:t>
            </w:r>
          </w:p>
        </w:tc>
        <w:tc>
          <w:tcPr>
            <w:tcW w:w="1504"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53D06A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6.31 (9), 0.708</w:t>
            </w:r>
          </w:p>
        </w:tc>
      </w:tr>
    </w:tbl>
    <w:p w14:paraId="29A23BB3">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r>
        <w:rPr>
          <w:rFonts w:hint="default" w:ascii="Times New Roman" w:hAnsi="Times New Roman" w:eastAsia="Times New Roman" w:cs="Times New Roman Regular"/>
          <w:b/>
          <w:bCs/>
          <w:color w:val="auto"/>
          <w:sz w:val="20"/>
          <w:szCs w:val="22"/>
          <w:lang w:val="en-US" w:eastAsia="zh-CN"/>
        </w:rPr>
        <w:br w:type="textWrapping"/>
      </w:r>
      <w:r>
        <w:rPr>
          <w:rFonts w:hint="default" w:ascii="Times New Roman" w:hAnsi="Times New Roman" w:eastAsia="Times New Roman" w:cs="Times New Roman Regular"/>
          <w:b w:val="0"/>
          <w:bCs w:val="0"/>
          <w:color w:val="auto"/>
          <w:sz w:val="20"/>
          <w:szCs w:val="22"/>
          <w:lang w:val="en-US" w:eastAsia="zh-CN"/>
        </w:rPr>
        <w:t>This table summarizes proportional hazards assumption checks for Cox proportional hazards models evaluating first severe activities of daily living deterioration (severe ADL deterioration). Reported statistics and P values are shown as specified in the table. These checks were used to assess whether the proportional hazards assumption was reasonably satisfied in the primary severe ADL deterioration models. Extended supplementary tables that are too large for inclusion in the Supplementary Appendix are provided in Supplementary Data 1.</w:t>
      </w:r>
    </w:p>
    <w:p w14:paraId="020CCAC2">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3E033DE">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98E945E">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9341100">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6D483CC">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3A26310C">
      <w:pPr>
        <w:pStyle w:val="2"/>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Supplementary Table S32. Time-varying associations of current ferritin-related measures with concurrent FEV₁</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202"/>
        <w:gridCol w:w="3604"/>
        <w:gridCol w:w="1560"/>
      </w:tblGrid>
      <w:tr w14:paraId="031431F9">
        <w:trPr>
          <w:trHeight w:val="193" w:hRule="atLeast"/>
          <w:tblHeader/>
          <w:jc w:val="center"/>
        </w:trPr>
        <w:tc>
          <w:tcPr>
            <w:tcW w:w="3202"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87C325B">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Exposure</w:t>
            </w:r>
          </w:p>
        </w:tc>
        <w:tc>
          <w:tcPr>
            <w:tcW w:w="1254"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7B1FFAE">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β (95% CI)</w:t>
            </w:r>
          </w:p>
        </w:tc>
        <w:tc>
          <w:tcPr>
            <w:tcW w:w="543"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3368210">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14220B9B">
        <w:trPr>
          <w:trHeight w:val="193" w:hRule="atLeast"/>
          <w:jc w:val="center"/>
        </w:trPr>
        <w:tc>
          <w:tcPr>
            <w:tcW w:w="3202"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5C6E4B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Current ferritin level (log)</w:t>
            </w:r>
          </w:p>
        </w:tc>
        <w:tc>
          <w:tcPr>
            <w:tcW w:w="1254"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46AB6A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0.01 (-0.02, 0.04)</w:t>
            </w:r>
          </w:p>
        </w:tc>
        <w:tc>
          <w:tcPr>
            <w:tcW w:w="543"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935140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0.345</w:t>
            </w:r>
          </w:p>
        </w:tc>
      </w:tr>
      <w:tr w14:paraId="0460BDEE">
        <w:trPr>
          <w:trHeight w:val="193" w:hRule="atLeast"/>
          <w:jc w:val="center"/>
        </w:trPr>
        <w:tc>
          <w:tcPr>
            <w:tcW w:w="3202" w:type="pct"/>
            <w:tcBorders>
              <w:top w:val="nil"/>
              <w:left w:val="nil"/>
              <w:bottom w:val="nil"/>
              <w:right w:val="nil"/>
            </w:tcBorders>
            <w:shd w:val="clear" w:color="auto" w:fill="FFFFFF"/>
            <w:tcMar>
              <w:top w:w="55" w:type="dxa"/>
              <w:left w:w="55" w:type="dxa"/>
              <w:bottom w:w="55" w:type="dxa"/>
              <w:right w:w="55" w:type="dxa"/>
            </w:tcMar>
            <w:vAlign w:val="center"/>
          </w:tcPr>
          <w:p w14:paraId="1E3C3BC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Recent ferritin change (absolute log-difference)</w:t>
            </w:r>
          </w:p>
        </w:tc>
        <w:tc>
          <w:tcPr>
            <w:tcW w:w="1254" w:type="pct"/>
            <w:tcBorders>
              <w:top w:val="nil"/>
              <w:left w:val="nil"/>
              <w:bottom w:val="nil"/>
              <w:right w:val="nil"/>
            </w:tcBorders>
            <w:shd w:val="clear" w:color="auto" w:fill="FFFFFF"/>
            <w:tcMar>
              <w:top w:w="55" w:type="dxa"/>
              <w:left w:w="55" w:type="dxa"/>
              <w:bottom w:w="55" w:type="dxa"/>
              <w:right w:w="55" w:type="dxa"/>
            </w:tcMar>
            <w:vAlign w:val="center"/>
          </w:tcPr>
          <w:p w14:paraId="5BE12F4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-0.02 (-0.09, 0.05)</w:t>
            </w:r>
          </w:p>
        </w:tc>
        <w:tc>
          <w:tcPr>
            <w:tcW w:w="543" w:type="pct"/>
            <w:tcBorders>
              <w:top w:val="nil"/>
              <w:left w:val="nil"/>
              <w:bottom w:val="nil"/>
              <w:right w:val="nil"/>
            </w:tcBorders>
            <w:shd w:val="clear" w:color="auto" w:fill="FFFFFF"/>
            <w:tcMar>
              <w:top w:w="55" w:type="dxa"/>
              <w:left w:w="55" w:type="dxa"/>
              <w:bottom w:w="55" w:type="dxa"/>
              <w:right w:w="55" w:type="dxa"/>
            </w:tcMar>
            <w:vAlign w:val="center"/>
          </w:tcPr>
          <w:p w14:paraId="1CB051F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0.589</w:t>
            </w:r>
          </w:p>
        </w:tc>
      </w:tr>
      <w:tr w14:paraId="6A494611">
        <w:trPr>
          <w:trHeight w:val="193" w:hRule="atLeast"/>
          <w:jc w:val="center"/>
        </w:trPr>
        <w:tc>
          <w:tcPr>
            <w:tcW w:w="3202" w:type="pct"/>
            <w:tcBorders>
              <w:top w:val="nil"/>
              <w:left w:val="nil"/>
              <w:bottom w:val="nil"/>
              <w:right w:val="nil"/>
            </w:tcBorders>
            <w:shd w:val="clear" w:color="auto" w:fill="FFFFFF"/>
            <w:tcMar>
              <w:top w:w="55" w:type="dxa"/>
              <w:left w:w="55" w:type="dxa"/>
              <w:bottom w:w="55" w:type="dxa"/>
              <w:right w:w="55" w:type="dxa"/>
            </w:tcMar>
            <w:vAlign w:val="center"/>
          </w:tcPr>
          <w:p w14:paraId="7C310AE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Cumulative ferritin variability so far</w:t>
            </w:r>
          </w:p>
        </w:tc>
        <w:tc>
          <w:tcPr>
            <w:tcW w:w="1254" w:type="pct"/>
            <w:tcBorders>
              <w:top w:val="nil"/>
              <w:left w:val="nil"/>
              <w:bottom w:val="nil"/>
              <w:right w:val="nil"/>
            </w:tcBorders>
            <w:shd w:val="clear" w:color="auto" w:fill="FFFFFF"/>
            <w:tcMar>
              <w:top w:w="55" w:type="dxa"/>
              <w:left w:w="55" w:type="dxa"/>
              <w:bottom w:w="55" w:type="dxa"/>
              <w:right w:w="55" w:type="dxa"/>
            </w:tcMar>
            <w:vAlign w:val="center"/>
          </w:tcPr>
          <w:p w14:paraId="3D83A00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-0.08 (-0.28, 0.11)</w:t>
            </w:r>
          </w:p>
        </w:tc>
        <w:tc>
          <w:tcPr>
            <w:tcW w:w="543" w:type="pct"/>
            <w:tcBorders>
              <w:top w:val="nil"/>
              <w:left w:val="nil"/>
              <w:bottom w:val="nil"/>
              <w:right w:val="nil"/>
            </w:tcBorders>
            <w:shd w:val="clear" w:color="auto" w:fill="FFFFFF"/>
            <w:tcMar>
              <w:top w:w="55" w:type="dxa"/>
              <w:left w:w="55" w:type="dxa"/>
              <w:bottom w:w="55" w:type="dxa"/>
              <w:right w:w="55" w:type="dxa"/>
            </w:tcMar>
            <w:vAlign w:val="center"/>
          </w:tcPr>
          <w:p w14:paraId="46B2B97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0.408</w:t>
            </w:r>
          </w:p>
        </w:tc>
      </w:tr>
      <w:tr w14:paraId="313D4230">
        <w:trPr>
          <w:trHeight w:val="193" w:hRule="atLeast"/>
          <w:jc w:val="center"/>
        </w:trPr>
        <w:tc>
          <w:tcPr>
            <w:tcW w:w="3202"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972395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Current low ferritin (&lt;30)</w:t>
            </w:r>
          </w:p>
        </w:tc>
        <w:tc>
          <w:tcPr>
            <w:tcW w:w="1254"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59552E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0.04 (-0.05, 0.13)</w:t>
            </w:r>
          </w:p>
        </w:tc>
        <w:tc>
          <w:tcPr>
            <w:tcW w:w="543"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6F011F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0.366</w:t>
            </w:r>
          </w:p>
        </w:tc>
      </w:tr>
    </w:tbl>
    <w:p w14:paraId="354AD16F">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r>
        <w:rPr>
          <w:rFonts w:hint="default" w:ascii="Times New Roman" w:hAnsi="Times New Roman" w:eastAsia="Times New Roman" w:cs="Times New Roman Regular"/>
          <w:b/>
          <w:bCs/>
          <w:color w:val="auto"/>
          <w:sz w:val="20"/>
          <w:szCs w:val="22"/>
          <w:lang w:val="en-US" w:eastAsia="zh-CN"/>
        </w:rPr>
        <w:br w:type="textWrapping"/>
      </w:r>
      <w:r>
        <w:rPr>
          <w:rFonts w:hint="default" w:ascii="Times New Roman" w:hAnsi="Times New Roman" w:eastAsia="Times New Roman" w:cs="Times New Roman Regular"/>
          <w:b w:val="0"/>
          <w:bCs w:val="0"/>
          <w:color w:val="auto"/>
          <w:sz w:val="20"/>
          <w:szCs w:val="22"/>
          <w:lang w:val="en-US" w:eastAsia="zh-CN"/>
        </w:rPr>
        <w:t>Regression coefficients (β), 95% confidence intervals (CIs), and P values are shown from linear mixed-effects models examining the associations between time-varying ferritin-related measures and concurrent forced expiratory volume in 1 second (FEV₁). Time-varying ferritin-related measures included current ferritin level, recent ferritin change between adjacent waves, current low ferritin status, and cumulative ferritin coefficient of variation (CV), as applicable. Models were adjusted for follow-up time, age, sex, smoking status, body mass index (BMI), log-transformed C-reactive protein (CRP), and hemoglobin (Hb), with participant-level random intercepts to account for repeated measurements. These analyses were used to assess whether current ferritin-related status was associated with contemporaneous lung function.</w:t>
      </w:r>
    </w:p>
    <w:p w14:paraId="68AD54FF">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D4031A1">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5599CFB">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71AC7B8">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5246AEE">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4245839">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FF52A50">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6FEF9CB">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373700F">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869EFA0">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0448897">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B9579A4">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16E8957">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42F1F836">
      <w:pPr>
        <w:pStyle w:val="2"/>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Supplementary Table S33. Time-varying associations of current ferritin-related measures with next-wave FEV₁</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651"/>
        <w:gridCol w:w="4452"/>
        <w:gridCol w:w="4263"/>
      </w:tblGrid>
      <w:tr w14:paraId="4916F3C8">
        <w:trPr>
          <w:trHeight w:val="193" w:hRule="atLeast"/>
          <w:tblHeader/>
          <w:jc w:val="center"/>
        </w:trPr>
        <w:tc>
          <w:tcPr>
            <w:tcW w:w="1966"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1E64E04">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Exposure</w:t>
            </w:r>
          </w:p>
        </w:tc>
        <w:tc>
          <w:tcPr>
            <w:tcW w:w="154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0BF5EB38">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β (95% CI)</w:t>
            </w:r>
          </w:p>
        </w:tc>
        <w:tc>
          <w:tcPr>
            <w:tcW w:w="1483"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A9A10EC">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57597A04">
        <w:trPr>
          <w:trHeight w:val="193" w:hRule="atLeast"/>
          <w:jc w:val="center"/>
        </w:trPr>
        <w:tc>
          <w:tcPr>
            <w:tcW w:w="1966"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B89D15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Current ferritin level (log) predicting next-wave </w:t>
            </w:r>
            <w:r>
              <w:rPr>
                <w:rFonts w:hint="default" w:ascii="Times New Roman" w:hAnsi="Times New Roman" w:eastAsia="Times New Roman" w:cs="Times New Roman Regular"/>
                <w:b w:val="0"/>
                <w:bCs w:val="0"/>
                <w:color w:val="auto"/>
                <w:sz w:val="17"/>
                <w:szCs w:val="22"/>
                <w:lang w:val="en-US" w:eastAsia="zh-CN"/>
              </w:rPr>
              <w:t>FEV₁</w:t>
            </w:r>
          </w:p>
        </w:tc>
        <w:tc>
          <w:tcPr>
            <w:tcW w:w="154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C7DD06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0.04 (-0.00, 0.08)</w:t>
            </w:r>
          </w:p>
        </w:tc>
        <w:tc>
          <w:tcPr>
            <w:tcW w:w="1483"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F51564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0.064</w:t>
            </w:r>
          </w:p>
        </w:tc>
      </w:tr>
      <w:tr w14:paraId="1B5A4789">
        <w:trPr>
          <w:trHeight w:val="193" w:hRule="atLeast"/>
          <w:jc w:val="center"/>
        </w:trPr>
        <w:tc>
          <w:tcPr>
            <w:tcW w:w="1966" w:type="pct"/>
            <w:tcBorders>
              <w:top w:val="nil"/>
              <w:left w:val="nil"/>
              <w:bottom w:val="nil"/>
              <w:right w:val="nil"/>
            </w:tcBorders>
            <w:shd w:val="clear" w:color="auto" w:fill="FFFFFF"/>
            <w:tcMar>
              <w:top w:w="55" w:type="dxa"/>
              <w:left w:w="55" w:type="dxa"/>
              <w:bottom w:w="55" w:type="dxa"/>
              <w:right w:w="55" w:type="dxa"/>
            </w:tcMar>
            <w:vAlign w:val="center"/>
          </w:tcPr>
          <w:p w14:paraId="3D72058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Recent ferritin change predicting next-wave </w:t>
            </w:r>
            <w:r>
              <w:rPr>
                <w:rFonts w:hint="default" w:ascii="Times New Roman" w:hAnsi="Times New Roman" w:eastAsia="Times New Roman" w:cs="Times New Roman Regular"/>
                <w:b w:val="0"/>
                <w:bCs w:val="0"/>
                <w:color w:val="auto"/>
                <w:sz w:val="17"/>
                <w:szCs w:val="22"/>
                <w:lang w:val="en-US" w:eastAsia="zh-CN"/>
              </w:rPr>
              <w:t>FEV₁</w:t>
            </w:r>
          </w:p>
        </w:tc>
        <w:tc>
          <w:tcPr>
            <w:tcW w:w="1549" w:type="pct"/>
            <w:tcBorders>
              <w:top w:val="nil"/>
              <w:left w:val="nil"/>
              <w:bottom w:val="nil"/>
              <w:right w:val="nil"/>
            </w:tcBorders>
            <w:shd w:val="clear" w:color="auto" w:fill="FFFFFF"/>
            <w:tcMar>
              <w:top w:w="55" w:type="dxa"/>
              <w:left w:w="55" w:type="dxa"/>
              <w:bottom w:w="55" w:type="dxa"/>
              <w:right w:w="55" w:type="dxa"/>
            </w:tcMar>
            <w:vAlign w:val="center"/>
          </w:tcPr>
          <w:p w14:paraId="14F9519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-0.10 (-0.25, 0.04)</w:t>
            </w:r>
          </w:p>
        </w:tc>
        <w:tc>
          <w:tcPr>
            <w:tcW w:w="1483" w:type="pct"/>
            <w:tcBorders>
              <w:top w:val="nil"/>
              <w:left w:val="nil"/>
              <w:bottom w:val="nil"/>
              <w:right w:val="nil"/>
            </w:tcBorders>
            <w:shd w:val="clear" w:color="auto" w:fill="FFFFFF"/>
            <w:tcMar>
              <w:top w:w="55" w:type="dxa"/>
              <w:left w:w="55" w:type="dxa"/>
              <w:bottom w:w="55" w:type="dxa"/>
              <w:right w:w="55" w:type="dxa"/>
            </w:tcMar>
            <w:vAlign w:val="center"/>
          </w:tcPr>
          <w:p w14:paraId="78DD82F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0.167</w:t>
            </w:r>
          </w:p>
        </w:tc>
      </w:tr>
      <w:tr w14:paraId="3D301B39">
        <w:trPr>
          <w:trHeight w:val="193" w:hRule="atLeast"/>
          <w:jc w:val="center"/>
        </w:trPr>
        <w:tc>
          <w:tcPr>
            <w:tcW w:w="1966"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67F3D63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Current low ferritin (&lt;30) predicting next-wave </w:t>
            </w:r>
            <w:r>
              <w:rPr>
                <w:rFonts w:hint="default" w:ascii="Times New Roman" w:hAnsi="Times New Roman" w:eastAsia="Times New Roman" w:cs="Times New Roman Regular"/>
                <w:b w:val="0"/>
                <w:bCs w:val="0"/>
                <w:color w:val="auto"/>
                <w:sz w:val="17"/>
                <w:szCs w:val="22"/>
                <w:lang w:val="en-US" w:eastAsia="zh-CN"/>
              </w:rPr>
              <w:t>FEV₁</w:t>
            </w:r>
          </w:p>
        </w:tc>
        <w:tc>
          <w:tcPr>
            <w:tcW w:w="154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875A2C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-0.06 (-0.22, 0.10)</w:t>
            </w:r>
          </w:p>
        </w:tc>
        <w:tc>
          <w:tcPr>
            <w:tcW w:w="1483"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F3E11A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0.428</w:t>
            </w:r>
          </w:p>
        </w:tc>
      </w:tr>
    </w:tbl>
    <w:p w14:paraId="092CC549">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r>
        <w:rPr>
          <w:rFonts w:hint="default" w:ascii="Times New Roman" w:hAnsi="Times New Roman" w:eastAsia="Times New Roman" w:cs="Times New Roman Regular"/>
          <w:b/>
          <w:bCs/>
          <w:color w:val="auto"/>
          <w:sz w:val="20"/>
          <w:szCs w:val="22"/>
          <w:lang w:val="en-US" w:eastAsia="zh-CN"/>
        </w:rPr>
        <w:br w:type="textWrapping"/>
      </w:r>
      <w:r>
        <w:rPr>
          <w:rFonts w:hint="default" w:ascii="Times New Roman" w:hAnsi="Times New Roman" w:eastAsia="Times New Roman" w:cs="Times New Roman Regular"/>
          <w:b w:val="0"/>
          <w:bCs w:val="0"/>
          <w:color w:val="auto"/>
          <w:sz w:val="20"/>
          <w:szCs w:val="22"/>
          <w:lang w:val="en-US" w:eastAsia="zh-CN"/>
        </w:rPr>
        <w:t>Regression coefficients (β), 95% confidence intervals (CIs), and P values are shown from lagged linear mixed-effects models examining the associations between current ferritin-related measures and subsequent forced expiratory volume in 1 second (FEV₁) at the next wave. Time-varying ferritin-related measures included current ferritin level, recent ferritin change between adjacent waves, current low ferritin status, and cumulative ferritin coefficient of variation (CV), as applicable. Models were adjusted for follow-up time, age, sex, smoking status, body mass index (BMI), log-transformed C-reactive protein (CRP), and hemoglobin (Hb), with participant-level random intercepts to account for repeated measurements. These analyses were used to assess whether current ferritin-related status predicted subsequent lung function.</w:t>
      </w:r>
    </w:p>
    <w:p w14:paraId="42A25094">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8FEFAB7">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C166857">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7C4B2D7">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2900712">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B9E1B54">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5CDB17D">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74C7A545">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6FE5EBE">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6C7F3E0">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FC699A1">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A53192A">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0BF15FDF">
      <w:pPr>
        <w:pStyle w:val="2"/>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Supplementary Table S34. Time-varying logistic models for binary lung-function outcomes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26"/>
        <w:gridCol w:w="6283"/>
        <w:gridCol w:w="3110"/>
        <w:gridCol w:w="1047"/>
      </w:tblGrid>
      <w:tr w14:paraId="7B4611E0">
        <w:trPr>
          <w:trHeight w:val="193" w:hRule="atLeast"/>
          <w:tblHeader/>
          <w:jc w:val="center"/>
        </w:trPr>
        <w:tc>
          <w:tcPr>
            <w:tcW w:w="1366" w:type="pct"/>
            <w:tcBorders>
              <w:top w:val="single" w:color="000000" w:sz="12" w:space="0"/>
              <w:left w:val="nil"/>
              <w:bottom w:val="single" w:color="000000" w:sz="8" w:space="0"/>
              <w:right w:val="nil"/>
            </w:tcBorders>
            <w:shd w:val="clear" w:color="auto" w:fill="EAF2F8"/>
            <w:noWrap/>
            <w:tcMar>
              <w:top w:w="55" w:type="dxa"/>
              <w:left w:w="55" w:type="dxa"/>
              <w:bottom w:w="55" w:type="dxa"/>
              <w:right w:w="55" w:type="dxa"/>
            </w:tcMar>
            <w:vAlign w:val="center"/>
          </w:tcPr>
          <w:p w14:paraId="742608C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Outcome</w:t>
            </w:r>
          </w:p>
        </w:tc>
        <w:tc>
          <w:tcPr>
            <w:tcW w:w="2186" w:type="pct"/>
            <w:tcBorders>
              <w:top w:val="single" w:color="000000" w:sz="12" w:space="0"/>
              <w:left w:val="nil"/>
              <w:bottom w:val="single" w:color="000000" w:sz="8" w:space="0"/>
              <w:right w:val="nil"/>
            </w:tcBorders>
            <w:shd w:val="clear" w:color="auto" w:fill="EAF2F8"/>
            <w:noWrap/>
            <w:tcMar>
              <w:top w:w="55" w:type="dxa"/>
              <w:left w:w="55" w:type="dxa"/>
              <w:bottom w:w="55" w:type="dxa"/>
              <w:right w:w="55" w:type="dxa"/>
            </w:tcMar>
            <w:vAlign w:val="center"/>
          </w:tcPr>
          <w:p w14:paraId="5902906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Exposure</w:t>
            </w:r>
          </w:p>
        </w:tc>
        <w:tc>
          <w:tcPr>
            <w:tcW w:w="1082" w:type="pct"/>
            <w:tcBorders>
              <w:top w:val="single" w:color="000000" w:sz="12" w:space="0"/>
              <w:left w:val="nil"/>
              <w:bottom w:val="single" w:color="000000" w:sz="8" w:space="0"/>
              <w:right w:val="nil"/>
            </w:tcBorders>
            <w:shd w:val="clear" w:color="auto" w:fill="EAF2F8"/>
            <w:noWrap/>
            <w:tcMar>
              <w:top w:w="55" w:type="dxa"/>
              <w:left w:w="55" w:type="dxa"/>
              <w:bottom w:w="55" w:type="dxa"/>
              <w:right w:w="55" w:type="dxa"/>
            </w:tcMar>
            <w:vAlign w:val="center"/>
          </w:tcPr>
          <w:p w14:paraId="37C7CAB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OR (95% CI)</w:t>
            </w:r>
          </w:p>
        </w:tc>
        <w:tc>
          <w:tcPr>
            <w:tcW w:w="364" w:type="pct"/>
            <w:tcBorders>
              <w:top w:val="single" w:color="000000" w:sz="12" w:space="0"/>
              <w:left w:val="nil"/>
              <w:bottom w:val="single" w:color="000000" w:sz="8" w:space="0"/>
              <w:right w:val="nil"/>
            </w:tcBorders>
            <w:shd w:val="clear" w:color="auto" w:fill="EAF2F8"/>
            <w:noWrap/>
            <w:tcMar>
              <w:top w:w="55" w:type="dxa"/>
              <w:left w:w="55" w:type="dxa"/>
              <w:bottom w:w="55" w:type="dxa"/>
              <w:right w:w="55" w:type="dxa"/>
            </w:tcMar>
            <w:vAlign w:val="center"/>
          </w:tcPr>
          <w:p w14:paraId="2BD3692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52728920">
        <w:trPr>
          <w:trHeight w:val="193" w:hRule="atLeast"/>
          <w:jc w:val="center"/>
        </w:trPr>
        <w:tc>
          <w:tcPr>
            <w:tcW w:w="1366" w:type="pct"/>
            <w:tcBorders>
              <w:top w:val="nil"/>
              <w:left w:val="nil"/>
              <w:bottom w:val="nil"/>
              <w:right w:val="nil"/>
            </w:tcBorders>
            <w:shd w:val="clear" w:color="auto" w:fill="FFFFFF"/>
            <w:noWrap/>
            <w:tcMar>
              <w:top w:w="55" w:type="dxa"/>
              <w:left w:w="55" w:type="dxa"/>
              <w:bottom w:w="55" w:type="dxa"/>
              <w:right w:w="55" w:type="dxa"/>
            </w:tcMar>
            <w:vAlign w:val="center"/>
          </w:tcPr>
          <w:p w14:paraId="5644079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Current marked FEV decline &gt;15%</w:t>
            </w:r>
          </w:p>
        </w:tc>
        <w:tc>
          <w:tcPr>
            <w:tcW w:w="2186" w:type="pct"/>
            <w:tcBorders>
              <w:top w:val="nil"/>
              <w:left w:val="nil"/>
              <w:bottom w:val="nil"/>
              <w:right w:val="nil"/>
            </w:tcBorders>
            <w:shd w:val="clear" w:color="auto" w:fill="FFFFFF"/>
            <w:noWrap/>
            <w:tcMar>
              <w:top w:w="55" w:type="dxa"/>
              <w:left w:w="55" w:type="dxa"/>
              <w:bottom w:w="55" w:type="dxa"/>
              <w:right w:w="55" w:type="dxa"/>
            </w:tcMar>
            <w:vAlign w:val="center"/>
          </w:tcPr>
          <w:p w14:paraId="5836A5C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Current ferritin level (log)</w:t>
            </w:r>
          </w:p>
        </w:tc>
        <w:tc>
          <w:tcPr>
            <w:tcW w:w="1082" w:type="pct"/>
            <w:tcBorders>
              <w:top w:val="nil"/>
              <w:left w:val="nil"/>
              <w:bottom w:val="nil"/>
              <w:right w:val="nil"/>
            </w:tcBorders>
            <w:shd w:val="clear" w:color="auto" w:fill="FFFFFF"/>
            <w:noWrap/>
            <w:tcMar>
              <w:top w:w="55" w:type="dxa"/>
              <w:left w:w="55" w:type="dxa"/>
              <w:bottom w:w="55" w:type="dxa"/>
              <w:right w:w="55" w:type="dxa"/>
            </w:tcMar>
            <w:vAlign w:val="center"/>
          </w:tcPr>
          <w:p w14:paraId="63A4031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0.783 (0.609, 1.008)</w:t>
            </w:r>
          </w:p>
        </w:tc>
        <w:tc>
          <w:tcPr>
            <w:tcW w:w="364" w:type="pct"/>
            <w:tcBorders>
              <w:top w:val="nil"/>
              <w:left w:val="nil"/>
              <w:bottom w:val="nil"/>
              <w:right w:val="nil"/>
            </w:tcBorders>
            <w:shd w:val="clear" w:color="auto" w:fill="FFFFFF"/>
            <w:noWrap/>
            <w:tcMar>
              <w:top w:w="55" w:type="dxa"/>
              <w:left w:w="55" w:type="dxa"/>
              <w:bottom w:w="55" w:type="dxa"/>
              <w:right w:w="55" w:type="dxa"/>
            </w:tcMar>
            <w:vAlign w:val="center"/>
          </w:tcPr>
          <w:p w14:paraId="0D8F710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0.058</w:t>
            </w:r>
          </w:p>
        </w:tc>
      </w:tr>
      <w:tr w14:paraId="3E5B1468">
        <w:trPr>
          <w:trHeight w:val="193" w:hRule="atLeast"/>
          <w:jc w:val="center"/>
        </w:trPr>
        <w:tc>
          <w:tcPr>
            <w:tcW w:w="1366" w:type="pct"/>
            <w:tcBorders>
              <w:top w:val="nil"/>
              <w:left w:val="nil"/>
              <w:bottom w:val="nil"/>
              <w:right w:val="nil"/>
            </w:tcBorders>
            <w:shd w:val="clear" w:color="auto" w:fill="FFFFFF"/>
            <w:noWrap/>
            <w:tcMar>
              <w:top w:w="55" w:type="dxa"/>
              <w:left w:w="55" w:type="dxa"/>
              <w:bottom w:w="55" w:type="dxa"/>
              <w:right w:w="55" w:type="dxa"/>
            </w:tcMar>
            <w:vAlign w:val="center"/>
          </w:tcPr>
          <w:p w14:paraId="2E317BB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Current marked FEV decline &gt;15%</w:t>
            </w:r>
          </w:p>
        </w:tc>
        <w:tc>
          <w:tcPr>
            <w:tcW w:w="2186" w:type="pct"/>
            <w:tcBorders>
              <w:top w:val="nil"/>
              <w:left w:val="nil"/>
              <w:bottom w:val="nil"/>
              <w:right w:val="nil"/>
            </w:tcBorders>
            <w:shd w:val="clear" w:color="auto" w:fill="FFFFFF"/>
            <w:noWrap/>
            <w:tcMar>
              <w:top w:w="55" w:type="dxa"/>
              <w:left w:w="55" w:type="dxa"/>
              <w:bottom w:w="55" w:type="dxa"/>
              <w:right w:w="55" w:type="dxa"/>
            </w:tcMar>
            <w:vAlign w:val="center"/>
          </w:tcPr>
          <w:p w14:paraId="30E3FAA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Recent ferritin change (abs log-difference)</w:t>
            </w:r>
          </w:p>
        </w:tc>
        <w:tc>
          <w:tcPr>
            <w:tcW w:w="1082" w:type="pct"/>
            <w:tcBorders>
              <w:top w:val="nil"/>
              <w:left w:val="nil"/>
              <w:bottom w:val="nil"/>
              <w:right w:val="nil"/>
            </w:tcBorders>
            <w:shd w:val="clear" w:color="auto" w:fill="FFFFFF"/>
            <w:noWrap/>
            <w:tcMar>
              <w:top w:w="55" w:type="dxa"/>
              <w:left w:w="55" w:type="dxa"/>
              <w:bottom w:w="55" w:type="dxa"/>
              <w:right w:w="55" w:type="dxa"/>
            </w:tcMar>
            <w:vAlign w:val="center"/>
          </w:tcPr>
          <w:p w14:paraId="175F3BE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1.153 (0.778, 1.708)</w:t>
            </w:r>
          </w:p>
        </w:tc>
        <w:tc>
          <w:tcPr>
            <w:tcW w:w="364" w:type="pct"/>
            <w:tcBorders>
              <w:top w:val="nil"/>
              <w:left w:val="nil"/>
              <w:bottom w:val="nil"/>
              <w:right w:val="nil"/>
            </w:tcBorders>
            <w:shd w:val="clear" w:color="auto" w:fill="FFFFFF"/>
            <w:noWrap/>
            <w:tcMar>
              <w:top w:w="55" w:type="dxa"/>
              <w:left w:w="55" w:type="dxa"/>
              <w:bottom w:w="55" w:type="dxa"/>
              <w:right w:w="55" w:type="dxa"/>
            </w:tcMar>
            <w:vAlign w:val="center"/>
          </w:tcPr>
          <w:p w14:paraId="054CCE2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0.479</w:t>
            </w:r>
          </w:p>
        </w:tc>
      </w:tr>
      <w:tr w14:paraId="14555E93">
        <w:trPr>
          <w:trHeight w:val="193" w:hRule="atLeast"/>
          <w:jc w:val="center"/>
        </w:trPr>
        <w:tc>
          <w:tcPr>
            <w:tcW w:w="1366" w:type="pct"/>
            <w:tcBorders>
              <w:top w:val="nil"/>
              <w:left w:val="nil"/>
              <w:bottom w:val="nil"/>
              <w:right w:val="nil"/>
            </w:tcBorders>
            <w:shd w:val="clear" w:color="auto" w:fill="FFFFFF"/>
            <w:noWrap/>
            <w:tcMar>
              <w:top w:w="55" w:type="dxa"/>
              <w:left w:w="55" w:type="dxa"/>
              <w:bottom w:w="55" w:type="dxa"/>
              <w:right w:w="55" w:type="dxa"/>
            </w:tcMar>
            <w:vAlign w:val="center"/>
          </w:tcPr>
          <w:p w14:paraId="1878B0A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Current marked FEV decline &gt;15%</w:t>
            </w:r>
          </w:p>
        </w:tc>
        <w:tc>
          <w:tcPr>
            <w:tcW w:w="2186" w:type="pct"/>
            <w:tcBorders>
              <w:top w:val="nil"/>
              <w:left w:val="nil"/>
              <w:bottom w:val="nil"/>
              <w:right w:val="nil"/>
            </w:tcBorders>
            <w:shd w:val="clear" w:color="auto" w:fill="FFFFFF"/>
            <w:noWrap/>
            <w:tcMar>
              <w:top w:w="55" w:type="dxa"/>
              <w:left w:w="55" w:type="dxa"/>
              <w:bottom w:w="55" w:type="dxa"/>
              <w:right w:w="55" w:type="dxa"/>
            </w:tcMar>
            <w:vAlign w:val="center"/>
          </w:tcPr>
          <w:p w14:paraId="2F763F9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Cumulative ferritin variability so far</w:t>
            </w:r>
          </w:p>
        </w:tc>
        <w:tc>
          <w:tcPr>
            <w:tcW w:w="1082" w:type="pct"/>
            <w:tcBorders>
              <w:top w:val="nil"/>
              <w:left w:val="nil"/>
              <w:bottom w:val="nil"/>
              <w:right w:val="nil"/>
            </w:tcBorders>
            <w:shd w:val="clear" w:color="auto" w:fill="FFFFFF"/>
            <w:noWrap/>
            <w:tcMar>
              <w:top w:w="55" w:type="dxa"/>
              <w:left w:w="55" w:type="dxa"/>
              <w:bottom w:w="55" w:type="dxa"/>
              <w:right w:w="55" w:type="dxa"/>
            </w:tcMar>
            <w:vAlign w:val="center"/>
          </w:tcPr>
          <w:p w14:paraId="4AA2CF6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1.718 (0.625, 4.718)</w:t>
            </w:r>
          </w:p>
        </w:tc>
        <w:tc>
          <w:tcPr>
            <w:tcW w:w="364" w:type="pct"/>
            <w:tcBorders>
              <w:top w:val="nil"/>
              <w:left w:val="nil"/>
              <w:bottom w:val="nil"/>
              <w:right w:val="nil"/>
            </w:tcBorders>
            <w:shd w:val="clear" w:color="auto" w:fill="FFFFFF"/>
            <w:noWrap/>
            <w:tcMar>
              <w:top w:w="55" w:type="dxa"/>
              <w:left w:w="55" w:type="dxa"/>
              <w:bottom w:w="55" w:type="dxa"/>
              <w:right w:w="55" w:type="dxa"/>
            </w:tcMar>
            <w:vAlign w:val="center"/>
          </w:tcPr>
          <w:p w14:paraId="743F83A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0.294</w:t>
            </w:r>
          </w:p>
        </w:tc>
      </w:tr>
      <w:tr w14:paraId="4F630DEF">
        <w:trPr>
          <w:trHeight w:val="193" w:hRule="atLeast"/>
          <w:jc w:val="center"/>
        </w:trPr>
        <w:tc>
          <w:tcPr>
            <w:tcW w:w="1366" w:type="pct"/>
            <w:tcBorders>
              <w:top w:val="nil"/>
              <w:left w:val="nil"/>
              <w:bottom w:val="nil"/>
              <w:right w:val="nil"/>
            </w:tcBorders>
            <w:shd w:val="clear" w:color="auto" w:fill="FFFFFF"/>
            <w:noWrap/>
            <w:tcMar>
              <w:top w:w="55" w:type="dxa"/>
              <w:left w:w="55" w:type="dxa"/>
              <w:bottom w:w="55" w:type="dxa"/>
              <w:right w:w="55" w:type="dxa"/>
            </w:tcMar>
            <w:vAlign w:val="center"/>
          </w:tcPr>
          <w:p w14:paraId="0B4E675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Current marked FEV decline &gt;15%</w:t>
            </w:r>
          </w:p>
        </w:tc>
        <w:tc>
          <w:tcPr>
            <w:tcW w:w="2186" w:type="pct"/>
            <w:tcBorders>
              <w:top w:val="nil"/>
              <w:left w:val="nil"/>
              <w:bottom w:val="nil"/>
              <w:right w:val="nil"/>
            </w:tcBorders>
            <w:shd w:val="clear" w:color="auto" w:fill="FFFFFF"/>
            <w:noWrap/>
            <w:tcMar>
              <w:top w:w="55" w:type="dxa"/>
              <w:left w:w="55" w:type="dxa"/>
              <w:bottom w:w="55" w:type="dxa"/>
              <w:right w:w="55" w:type="dxa"/>
            </w:tcMar>
            <w:vAlign w:val="center"/>
          </w:tcPr>
          <w:p w14:paraId="609F5D6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Current low ferritin (&lt;30)</w:t>
            </w:r>
          </w:p>
        </w:tc>
        <w:tc>
          <w:tcPr>
            <w:tcW w:w="1082" w:type="pct"/>
            <w:tcBorders>
              <w:top w:val="nil"/>
              <w:left w:val="nil"/>
              <w:bottom w:val="nil"/>
              <w:right w:val="nil"/>
            </w:tcBorders>
            <w:shd w:val="clear" w:color="auto" w:fill="FFFFFF"/>
            <w:noWrap/>
            <w:tcMar>
              <w:top w:w="55" w:type="dxa"/>
              <w:left w:w="55" w:type="dxa"/>
              <w:bottom w:w="55" w:type="dxa"/>
              <w:right w:w="55" w:type="dxa"/>
            </w:tcMar>
            <w:vAlign w:val="center"/>
          </w:tcPr>
          <w:p w14:paraId="1D85D4F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0.601 (0.241, 1.497)</w:t>
            </w:r>
          </w:p>
        </w:tc>
        <w:tc>
          <w:tcPr>
            <w:tcW w:w="364" w:type="pct"/>
            <w:tcBorders>
              <w:top w:val="nil"/>
              <w:left w:val="nil"/>
              <w:bottom w:val="nil"/>
              <w:right w:val="nil"/>
            </w:tcBorders>
            <w:shd w:val="clear" w:color="auto" w:fill="FFFFFF"/>
            <w:noWrap/>
            <w:tcMar>
              <w:top w:w="55" w:type="dxa"/>
              <w:left w:w="55" w:type="dxa"/>
              <w:bottom w:w="55" w:type="dxa"/>
              <w:right w:w="55" w:type="dxa"/>
            </w:tcMar>
            <w:vAlign w:val="center"/>
          </w:tcPr>
          <w:p w14:paraId="4A9F61F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0.274</w:t>
            </w:r>
          </w:p>
        </w:tc>
      </w:tr>
      <w:tr w14:paraId="253DE439">
        <w:trPr>
          <w:trHeight w:val="193" w:hRule="atLeast"/>
          <w:jc w:val="center"/>
        </w:trPr>
        <w:tc>
          <w:tcPr>
            <w:tcW w:w="1366" w:type="pct"/>
            <w:tcBorders>
              <w:top w:val="nil"/>
              <w:left w:val="nil"/>
              <w:bottom w:val="nil"/>
              <w:right w:val="nil"/>
            </w:tcBorders>
            <w:shd w:val="clear" w:color="auto" w:fill="FFFFFF"/>
            <w:noWrap/>
            <w:tcMar>
              <w:top w:w="55" w:type="dxa"/>
              <w:left w:w="55" w:type="dxa"/>
              <w:bottom w:w="55" w:type="dxa"/>
              <w:right w:w="55" w:type="dxa"/>
            </w:tcMar>
            <w:vAlign w:val="center"/>
          </w:tcPr>
          <w:p w14:paraId="53C8A41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Current marked FEV decline &gt;15%</w:t>
            </w:r>
          </w:p>
        </w:tc>
        <w:tc>
          <w:tcPr>
            <w:tcW w:w="2186" w:type="pct"/>
            <w:tcBorders>
              <w:top w:val="nil"/>
              <w:left w:val="nil"/>
              <w:bottom w:val="nil"/>
              <w:right w:val="nil"/>
            </w:tcBorders>
            <w:shd w:val="clear" w:color="auto" w:fill="FFFFFF"/>
            <w:noWrap/>
            <w:tcMar>
              <w:top w:w="55" w:type="dxa"/>
              <w:left w:w="55" w:type="dxa"/>
              <w:bottom w:w="55" w:type="dxa"/>
              <w:right w:w="55" w:type="dxa"/>
            </w:tcMar>
            <w:vAlign w:val="center"/>
          </w:tcPr>
          <w:p w14:paraId="1576411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High recent ferritin fluctuation interval (top quartile)</w:t>
            </w:r>
          </w:p>
        </w:tc>
        <w:tc>
          <w:tcPr>
            <w:tcW w:w="1082" w:type="pct"/>
            <w:tcBorders>
              <w:top w:val="nil"/>
              <w:left w:val="nil"/>
              <w:bottom w:val="nil"/>
              <w:right w:val="nil"/>
            </w:tcBorders>
            <w:shd w:val="clear" w:color="auto" w:fill="FFFFFF"/>
            <w:noWrap/>
            <w:tcMar>
              <w:top w:w="55" w:type="dxa"/>
              <w:left w:w="55" w:type="dxa"/>
              <w:bottom w:w="55" w:type="dxa"/>
              <w:right w:w="55" w:type="dxa"/>
            </w:tcMar>
            <w:vAlign w:val="center"/>
          </w:tcPr>
          <w:p w14:paraId="56F2B49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1.065 (0.612, 1.855)</w:t>
            </w:r>
          </w:p>
        </w:tc>
        <w:tc>
          <w:tcPr>
            <w:tcW w:w="364" w:type="pct"/>
            <w:tcBorders>
              <w:top w:val="nil"/>
              <w:left w:val="nil"/>
              <w:bottom w:val="nil"/>
              <w:right w:val="nil"/>
            </w:tcBorders>
            <w:shd w:val="clear" w:color="auto" w:fill="FFFFFF"/>
            <w:noWrap/>
            <w:tcMar>
              <w:top w:w="55" w:type="dxa"/>
              <w:left w:w="55" w:type="dxa"/>
              <w:bottom w:w="55" w:type="dxa"/>
              <w:right w:w="55" w:type="dxa"/>
            </w:tcMar>
            <w:vAlign w:val="center"/>
          </w:tcPr>
          <w:p w14:paraId="2AB01B0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0.823</w:t>
            </w:r>
          </w:p>
        </w:tc>
      </w:tr>
      <w:tr w14:paraId="7E83BF35">
        <w:trPr>
          <w:trHeight w:val="193" w:hRule="atLeast"/>
          <w:jc w:val="center"/>
        </w:trPr>
        <w:tc>
          <w:tcPr>
            <w:tcW w:w="1366" w:type="pct"/>
            <w:tcBorders>
              <w:top w:val="nil"/>
              <w:left w:val="nil"/>
              <w:bottom w:val="nil"/>
              <w:right w:val="nil"/>
            </w:tcBorders>
            <w:shd w:val="clear" w:color="auto" w:fill="FFFFFF"/>
            <w:noWrap/>
            <w:tcMar>
              <w:top w:w="55" w:type="dxa"/>
              <w:left w:w="55" w:type="dxa"/>
              <w:bottom w:w="55" w:type="dxa"/>
              <w:right w:w="55" w:type="dxa"/>
            </w:tcMar>
            <w:vAlign w:val="center"/>
          </w:tcPr>
          <w:p w14:paraId="108B4BD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Current low FEV (lowest 20%)</w:t>
            </w:r>
          </w:p>
        </w:tc>
        <w:tc>
          <w:tcPr>
            <w:tcW w:w="2186" w:type="pct"/>
            <w:tcBorders>
              <w:top w:val="nil"/>
              <w:left w:val="nil"/>
              <w:bottom w:val="nil"/>
              <w:right w:val="nil"/>
            </w:tcBorders>
            <w:shd w:val="clear" w:color="auto" w:fill="FFFFFF"/>
            <w:noWrap/>
            <w:tcMar>
              <w:top w:w="55" w:type="dxa"/>
              <w:left w:w="55" w:type="dxa"/>
              <w:bottom w:w="55" w:type="dxa"/>
              <w:right w:w="55" w:type="dxa"/>
            </w:tcMar>
            <w:vAlign w:val="center"/>
          </w:tcPr>
          <w:p w14:paraId="0F1934A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Current ferritin level (log)</w:t>
            </w:r>
          </w:p>
        </w:tc>
        <w:tc>
          <w:tcPr>
            <w:tcW w:w="1082" w:type="pct"/>
            <w:tcBorders>
              <w:top w:val="nil"/>
              <w:left w:val="nil"/>
              <w:bottom w:val="nil"/>
              <w:right w:val="nil"/>
            </w:tcBorders>
            <w:shd w:val="clear" w:color="auto" w:fill="FFFFFF"/>
            <w:noWrap/>
            <w:tcMar>
              <w:top w:w="55" w:type="dxa"/>
              <w:left w:w="55" w:type="dxa"/>
              <w:bottom w:w="55" w:type="dxa"/>
              <w:right w:w="55" w:type="dxa"/>
            </w:tcMar>
            <w:vAlign w:val="center"/>
          </w:tcPr>
          <w:p w14:paraId="5FBF01A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0.864 (0.563, 1.325)</w:t>
            </w:r>
          </w:p>
        </w:tc>
        <w:tc>
          <w:tcPr>
            <w:tcW w:w="364" w:type="pct"/>
            <w:tcBorders>
              <w:top w:val="nil"/>
              <w:left w:val="nil"/>
              <w:bottom w:val="nil"/>
              <w:right w:val="nil"/>
            </w:tcBorders>
            <w:shd w:val="clear" w:color="auto" w:fill="FFFFFF"/>
            <w:noWrap/>
            <w:tcMar>
              <w:top w:w="55" w:type="dxa"/>
              <w:left w:w="55" w:type="dxa"/>
              <w:bottom w:w="55" w:type="dxa"/>
              <w:right w:w="55" w:type="dxa"/>
            </w:tcMar>
            <w:vAlign w:val="center"/>
          </w:tcPr>
          <w:p w14:paraId="4739689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0.502</w:t>
            </w:r>
          </w:p>
        </w:tc>
      </w:tr>
      <w:tr w14:paraId="4C4C0452">
        <w:trPr>
          <w:trHeight w:val="193" w:hRule="atLeast"/>
          <w:jc w:val="center"/>
        </w:trPr>
        <w:tc>
          <w:tcPr>
            <w:tcW w:w="1366" w:type="pct"/>
            <w:tcBorders>
              <w:top w:val="nil"/>
              <w:left w:val="nil"/>
              <w:bottom w:val="nil"/>
              <w:right w:val="nil"/>
            </w:tcBorders>
            <w:shd w:val="clear" w:color="auto" w:fill="FFFFFF"/>
            <w:noWrap/>
            <w:tcMar>
              <w:top w:w="55" w:type="dxa"/>
              <w:left w:w="55" w:type="dxa"/>
              <w:bottom w:w="55" w:type="dxa"/>
              <w:right w:w="55" w:type="dxa"/>
            </w:tcMar>
            <w:vAlign w:val="center"/>
          </w:tcPr>
          <w:p w14:paraId="3B219CF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Current low FEV (lowest 20%)</w:t>
            </w:r>
          </w:p>
        </w:tc>
        <w:tc>
          <w:tcPr>
            <w:tcW w:w="2186" w:type="pct"/>
            <w:tcBorders>
              <w:top w:val="nil"/>
              <w:left w:val="nil"/>
              <w:bottom w:val="nil"/>
              <w:right w:val="nil"/>
            </w:tcBorders>
            <w:shd w:val="clear" w:color="auto" w:fill="FFFFFF"/>
            <w:noWrap/>
            <w:tcMar>
              <w:top w:w="55" w:type="dxa"/>
              <w:left w:w="55" w:type="dxa"/>
              <w:bottom w:w="55" w:type="dxa"/>
              <w:right w:w="55" w:type="dxa"/>
            </w:tcMar>
            <w:vAlign w:val="center"/>
          </w:tcPr>
          <w:p w14:paraId="5F94EF5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Recent ferritin change (abs log-difference)</w:t>
            </w:r>
          </w:p>
        </w:tc>
        <w:tc>
          <w:tcPr>
            <w:tcW w:w="1082" w:type="pct"/>
            <w:tcBorders>
              <w:top w:val="nil"/>
              <w:left w:val="nil"/>
              <w:bottom w:val="nil"/>
              <w:right w:val="nil"/>
            </w:tcBorders>
            <w:shd w:val="clear" w:color="auto" w:fill="FFFFFF"/>
            <w:noWrap/>
            <w:tcMar>
              <w:top w:w="55" w:type="dxa"/>
              <w:left w:w="55" w:type="dxa"/>
              <w:bottom w:w="55" w:type="dxa"/>
              <w:right w:w="55" w:type="dxa"/>
            </w:tcMar>
            <w:vAlign w:val="center"/>
          </w:tcPr>
          <w:p w14:paraId="2777808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1.620 (0.940, 2.793)</w:t>
            </w:r>
          </w:p>
        </w:tc>
        <w:tc>
          <w:tcPr>
            <w:tcW w:w="364" w:type="pct"/>
            <w:tcBorders>
              <w:top w:val="nil"/>
              <w:left w:val="nil"/>
              <w:bottom w:val="nil"/>
              <w:right w:val="nil"/>
            </w:tcBorders>
            <w:shd w:val="clear" w:color="auto" w:fill="FFFFFF"/>
            <w:noWrap/>
            <w:tcMar>
              <w:top w:w="55" w:type="dxa"/>
              <w:left w:w="55" w:type="dxa"/>
              <w:bottom w:w="55" w:type="dxa"/>
              <w:right w:w="55" w:type="dxa"/>
            </w:tcMar>
            <w:vAlign w:val="center"/>
          </w:tcPr>
          <w:p w14:paraId="411CAD8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0.082</w:t>
            </w:r>
          </w:p>
        </w:tc>
      </w:tr>
      <w:tr w14:paraId="2449F1DB">
        <w:trPr>
          <w:trHeight w:val="193" w:hRule="atLeast"/>
          <w:jc w:val="center"/>
        </w:trPr>
        <w:tc>
          <w:tcPr>
            <w:tcW w:w="1366" w:type="pct"/>
            <w:tcBorders>
              <w:top w:val="nil"/>
              <w:left w:val="nil"/>
              <w:bottom w:val="nil"/>
              <w:right w:val="nil"/>
            </w:tcBorders>
            <w:shd w:val="clear" w:color="auto" w:fill="FFFFFF"/>
            <w:noWrap/>
            <w:tcMar>
              <w:top w:w="55" w:type="dxa"/>
              <w:left w:w="55" w:type="dxa"/>
              <w:bottom w:w="55" w:type="dxa"/>
              <w:right w:w="55" w:type="dxa"/>
            </w:tcMar>
            <w:vAlign w:val="center"/>
          </w:tcPr>
          <w:p w14:paraId="4C78A8F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Current low FEV (lowest 20%)</w:t>
            </w:r>
          </w:p>
        </w:tc>
        <w:tc>
          <w:tcPr>
            <w:tcW w:w="2186" w:type="pct"/>
            <w:tcBorders>
              <w:top w:val="nil"/>
              <w:left w:val="nil"/>
              <w:bottom w:val="nil"/>
              <w:right w:val="nil"/>
            </w:tcBorders>
            <w:shd w:val="clear" w:color="auto" w:fill="FFFFFF"/>
            <w:noWrap/>
            <w:tcMar>
              <w:top w:w="55" w:type="dxa"/>
              <w:left w:w="55" w:type="dxa"/>
              <w:bottom w:w="55" w:type="dxa"/>
              <w:right w:w="55" w:type="dxa"/>
            </w:tcMar>
            <w:vAlign w:val="center"/>
          </w:tcPr>
          <w:p w14:paraId="23595E6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Cumulative ferritin variability so far</w:t>
            </w:r>
          </w:p>
        </w:tc>
        <w:tc>
          <w:tcPr>
            <w:tcW w:w="1082" w:type="pct"/>
            <w:tcBorders>
              <w:top w:val="nil"/>
              <w:left w:val="nil"/>
              <w:bottom w:val="nil"/>
              <w:right w:val="nil"/>
            </w:tcBorders>
            <w:shd w:val="clear" w:color="auto" w:fill="FFFFFF"/>
            <w:noWrap/>
            <w:tcMar>
              <w:top w:w="55" w:type="dxa"/>
              <w:left w:w="55" w:type="dxa"/>
              <w:bottom w:w="55" w:type="dxa"/>
              <w:right w:w="55" w:type="dxa"/>
            </w:tcMar>
            <w:vAlign w:val="center"/>
          </w:tcPr>
          <w:p w14:paraId="1E806C5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2.540 (0.584, 11.053)</w:t>
            </w:r>
          </w:p>
        </w:tc>
        <w:tc>
          <w:tcPr>
            <w:tcW w:w="364" w:type="pct"/>
            <w:tcBorders>
              <w:top w:val="nil"/>
              <w:left w:val="nil"/>
              <w:bottom w:val="nil"/>
              <w:right w:val="nil"/>
            </w:tcBorders>
            <w:shd w:val="clear" w:color="auto" w:fill="FFFFFF"/>
            <w:noWrap/>
            <w:tcMar>
              <w:top w:w="55" w:type="dxa"/>
              <w:left w:w="55" w:type="dxa"/>
              <w:bottom w:w="55" w:type="dxa"/>
              <w:right w:w="55" w:type="dxa"/>
            </w:tcMar>
            <w:vAlign w:val="center"/>
          </w:tcPr>
          <w:p w14:paraId="1F2AEA1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0.214</w:t>
            </w:r>
          </w:p>
        </w:tc>
      </w:tr>
      <w:tr w14:paraId="75AC8271">
        <w:trPr>
          <w:trHeight w:val="193" w:hRule="atLeast"/>
          <w:jc w:val="center"/>
        </w:trPr>
        <w:tc>
          <w:tcPr>
            <w:tcW w:w="1366" w:type="pct"/>
            <w:tcBorders>
              <w:top w:val="nil"/>
              <w:left w:val="nil"/>
              <w:bottom w:val="nil"/>
              <w:right w:val="nil"/>
            </w:tcBorders>
            <w:shd w:val="clear" w:color="auto" w:fill="FFFFFF"/>
            <w:noWrap/>
            <w:tcMar>
              <w:top w:w="55" w:type="dxa"/>
              <w:left w:w="55" w:type="dxa"/>
              <w:bottom w:w="55" w:type="dxa"/>
              <w:right w:w="55" w:type="dxa"/>
            </w:tcMar>
            <w:vAlign w:val="center"/>
          </w:tcPr>
          <w:p w14:paraId="274DA2D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Current low FEV (lowest 20%)</w:t>
            </w:r>
          </w:p>
        </w:tc>
        <w:tc>
          <w:tcPr>
            <w:tcW w:w="2186" w:type="pct"/>
            <w:tcBorders>
              <w:top w:val="nil"/>
              <w:left w:val="nil"/>
              <w:bottom w:val="nil"/>
              <w:right w:val="nil"/>
            </w:tcBorders>
            <w:shd w:val="clear" w:color="auto" w:fill="FFFFFF"/>
            <w:noWrap/>
            <w:tcMar>
              <w:top w:w="55" w:type="dxa"/>
              <w:left w:w="55" w:type="dxa"/>
              <w:bottom w:w="55" w:type="dxa"/>
              <w:right w:w="55" w:type="dxa"/>
            </w:tcMar>
            <w:vAlign w:val="center"/>
          </w:tcPr>
          <w:p w14:paraId="3F03522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Current low ferritin (&lt;30)</w:t>
            </w:r>
          </w:p>
        </w:tc>
        <w:tc>
          <w:tcPr>
            <w:tcW w:w="1082" w:type="pct"/>
            <w:tcBorders>
              <w:top w:val="nil"/>
              <w:left w:val="nil"/>
              <w:bottom w:val="nil"/>
              <w:right w:val="nil"/>
            </w:tcBorders>
            <w:shd w:val="clear" w:color="auto" w:fill="FFFFFF"/>
            <w:noWrap/>
            <w:tcMar>
              <w:top w:w="55" w:type="dxa"/>
              <w:left w:w="55" w:type="dxa"/>
              <w:bottom w:w="55" w:type="dxa"/>
              <w:right w:w="55" w:type="dxa"/>
            </w:tcMar>
            <w:vAlign w:val="center"/>
          </w:tcPr>
          <w:p w14:paraId="70D1491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0.243 (0.048, 1.224)</w:t>
            </w:r>
          </w:p>
        </w:tc>
        <w:tc>
          <w:tcPr>
            <w:tcW w:w="364" w:type="pct"/>
            <w:tcBorders>
              <w:top w:val="nil"/>
              <w:left w:val="nil"/>
              <w:bottom w:val="nil"/>
              <w:right w:val="nil"/>
            </w:tcBorders>
            <w:shd w:val="clear" w:color="auto" w:fill="FFFFFF"/>
            <w:noWrap/>
            <w:tcMar>
              <w:top w:w="55" w:type="dxa"/>
              <w:left w:w="55" w:type="dxa"/>
              <w:bottom w:w="55" w:type="dxa"/>
              <w:right w:w="55" w:type="dxa"/>
            </w:tcMar>
            <w:vAlign w:val="center"/>
          </w:tcPr>
          <w:p w14:paraId="7EA64EB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0.086</w:t>
            </w:r>
          </w:p>
        </w:tc>
      </w:tr>
      <w:tr w14:paraId="7F5C276F">
        <w:trPr>
          <w:trHeight w:val="193" w:hRule="atLeast"/>
          <w:jc w:val="center"/>
        </w:trPr>
        <w:tc>
          <w:tcPr>
            <w:tcW w:w="1366" w:type="pct"/>
            <w:tcBorders>
              <w:top w:val="nil"/>
              <w:left w:val="nil"/>
              <w:bottom w:val="nil"/>
              <w:right w:val="nil"/>
            </w:tcBorders>
            <w:shd w:val="clear" w:color="auto" w:fill="FFFFFF"/>
            <w:noWrap/>
            <w:tcMar>
              <w:top w:w="55" w:type="dxa"/>
              <w:left w:w="55" w:type="dxa"/>
              <w:bottom w:w="55" w:type="dxa"/>
              <w:right w:w="55" w:type="dxa"/>
            </w:tcMar>
            <w:vAlign w:val="center"/>
          </w:tcPr>
          <w:p w14:paraId="20471CB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Next-wave marked FEV decline &gt;15%</w:t>
            </w:r>
          </w:p>
        </w:tc>
        <w:tc>
          <w:tcPr>
            <w:tcW w:w="2186" w:type="pct"/>
            <w:tcBorders>
              <w:top w:val="nil"/>
              <w:left w:val="nil"/>
              <w:bottom w:val="nil"/>
              <w:right w:val="nil"/>
            </w:tcBorders>
            <w:shd w:val="clear" w:color="auto" w:fill="FFFFFF"/>
            <w:noWrap/>
            <w:tcMar>
              <w:top w:w="55" w:type="dxa"/>
              <w:left w:w="55" w:type="dxa"/>
              <w:bottom w:w="55" w:type="dxa"/>
              <w:right w:w="55" w:type="dxa"/>
            </w:tcMar>
            <w:vAlign w:val="center"/>
          </w:tcPr>
          <w:p w14:paraId="7BDF90B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Current ferritin level predicting next-wave FEV drop &gt;15%</w:t>
            </w:r>
          </w:p>
        </w:tc>
        <w:tc>
          <w:tcPr>
            <w:tcW w:w="1082" w:type="pct"/>
            <w:tcBorders>
              <w:top w:val="nil"/>
              <w:left w:val="nil"/>
              <w:bottom w:val="nil"/>
              <w:right w:val="nil"/>
            </w:tcBorders>
            <w:shd w:val="clear" w:color="auto" w:fill="FFFFFF"/>
            <w:noWrap/>
            <w:tcMar>
              <w:top w:w="55" w:type="dxa"/>
              <w:left w:w="55" w:type="dxa"/>
              <w:bottom w:w="55" w:type="dxa"/>
              <w:right w:w="55" w:type="dxa"/>
            </w:tcMar>
            <w:vAlign w:val="center"/>
          </w:tcPr>
          <w:p w14:paraId="0021D35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0.949 (0.804, 1.120)</w:t>
            </w:r>
          </w:p>
        </w:tc>
        <w:tc>
          <w:tcPr>
            <w:tcW w:w="364" w:type="pct"/>
            <w:tcBorders>
              <w:top w:val="nil"/>
              <w:left w:val="nil"/>
              <w:bottom w:val="nil"/>
              <w:right w:val="nil"/>
            </w:tcBorders>
            <w:shd w:val="clear" w:color="auto" w:fill="FFFFFF"/>
            <w:noWrap/>
            <w:tcMar>
              <w:top w:w="55" w:type="dxa"/>
              <w:left w:w="55" w:type="dxa"/>
              <w:bottom w:w="55" w:type="dxa"/>
              <w:right w:w="55" w:type="dxa"/>
            </w:tcMar>
            <w:vAlign w:val="center"/>
          </w:tcPr>
          <w:p w14:paraId="53D442C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0.536</w:t>
            </w:r>
          </w:p>
        </w:tc>
      </w:tr>
      <w:tr w14:paraId="026DD02E">
        <w:trPr>
          <w:trHeight w:val="193" w:hRule="atLeast"/>
          <w:jc w:val="center"/>
        </w:trPr>
        <w:tc>
          <w:tcPr>
            <w:tcW w:w="1366" w:type="pct"/>
            <w:tcBorders>
              <w:top w:val="nil"/>
              <w:left w:val="nil"/>
              <w:bottom w:val="nil"/>
              <w:right w:val="nil"/>
            </w:tcBorders>
            <w:shd w:val="clear" w:color="auto" w:fill="FFFFFF"/>
            <w:noWrap/>
            <w:tcMar>
              <w:top w:w="55" w:type="dxa"/>
              <w:left w:w="55" w:type="dxa"/>
              <w:bottom w:w="55" w:type="dxa"/>
              <w:right w:w="55" w:type="dxa"/>
            </w:tcMar>
            <w:vAlign w:val="center"/>
          </w:tcPr>
          <w:p w14:paraId="37244B3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Next-wave marked FEV decline &gt;15%</w:t>
            </w:r>
          </w:p>
        </w:tc>
        <w:tc>
          <w:tcPr>
            <w:tcW w:w="2186" w:type="pct"/>
            <w:tcBorders>
              <w:top w:val="nil"/>
              <w:left w:val="nil"/>
              <w:bottom w:val="nil"/>
              <w:right w:val="nil"/>
            </w:tcBorders>
            <w:shd w:val="clear" w:color="auto" w:fill="FFFFFF"/>
            <w:noWrap/>
            <w:tcMar>
              <w:top w:w="55" w:type="dxa"/>
              <w:left w:w="55" w:type="dxa"/>
              <w:bottom w:w="55" w:type="dxa"/>
              <w:right w:w="55" w:type="dxa"/>
            </w:tcMar>
            <w:vAlign w:val="center"/>
          </w:tcPr>
          <w:p w14:paraId="47A3108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Recent ferritin change predicting next-wave FEV drop &gt;15%</w:t>
            </w:r>
          </w:p>
        </w:tc>
        <w:tc>
          <w:tcPr>
            <w:tcW w:w="1082" w:type="pct"/>
            <w:tcBorders>
              <w:top w:val="nil"/>
              <w:left w:val="nil"/>
              <w:bottom w:val="nil"/>
              <w:right w:val="nil"/>
            </w:tcBorders>
            <w:shd w:val="clear" w:color="auto" w:fill="FFFFFF"/>
            <w:noWrap/>
            <w:tcMar>
              <w:top w:w="55" w:type="dxa"/>
              <w:left w:w="55" w:type="dxa"/>
              <w:bottom w:w="55" w:type="dxa"/>
              <w:right w:w="55" w:type="dxa"/>
            </w:tcMar>
            <w:vAlign w:val="center"/>
          </w:tcPr>
          <w:p w14:paraId="32BCAC7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1.641 (0.950, 2.887)</w:t>
            </w:r>
          </w:p>
        </w:tc>
        <w:tc>
          <w:tcPr>
            <w:tcW w:w="364" w:type="pct"/>
            <w:tcBorders>
              <w:top w:val="nil"/>
              <w:left w:val="nil"/>
              <w:bottom w:val="nil"/>
              <w:right w:val="nil"/>
            </w:tcBorders>
            <w:shd w:val="clear" w:color="auto" w:fill="FFFFFF"/>
            <w:noWrap/>
            <w:tcMar>
              <w:top w:w="55" w:type="dxa"/>
              <w:left w:w="55" w:type="dxa"/>
              <w:bottom w:w="55" w:type="dxa"/>
              <w:right w:w="55" w:type="dxa"/>
            </w:tcMar>
            <w:vAlign w:val="center"/>
          </w:tcPr>
          <w:p w14:paraId="34E1410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0.078</w:t>
            </w:r>
          </w:p>
        </w:tc>
      </w:tr>
      <w:tr w14:paraId="32631BAC">
        <w:trPr>
          <w:trHeight w:val="193" w:hRule="atLeast"/>
          <w:jc w:val="center"/>
        </w:trPr>
        <w:tc>
          <w:tcPr>
            <w:tcW w:w="1366"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1D0334C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Next-wave marked FEV decline &gt;15%</w:t>
            </w:r>
          </w:p>
        </w:tc>
        <w:tc>
          <w:tcPr>
            <w:tcW w:w="2186"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54D5BB0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Current low ferritin (&lt;30) predicting next-wave FEV drop &gt;15%</w:t>
            </w:r>
          </w:p>
        </w:tc>
        <w:tc>
          <w:tcPr>
            <w:tcW w:w="1082"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01BCE00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1.098 (0.583, 1.989)</w:t>
            </w:r>
          </w:p>
        </w:tc>
        <w:tc>
          <w:tcPr>
            <w:tcW w:w="364"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4A27013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0.764</w:t>
            </w:r>
          </w:p>
        </w:tc>
      </w:tr>
    </w:tbl>
    <w:p w14:paraId="1B4BF956">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r>
        <w:rPr>
          <w:rFonts w:hint="default" w:ascii="Times New Roman" w:hAnsi="Times New Roman" w:eastAsia="Times New Roman" w:cs="Times New Roman Regular"/>
          <w:b/>
          <w:bCs/>
          <w:color w:val="auto"/>
          <w:sz w:val="20"/>
          <w:szCs w:val="22"/>
          <w:lang w:val="en-US" w:eastAsia="zh-CN"/>
        </w:rPr>
        <w:br w:type="textWrapping"/>
      </w:r>
      <w:r>
        <w:rPr>
          <w:rFonts w:hint="default" w:ascii="Times New Roman" w:hAnsi="Times New Roman" w:eastAsia="Times New Roman" w:cs="Times New Roman Regular"/>
          <w:b w:val="0"/>
          <w:bCs w:val="0"/>
          <w:color w:val="auto"/>
          <w:sz w:val="20"/>
          <w:szCs w:val="22"/>
          <w:lang w:val="en-US" w:eastAsia="zh-CN"/>
        </w:rPr>
        <w:t>Odds ratios (ORs), 95% confidence intervals (CIs), and P values are shown from generalized linear mixed models (GLMMs) or lagged logistic regression models examining associations between time-varying ferritin-related measures and binary lung-function outcomes. Outcomes included current marked FEV₁ decline, current low FEV20, and next-wave marked FEV₁ decline, as specified in the table. Time-varying ferritin-related measures included current ferritin level, recent ferritin change, current low ferritin status, and cumulative ferritin coefficient of variation (CV), as applicable. Models were adjusted for follow-up time, age, sex, smoking status, body mass index (BMI), log-transformed C-reactive protein (CRP), and hemoglobin (Hb). These analyses were used to assess whether short-term ferritin-related status was associated with binary lung-function deterioration outcomes.</w:t>
      </w:r>
    </w:p>
    <w:p w14:paraId="0E093F64">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324EB7B">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054CB67">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F8B3924">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5F0CCEB">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737D31C">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DB11CEF">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6579758">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4296FA4">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5A0C7FB">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12B90497">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BC67CCB">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16FED07">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FD0C098">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F3D2E1C">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24C95F6">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2135AC5C">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0B331DB6">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40FDEFFD">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029004BF">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11801B78">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0C68AFD6">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47ACB28A">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1A7D65F7">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696FAC59">
      <w:pPr>
        <w:pStyle w:val="2"/>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Supplementary Table S35. Lagged associations of current ferritin-related measures with next-wave FEV₁ after additional adjustment for current FEV₁</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74"/>
        <w:gridCol w:w="3878"/>
        <w:gridCol w:w="3714"/>
      </w:tblGrid>
      <w:tr w14:paraId="76D97CDC">
        <w:trPr>
          <w:trHeight w:val="193" w:hRule="atLeast"/>
          <w:tblHeader/>
          <w:jc w:val="center"/>
        </w:trPr>
        <w:tc>
          <w:tcPr>
            <w:tcW w:w="2357"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ED2F91E">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Exposure</w:t>
            </w:r>
          </w:p>
        </w:tc>
        <w:tc>
          <w:tcPr>
            <w:tcW w:w="134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7BE9DF8">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β (95% CI)</w:t>
            </w:r>
          </w:p>
        </w:tc>
        <w:tc>
          <w:tcPr>
            <w:tcW w:w="1292"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60C3C21">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33D15BCB">
        <w:trPr>
          <w:trHeight w:val="193" w:hRule="atLeast"/>
          <w:jc w:val="center"/>
        </w:trPr>
        <w:tc>
          <w:tcPr>
            <w:tcW w:w="2357"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A1A04B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Current ferritin level (log) predicting next-wave </w:t>
            </w:r>
            <w:r>
              <w:rPr>
                <w:rFonts w:hint="default" w:ascii="Times New Roman" w:hAnsi="Times New Roman" w:eastAsia="Times New Roman" w:cs="Times New Roman Regular"/>
                <w:b w:val="0"/>
                <w:bCs w:val="0"/>
                <w:color w:val="auto"/>
                <w:sz w:val="17"/>
                <w:szCs w:val="22"/>
                <w:lang w:val="en-US" w:eastAsia="zh-CN"/>
              </w:rPr>
              <w:t>FEV₁</w:t>
            </w:r>
            <w:r>
              <w:rPr>
                <w:rFonts w:hint="default" w:ascii="Times New Roman" w:hAnsi="Times New Roman" w:eastAsia="Times New Roman" w:cs="Times New Roman Regular"/>
                <w:i w:val="0"/>
                <w:iCs w:val="0"/>
                <w:color w:val="000000"/>
                <w:kern w:val="0"/>
                <w:sz w:val="17"/>
                <w:szCs w:val="22"/>
                <w:u w:val="none"/>
                <w:lang w:val="en-US" w:eastAsia="zh-CN" w:bidi="ar"/>
              </w:rPr>
              <w:t xml:space="preserve">, adjusted for current </w:t>
            </w:r>
            <w:r>
              <w:rPr>
                <w:rFonts w:hint="default" w:ascii="Times New Roman" w:hAnsi="Times New Roman" w:eastAsia="Times New Roman" w:cs="Times New Roman Regular"/>
                <w:b w:val="0"/>
                <w:bCs w:val="0"/>
                <w:color w:val="auto"/>
                <w:sz w:val="17"/>
                <w:szCs w:val="22"/>
                <w:lang w:val="en-US" w:eastAsia="zh-CN"/>
              </w:rPr>
              <w:t>FEV₁</w:t>
            </w:r>
          </w:p>
        </w:tc>
        <w:tc>
          <w:tcPr>
            <w:tcW w:w="134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E52B0D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0.02 (-0.02, 0.05)</w:t>
            </w:r>
          </w:p>
        </w:tc>
        <w:tc>
          <w:tcPr>
            <w:tcW w:w="1292"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6797EE2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0.32</w:t>
            </w:r>
          </w:p>
        </w:tc>
      </w:tr>
      <w:tr w14:paraId="57478C25">
        <w:trPr>
          <w:trHeight w:val="193" w:hRule="atLeast"/>
          <w:jc w:val="center"/>
        </w:trPr>
        <w:tc>
          <w:tcPr>
            <w:tcW w:w="2357" w:type="pct"/>
            <w:tcBorders>
              <w:top w:val="nil"/>
              <w:left w:val="nil"/>
              <w:bottom w:val="nil"/>
              <w:right w:val="nil"/>
            </w:tcBorders>
            <w:shd w:val="clear" w:color="auto" w:fill="FFFFFF"/>
            <w:tcMar>
              <w:top w:w="55" w:type="dxa"/>
              <w:left w:w="55" w:type="dxa"/>
              <w:bottom w:w="55" w:type="dxa"/>
              <w:right w:w="55" w:type="dxa"/>
            </w:tcMar>
            <w:vAlign w:val="center"/>
          </w:tcPr>
          <w:p w14:paraId="6A56243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Recent ferritin change predicting next-wave </w:t>
            </w:r>
            <w:r>
              <w:rPr>
                <w:rFonts w:hint="default" w:ascii="Times New Roman" w:hAnsi="Times New Roman" w:eastAsia="Times New Roman" w:cs="Times New Roman Regular"/>
                <w:b w:val="0"/>
                <w:bCs w:val="0"/>
                <w:color w:val="auto"/>
                <w:sz w:val="17"/>
                <w:szCs w:val="22"/>
                <w:lang w:val="en-US" w:eastAsia="zh-CN"/>
              </w:rPr>
              <w:t>FEV₁</w:t>
            </w:r>
            <w:r>
              <w:rPr>
                <w:rFonts w:hint="default" w:ascii="Times New Roman" w:hAnsi="Times New Roman" w:eastAsia="Times New Roman" w:cs="Times New Roman Regular"/>
                <w:i w:val="0"/>
                <w:iCs w:val="0"/>
                <w:color w:val="000000"/>
                <w:kern w:val="0"/>
                <w:sz w:val="17"/>
                <w:szCs w:val="22"/>
                <w:u w:val="none"/>
                <w:lang w:val="en-US" w:eastAsia="zh-CN" w:bidi="ar"/>
              </w:rPr>
              <w:t xml:space="preserve">, adjusted for current </w:t>
            </w:r>
            <w:r>
              <w:rPr>
                <w:rFonts w:hint="default" w:ascii="Times New Roman" w:hAnsi="Times New Roman" w:eastAsia="Times New Roman" w:cs="Times New Roman Regular"/>
                <w:b w:val="0"/>
                <w:bCs w:val="0"/>
                <w:color w:val="auto"/>
                <w:sz w:val="17"/>
                <w:szCs w:val="22"/>
                <w:lang w:val="en-US" w:eastAsia="zh-CN"/>
              </w:rPr>
              <w:t>FEV₁</w:t>
            </w:r>
          </w:p>
        </w:tc>
        <w:tc>
          <w:tcPr>
            <w:tcW w:w="1349" w:type="pct"/>
            <w:tcBorders>
              <w:top w:val="nil"/>
              <w:left w:val="nil"/>
              <w:bottom w:val="nil"/>
              <w:right w:val="nil"/>
            </w:tcBorders>
            <w:shd w:val="clear" w:color="auto" w:fill="FFFFFF"/>
            <w:tcMar>
              <w:top w:w="55" w:type="dxa"/>
              <w:left w:w="55" w:type="dxa"/>
              <w:bottom w:w="55" w:type="dxa"/>
              <w:right w:w="55" w:type="dxa"/>
            </w:tcMar>
            <w:vAlign w:val="center"/>
          </w:tcPr>
          <w:p w14:paraId="3B9206E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-0.07 (-0.17, 0.04)</w:t>
            </w:r>
          </w:p>
        </w:tc>
        <w:tc>
          <w:tcPr>
            <w:tcW w:w="1292" w:type="pct"/>
            <w:tcBorders>
              <w:top w:val="nil"/>
              <w:left w:val="nil"/>
              <w:bottom w:val="nil"/>
              <w:right w:val="nil"/>
            </w:tcBorders>
            <w:shd w:val="clear" w:color="auto" w:fill="FFFFFF"/>
            <w:tcMar>
              <w:top w:w="55" w:type="dxa"/>
              <w:left w:w="55" w:type="dxa"/>
              <w:bottom w:w="55" w:type="dxa"/>
              <w:right w:w="55" w:type="dxa"/>
            </w:tcMar>
            <w:vAlign w:val="center"/>
          </w:tcPr>
          <w:p w14:paraId="5465C01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0.227</w:t>
            </w:r>
          </w:p>
        </w:tc>
      </w:tr>
      <w:tr w14:paraId="128A83AA">
        <w:trPr>
          <w:trHeight w:val="193" w:hRule="atLeast"/>
          <w:jc w:val="center"/>
        </w:trPr>
        <w:tc>
          <w:tcPr>
            <w:tcW w:w="235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4C6D2B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Current low ferritin (&lt;30) predicting next-wave </w:t>
            </w:r>
            <w:r>
              <w:rPr>
                <w:rFonts w:hint="default" w:ascii="Times New Roman" w:hAnsi="Times New Roman" w:eastAsia="Times New Roman" w:cs="Times New Roman Regular"/>
                <w:b w:val="0"/>
                <w:bCs w:val="0"/>
                <w:color w:val="auto"/>
                <w:sz w:val="17"/>
                <w:szCs w:val="22"/>
                <w:lang w:val="en-US" w:eastAsia="zh-CN"/>
              </w:rPr>
              <w:t>FEV₁</w:t>
            </w:r>
            <w:r>
              <w:rPr>
                <w:rFonts w:hint="default" w:ascii="Times New Roman" w:hAnsi="Times New Roman" w:eastAsia="Times New Roman" w:cs="Times New Roman Regular"/>
                <w:i w:val="0"/>
                <w:iCs w:val="0"/>
                <w:color w:val="000000"/>
                <w:kern w:val="0"/>
                <w:sz w:val="17"/>
                <w:szCs w:val="22"/>
                <w:u w:val="none"/>
                <w:lang w:val="en-US" w:eastAsia="zh-CN" w:bidi="ar"/>
              </w:rPr>
              <w:t xml:space="preserve">, adjusted for current </w:t>
            </w:r>
            <w:r>
              <w:rPr>
                <w:rFonts w:hint="default" w:ascii="Times New Roman" w:hAnsi="Times New Roman" w:eastAsia="Times New Roman" w:cs="Times New Roman Regular"/>
                <w:b w:val="0"/>
                <w:bCs w:val="0"/>
                <w:color w:val="auto"/>
                <w:sz w:val="17"/>
                <w:szCs w:val="22"/>
                <w:lang w:val="en-US" w:eastAsia="zh-CN"/>
              </w:rPr>
              <w:t>FEV₁</w:t>
            </w:r>
          </w:p>
        </w:tc>
        <w:tc>
          <w:tcPr>
            <w:tcW w:w="134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D8FD0E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-0.04 (-0.16, 0.08)</w:t>
            </w:r>
          </w:p>
        </w:tc>
        <w:tc>
          <w:tcPr>
            <w:tcW w:w="1292"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FD7A0B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0.469</w:t>
            </w:r>
          </w:p>
        </w:tc>
      </w:tr>
    </w:tbl>
    <w:p w14:paraId="437BF251">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r>
        <w:rPr>
          <w:rFonts w:hint="default" w:ascii="Times New Roman" w:hAnsi="Times New Roman" w:eastAsia="Times New Roman" w:cs="Times New Roman Regular"/>
          <w:b/>
          <w:bCs/>
          <w:color w:val="auto"/>
          <w:sz w:val="20"/>
          <w:szCs w:val="22"/>
          <w:lang w:val="en-US" w:eastAsia="zh-CN"/>
        </w:rPr>
        <w:br w:type="textWrapping"/>
      </w:r>
      <w:r>
        <w:rPr>
          <w:rFonts w:hint="default" w:ascii="Times New Roman" w:hAnsi="Times New Roman" w:eastAsia="Times New Roman" w:cs="Times New Roman Regular"/>
          <w:b w:val="0"/>
          <w:bCs w:val="0"/>
          <w:color w:val="auto"/>
          <w:sz w:val="20"/>
          <w:szCs w:val="22"/>
          <w:lang w:val="en-US" w:eastAsia="zh-CN"/>
        </w:rPr>
        <w:t>Regression coefficients (β), 95% confidence intervals (CIs), and P values are shown from lagged linear mixed-effects models examining the associations between current ferritin-related measures and subsequent forced expiratory volume in 1 second (FEV₁) at the next wave, with additional adjustment for current FEV₁. Time-varying ferritin-related measures included current ferritin level, recent ferritin change between adjacent waves, current low ferritin status, and cumulative ferritin coefficient of variation (CV), as applicable. Models were additionally adjusted for follow-up time, age, sex, smoking status, body mass index (BMI), log-transformed C-reactive protein (CRP), and hemoglobin (Hb). These analyses were used to assess whether any lagged associations remained after accounting for contemporaneous lung function status.</w:t>
      </w:r>
    </w:p>
    <w:p w14:paraId="6B7211B7">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3ABB58D">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26C87F6">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39768284">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2F14D4C2">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68F6B752">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617C1DF">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4864B262">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3F18F0D">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69AF501">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55F28FF8">
      <w:pPr>
        <w:spacing w:before="0" w:after="0" w:line="240" w:lineRule="auto"/>
        <w:jc w:val="both"/>
        <w:rPr>
          <w:rFonts w:hint="default" w:ascii="Times New Roman Regular" w:hAnsi="Times New Roman Regular" w:cs="Times New Roman Regular"/>
          <w:b/>
          <w:bCs/>
          <w:color w:val="auto"/>
          <w:sz w:val="22"/>
          <w:szCs w:val="22"/>
          <w:lang w:val="en-US" w:eastAsia="zh-CN"/>
        </w:rPr>
      </w:pPr>
    </w:p>
    <w:p w14:paraId="46303F4D">
      <w:pPr>
        <w:spacing w:before="0" w:after="0" w:line="240" w:lineRule="auto"/>
        <w:rPr>
          <w:rFonts w:hint="default" w:ascii="Times New Roman Regular" w:hAnsi="Times New Roman Regular" w:cs="Times New Roman Regular"/>
          <w:b/>
          <w:bCs/>
          <w:color w:val="auto"/>
          <w:sz w:val="22"/>
          <w:szCs w:val="22"/>
          <w:lang w:val="en-US" w:eastAsia="zh-CN"/>
        </w:rPr>
      </w:pPr>
      <w:r>
        <w:rPr>
          <w:rFonts w:hint="default" w:ascii="Times New Roman Regular" w:hAnsi="Times New Roman Regular" w:cs="Times New Roman Regular"/>
          <w:b/>
          <w:bCs/>
          <w:color w:val="auto"/>
          <w:sz w:val="22"/>
          <w:szCs w:val="22"/>
          <w:lang w:val="en-US" w:eastAsia="zh-CN"/>
        </w:rPr>
        <w:br w:type="page"/>
      </w:r>
    </w:p>
    <w:p w14:paraId="71390D38">
      <w:pPr>
        <w:pStyle w:val="2"/>
        <w:keepNext/>
        <w:spacing w:before="0" w:after="120" w:line="240" w:lineRule="auto"/>
        <w:jc w:val="both"/>
        <w:rPr>
          <w:rFonts w:hint="default" w:ascii="Times New Roman Regular" w:hAnsi="Times New Roman Regular" w:cs="Times New Roman Regular"/>
          <w:b/>
          <w:bCs/>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Supplementary Table S36. Lagged logistic models for next-wave marked FEV₁ decline after additional adjustment for current FEV₁</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295"/>
        <w:gridCol w:w="3076"/>
        <w:gridCol w:w="2995"/>
      </w:tblGrid>
      <w:tr w14:paraId="16608162">
        <w:trPr>
          <w:trHeight w:val="193" w:hRule="atLeast"/>
          <w:tblHeader/>
          <w:jc w:val="center"/>
        </w:trPr>
        <w:tc>
          <w:tcPr>
            <w:tcW w:w="2886"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5C77F5B">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Exposure</w:t>
            </w:r>
          </w:p>
        </w:tc>
        <w:tc>
          <w:tcPr>
            <w:tcW w:w="107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585C34B">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OR (95% CI)</w:t>
            </w:r>
          </w:p>
        </w:tc>
        <w:tc>
          <w:tcPr>
            <w:tcW w:w="1042"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CC6E30E">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00970DC3">
        <w:trPr>
          <w:trHeight w:val="193" w:hRule="atLeast"/>
          <w:jc w:val="center"/>
        </w:trPr>
        <w:tc>
          <w:tcPr>
            <w:tcW w:w="2886"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94E7BD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Current ferritin level predicting next-wave </w:t>
            </w:r>
            <w:r>
              <w:rPr>
                <w:rFonts w:hint="default" w:ascii="Times New Roman" w:hAnsi="Times New Roman" w:eastAsia="Times New Roman" w:cs="Times New Roman Regular"/>
                <w:b w:val="0"/>
                <w:bCs w:val="0"/>
                <w:color w:val="auto"/>
                <w:sz w:val="17"/>
                <w:szCs w:val="22"/>
                <w:lang w:val="en-US" w:eastAsia="zh-CN"/>
              </w:rPr>
              <w:t>FEV₁</w:t>
            </w:r>
            <w:r>
              <w:rPr>
                <w:rFonts w:hint="default" w:ascii="Times New Roman" w:hAnsi="Times New Roman" w:eastAsia="Times New Roman" w:cs="Times New Roman Regular"/>
                <w:i w:val="0"/>
                <w:iCs w:val="0"/>
                <w:color w:val="000000"/>
                <w:kern w:val="0"/>
                <w:sz w:val="17"/>
                <w:szCs w:val="22"/>
                <w:u w:val="none"/>
                <w:lang w:val="en-US" w:eastAsia="zh-CN" w:bidi="ar"/>
              </w:rPr>
              <w:t xml:space="preserve"> decline &gt;15%, adjusted for current </w:t>
            </w:r>
            <w:r>
              <w:rPr>
                <w:rFonts w:hint="default" w:ascii="Times New Roman" w:hAnsi="Times New Roman" w:eastAsia="Times New Roman" w:cs="Times New Roman Regular"/>
                <w:b w:val="0"/>
                <w:bCs w:val="0"/>
                <w:color w:val="auto"/>
                <w:sz w:val="17"/>
                <w:szCs w:val="22"/>
                <w:lang w:val="en-US" w:eastAsia="zh-CN"/>
              </w:rPr>
              <w:t>FEV₁</w:t>
            </w:r>
          </w:p>
        </w:tc>
        <w:tc>
          <w:tcPr>
            <w:tcW w:w="107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498C5B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0.94 (0.80, 1.12)</w:t>
            </w:r>
          </w:p>
        </w:tc>
        <w:tc>
          <w:tcPr>
            <w:tcW w:w="1042"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1C6F1B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0.496</w:t>
            </w:r>
          </w:p>
        </w:tc>
      </w:tr>
      <w:tr w14:paraId="3401692A">
        <w:trPr>
          <w:trHeight w:val="193" w:hRule="atLeast"/>
          <w:jc w:val="center"/>
        </w:trPr>
        <w:tc>
          <w:tcPr>
            <w:tcW w:w="2886" w:type="pct"/>
            <w:tcBorders>
              <w:top w:val="nil"/>
              <w:left w:val="nil"/>
              <w:bottom w:val="nil"/>
              <w:right w:val="nil"/>
            </w:tcBorders>
            <w:shd w:val="clear" w:color="auto" w:fill="FFFFFF"/>
            <w:tcMar>
              <w:top w:w="55" w:type="dxa"/>
              <w:left w:w="55" w:type="dxa"/>
              <w:bottom w:w="55" w:type="dxa"/>
              <w:right w:w="55" w:type="dxa"/>
            </w:tcMar>
            <w:vAlign w:val="center"/>
          </w:tcPr>
          <w:p w14:paraId="70A8999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Recent ferritin change predicting next-wave </w:t>
            </w:r>
            <w:r>
              <w:rPr>
                <w:rFonts w:hint="default" w:ascii="Times New Roman" w:hAnsi="Times New Roman" w:eastAsia="Times New Roman" w:cs="Times New Roman Regular"/>
                <w:b w:val="0"/>
                <w:bCs w:val="0"/>
                <w:color w:val="auto"/>
                <w:sz w:val="17"/>
                <w:szCs w:val="22"/>
                <w:lang w:val="en-US" w:eastAsia="zh-CN"/>
              </w:rPr>
              <w:t>FEV₁</w:t>
            </w:r>
            <w:r>
              <w:rPr>
                <w:rFonts w:hint="default" w:ascii="Times New Roman" w:hAnsi="Times New Roman" w:eastAsia="Times New Roman" w:cs="Times New Roman Regular"/>
                <w:i w:val="0"/>
                <w:iCs w:val="0"/>
                <w:color w:val="000000"/>
                <w:kern w:val="0"/>
                <w:sz w:val="17"/>
                <w:szCs w:val="22"/>
                <w:u w:val="none"/>
                <w:lang w:val="en-US" w:eastAsia="zh-CN" w:bidi="ar"/>
              </w:rPr>
              <w:t xml:space="preserve"> decline &gt;15%, adjusted for current </w:t>
            </w:r>
            <w:r>
              <w:rPr>
                <w:rFonts w:hint="default" w:ascii="Times New Roman" w:hAnsi="Times New Roman" w:eastAsia="Times New Roman" w:cs="Times New Roman Regular"/>
                <w:b w:val="0"/>
                <w:bCs w:val="0"/>
                <w:color w:val="auto"/>
                <w:sz w:val="17"/>
                <w:szCs w:val="22"/>
                <w:lang w:val="en-US" w:eastAsia="zh-CN"/>
              </w:rPr>
              <w:t>FEV₁</w:t>
            </w:r>
          </w:p>
        </w:tc>
        <w:tc>
          <w:tcPr>
            <w:tcW w:w="1070" w:type="pct"/>
            <w:tcBorders>
              <w:top w:val="nil"/>
              <w:left w:val="nil"/>
              <w:bottom w:val="nil"/>
              <w:right w:val="nil"/>
            </w:tcBorders>
            <w:shd w:val="clear" w:color="auto" w:fill="FFFFFF"/>
            <w:tcMar>
              <w:top w:w="55" w:type="dxa"/>
              <w:left w:w="55" w:type="dxa"/>
              <w:bottom w:w="55" w:type="dxa"/>
              <w:right w:w="55" w:type="dxa"/>
            </w:tcMar>
            <w:vAlign w:val="center"/>
          </w:tcPr>
          <w:p w14:paraId="33AE9A3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1.62 (0.93, 2.86)</w:t>
            </w:r>
          </w:p>
        </w:tc>
        <w:tc>
          <w:tcPr>
            <w:tcW w:w="1042" w:type="pct"/>
            <w:tcBorders>
              <w:top w:val="nil"/>
              <w:left w:val="nil"/>
              <w:bottom w:val="nil"/>
              <w:right w:val="nil"/>
            </w:tcBorders>
            <w:shd w:val="clear" w:color="auto" w:fill="FFFFFF"/>
            <w:tcMar>
              <w:top w:w="55" w:type="dxa"/>
              <w:left w:w="55" w:type="dxa"/>
              <w:bottom w:w="55" w:type="dxa"/>
              <w:right w:w="55" w:type="dxa"/>
            </w:tcMar>
            <w:vAlign w:val="center"/>
          </w:tcPr>
          <w:p w14:paraId="7FE6AFD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0.088</w:t>
            </w:r>
          </w:p>
        </w:tc>
      </w:tr>
      <w:tr w14:paraId="0270FFD0">
        <w:trPr>
          <w:trHeight w:val="193" w:hRule="atLeast"/>
          <w:jc w:val="center"/>
        </w:trPr>
        <w:tc>
          <w:tcPr>
            <w:tcW w:w="2886"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6DA009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Current low ferritin (&lt;30) predicting next-wave </w:t>
            </w:r>
            <w:r>
              <w:rPr>
                <w:rFonts w:hint="default" w:ascii="Times New Roman" w:hAnsi="Times New Roman" w:eastAsia="Times New Roman" w:cs="Times New Roman Regular"/>
                <w:b w:val="0"/>
                <w:bCs w:val="0"/>
                <w:color w:val="auto"/>
                <w:sz w:val="17"/>
                <w:szCs w:val="22"/>
                <w:lang w:val="en-US" w:eastAsia="zh-CN"/>
              </w:rPr>
              <w:t>FEV₁</w:t>
            </w:r>
            <w:r>
              <w:rPr>
                <w:rFonts w:hint="default" w:ascii="Times New Roman" w:hAnsi="Times New Roman" w:eastAsia="Times New Roman" w:cs="Times New Roman Regular"/>
                <w:i w:val="0"/>
                <w:iCs w:val="0"/>
                <w:color w:val="000000"/>
                <w:kern w:val="0"/>
                <w:sz w:val="17"/>
                <w:szCs w:val="22"/>
                <w:u w:val="none"/>
                <w:lang w:val="en-US" w:eastAsia="zh-CN" w:bidi="ar"/>
              </w:rPr>
              <w:t xml:space="preserve"> decline &gt;15%, adjusted for current </w:t>
            </w:r>
            <w:r>
              <w:rPr>
                <w:rFonts w:hint="default" w:ascii="Times New Roman" w:hAnsi="Times New Roman" w:eastAsia="Times New Roman" w:cs="Times New Roman Regular"/>
                <w:b w:val="0"/>
                <w:bCs w:val="0"/>
                <w:color w:val="auto"/>
                <w:sz w:val="17"/>
                <w:szCs w:val="22"/>
                <w:lang w:val="en-US" w:eastAsia="zh-CN"/>
              </w:rPr>
              <w:t>FEV₁</w:t>
            </w:r>
          </w:p>
        </w:tc>
        <w:tc>
          <w:tcPr>
            <w:tcW w:w="107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535F4D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1.10 (0.59, 2.00)</w:t>
            </w:r>
          </w:p>
        </w:tc>
        <w:tc>
          <w:tcPr>
            <w:tcW w:w="1042"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2AF23F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0.753</w:t>
            </w:r>
          </w:p>
        </w:tc>
      </w:tr>
    </w:tbl>
    <w:p w14:paraId="3EEBC7A0">
      <w:pPr>
        <w:spacing w:before="0" w:after="120" w:line="240" w:lineRule="auto"/>
        <w:jc w:val="both"/>
        <w:rPr>
          <w:rFonts w:hint="default" w:ascii="Times New Roman Regular" w:hAnsi="Times New Roman Regular" w:cs="Times New Roman Regular"/>
          <w:b w:val="0"/>
          <w:bCs w:val="0"/>
          <w:color w:val="auto"/>
          <w:sz w:val="22"/>
          <w:szCs w:val="22"/>
          <w:lang w:val="en-US" w:eastAsia="zh-CN"/>
        </w:rPr>
      </w:pPr>
      <w:r>
        <w:rPr>
          <w:rFonts w:hint="default" w:ascii="Times New Roman" w:hAnsi="Times New Roman" w:eastAsia="Times New Roman" w:cs="Times New Roman Regular"/>
          <w:b/>
          <w:bCs/>
          <w:color w:val="auto"/>
          <w:sz w:val="20"/>
          <w:szCs w:val="22"/>
          <w:lang w:val="en-US" w:eastAsia="zh-CN"/>
        </w:rPr>
        <w:t>Footnote:</w:t>
      </w:r>
      <w:r>
        <w:rPr>
          <w:rFonts w:hint="default" w:ascii="Times New Roman" w:hAnsi="Times New Roman" w:eastAsia="Times New Roman" w:cs="Times New Roman Regular"/>
          <w:b/>
          <w:bCs/>
          <w:color w:val="auto"/>
          <w:sz w:val="20"/>
          <w:szCs w:val="22"/>
          <w:lang w:val="en-US" w:eastAsia="zh-CN"/>
        </w:rPr>
        <w:br w:type="textWrapping"/>
      </w:r>
      <w:r>
        <w:rPr>
          <w:rFonts w:hint="default" w:ascii="Times New Roman" w:hAnsi="Times New Roman" w:eastAsia="Times New Roman" w:cs="Times New Roman Regular"/>
          <w:b w:val="0"/>
          <w:bCs w:val="0"/>
          <w:color w:val="auto"/>
          <w:sz w:val="20"/>
          <w:szCs w:val="22"/>
          <w:lang w:val="en-US" w:eastAsia="zh-CN"/>
        </w:rPr>
        <w:t>Odds ratios (ORs), 95% confidence intervals (CIs), and P values are shown from lagged logistic regression models examining the associations between current ferritin-related measures and next-wave marked FEV₁ decline, with additional adjustment for current FEV₁. Time-varying ferritin-related measures included current ferritin level, recent ferritin change, current low ferritin status, and cumulative ferritin coefficient of variation (CV), as applicable. Models were additionally adjusted for follow-up time, age, sex, smoking status, body mass index (BMI), log-transformed C-reactive protein (CRP), and hemoglobin (Hb). These analyses were used to evaluate whether the prediction of subsequent marked FEV₁ decline remained after accounting for current lung function status.</w:t>
      </w:r>
    </w:p>
    <w:p w14:paraId="14DE9396">
      <w:pPr>
        <w:spacing w:before="0" w:after="0" w:line="240" w:lineRule="auto"/>
        <w:jc w:val="both"/>
        <w:rPr>
          <w:rFonts w:hint="default" w:ascii="Times New Roman Regular" w:hAnsi="Times New Roman Regular" w:cs="Times New Roman Regular"/>
          <w:b w:val="0"/>
          <w:bCs w:val="0"/>
          <w:color w:val="auto"/>
          <w:sz w:val="22"/>
          <w:szCs w:val="22"/>
          <w:lang w:val="en-US" w:eastAsia="zh-CN"/>
        </w:rPr>
      </w:pPr>
    </w:p>
    <w:p w14:paraId="022C288D">
      <w:pPr>
        <w:bidi w:val="0"/>
        <w:spacing w:before="0" w:after="0" w:line="240" w:lineRule="auto"/>
        <w:rPr>
          <w:rFonts w:hint="default" w:ascii="Times New Roman Regular" w:hAnsi="Times New Roman Regular" w:cs="Times New Roman Regular" w:eastAsiaTheme="minorEastAsia"/>
          <w:kern w:val="2"/>
          <w:sz w:val="22"/>
          <w:szCs w:val="22"/>
          <w:lang w:val="en-US" w:eastAsia="zh-CN" w:bidi="ar-SA"/>
        </w:rPr>
      </w:pPr>
    </w:p>
    <w:p w14:paraId="5E6F9698">
      <w:pPr>
        <w:bidi w:val="0"/>
        <w:spacing w:before="0" w:after="0" w:line="240" w:lineRule="auto"/>
        <w:rPr>
          <w:rFonts w:hint="default" w:ascii="Times New Roman Regular" w:hAnsi="Times New Roman Regular" w:cs="Times New Roman Regular"/>
          <w:sz w:val="22"/>
          <w:szCs w:val="22"/>
          <w:lang w:val="en-US" w:eastAsia="zh-CN"/>
        </w:rPr>
      </w:pPr>
    </w:p>
    <w:p w14:paraId="02DDE2B2">
      <w:pPr>
        <w:bidi w:val="0"/>
        <w:spacing w:before="0" w:after="0" w:line="240" w:lineRule="auto"/>
        <w:rPr>
          <w:rFonts w:hint="default" w:ascii="Times New Roman Regular" w:hAnsi="Times New Roman Regular" w:cs="Times New Roman Regular"/>
          <w:sz w:val="22"/>
          <w:szCs w:val="22"/>
          <w:lang w:val="en-US" w:eastAsia="zh-CN"/>
        </w:rPr>
      </w:pPr>
    </w:p>
    <w:p w14:paraId="6988145C">
      <w:pPr>
        <w:bidi w:val="0"/>
        <w:spacing w:before="0" w:after="0" w:line="240" w:lineRule="auto"/>
        <w:rPr>
          <w:rFonts w:hint="default" w:ascii="Times New Roman Regular" w:hAnsi="Times New Roman Regular" w:cs="Times New Roman Regular"/>
          <w:sz w:val="22"/>
          <w:szCs w:val="22"/>
          <w:lang w:val="en-US" w:eastAsia="zh-CN"/>
        </w:rPr>
      </w:pPr>
    </w:p>
    <w:p w14:paraId="256887D0">
      <w:pPr>
        <w:bidi w:val="0"/>
        <w:spacing w:before="0" w:after="0" w:line="240" w:lineRule="auto"/>
        <w:rPr>
          <w:rFonts w:hint="default" w:ascii="Times New Roman Regular" w:hAnsi="Times New Roman Regular" w:cs="Times New Roman Regular"/>
          <w:sz w:val="22"/>
          <w:szCs w:val="22"/>
          <w:lang w:val="en-US" w:eastAsia="zh-CN"/>
        </w:rPr>
      </w:pPr>
    </w:p>
    <w:p w14:paraId="40F3916B">
      <w:pPr>
        <w:bidi w:val="0"/>
        <w:spacing w:before="0" w:after="0" w:line="240" w:lineRule="auto"/>
        <w:rPr>
          <w:rFonts w:hint="default" w:ascii="Times New Roman Regular" w:hAnsi="Times New Roman Regular" w:cs="Times New Roman Regular"/>
          <w:sz w:val="22"/>
          <w:szCs w:val="22"/>
          <w:lang w:val="en-US" w:eastAsia="zh-CN"/>
        </w:rPr>
      </w:pPr>
    </w:p>
    <w:p w14:paraId="095AF72E">
      <w:pPr>
        <w:bidi w:val="0"/>
        <w:spacing w:before="0" w:after="0" w:line="240" w:lineRule="auto"/>
        <w:rPr>
          <w:rFonts w:hint="default" w:ascii="Times New Roman Regular" w:hAnsi="Times New Roman Regular" w:cs="Times New Roman Regular"/>
          <w:sz w:val="22"/>
          <w:szCs w:val="22"/>
          <w:lang w:val="en-US" w:eastAsia="zh-CN"/>
        </w:rPr>
      </w:pPr>
    </w:p>
    <w:p w14:paraId="6B68DCCA">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r>
        <w:rPr>
          <w:rFonts w:hint="default" w:ascii="Times New Roman Regular" w:hAnsi="Times New Roman Regular" w:cs="Times New Roman Regular"/>
          <w:sz w:val="22"/>
          <w:szCs w:val="22"/>
          <w:lang w:val="en-US" w:eastAsia="zh-CN"/>
        </w:rPr>
        <w:tab/>
      </w:r>
    </w:p>
    <w:p w14:paraId="112C5912">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30F841A">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1E3A425C">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3C58C9A">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36170C8">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772A8A39">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24E0F6A">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1122D4AA">
      <w:pPr>
        <w:spacing w:before="0" w:after="0" w:line="240" w:lineRule="auto"/>
        <w:rPr>
          <w:rFonts w:hint="default" w:ascii="Times New Roman Regular" w:hAnsi="Times New Roman Regular" w:cs="Times New Roman Regular"/>
          <w:b/>
          <w:bCs/>
          <w:sz w:val="22"/>
          <w:szCs w:val="22"/>
          <w:lang w:val="en-US" w:eastAsia="zh-CN"/>
        </w:rPr>
      </w:pPr>
      <w:r>
        <w:rPr>
          <w:rFonts w:hint="default" w:ascii="Times New Roman Regular" w:hAnsi="Times New Roman Regular" w:cs="Times New Roman Regular"/>
          <w:b/>
          <w:bCs/>
          <w:sz w:val="22"/>
          <w:szCs w:val="22"/>
          <w:lang w:val="en-US" w:eastAsia="zh-CN"/>
        </w:rPr>
        <w:br w:type="page"/>
      </w:r>
    </w:p>
    <w:p w14:paraId="2044AC3D">
      <w:pPr>
        <w:pStyle w:val="2"/>
        <w:keepNext/>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S37. Joint-model analyses of current ferritin-related measures and concurrent FEV₁</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06"/>
        <w:gridCol w:w="4578"/>
        <w:gridCol w:w="1982"/>
      </w:tblGrid>
      <w:tr w14:paraId="58A54585">
        <w:trPr>
          <w:trHeight w:val="336" w:hRule="atLeast"/>
          <w:tblHeader/>
          <w:jc w:val="center"/>
        </w:trPr>
        <w:tc>
          <w:tcPr>
            <w:tcW w:w="4021" w:type="dxa"/>
            <w:tcBorders>
              <w:top w:val="single" w:color="000000" w:sz="12" w:space="0"/>
              <w:left w:val="nil"/>
              <w:bottom w:val="single" w:color="000000" w:sz="4" w:space="0"/>
              <w:right w:val="nil"/>
              <w:tl2br w:val="nil"/>
            </w:tcBorders>
            <w:shd w:val="clear" w:color="auto" w:fill="EAF2F8"/>
            <w:noWrap/>
            <w:tcMar>
              <w:top w:w="55" w:type="dxa"/>
              <w:left w:w="55" w:type="dxa"/>
              <w:bottom w:w="55" w:type="dxa"/>
              <w:right w:w="55" w:type="dxa"/>
            </w:tcMar>
            <w:vAlign w:val="center"/>
          </w:tcPr>
          <w:p w14:paraId="35584B02">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Exposure</w:t>
            </w:r>
          </w:p>
        </w:tc>
        <w:tc>
          <w:tcPr>
            <w:tcW w:w="2358" w:type="dxa"/>
            <w:tcBorders>
              <w:top w:val="single" w:color="000000" w:sz="12" w:space="0"/>
              <w:left w:val="nil"/>
              <w:bottom w:val="single" w:color="000000" w:sz="4" w:space="0"/>
              <w:right w:val="nil"/>
            </w:tcBorders>
            <w:shd w:val="clear" w:color="auto" w:fill="EAF2F8"/>
            <w:noWrap/>
            <w:tcMar>
              <w:top w:w="55" w:type="dxa"/>
              <w:left w:w="55" w:type="dxa"/>
              <w:bottom w:w="55" w:type="dxa"/>
              <w:right w:w="55" w:type="dxa"/>
            </w:tcMar>
            <w:vAlign w:val="center"/>
          </w:tcPr>
          <w:p w14:paraId="128CBCF4">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sz w:val="17"/>
                <w:szCs w:val="22"/>
                <w:u w:val="none"/>
                <w:lang w:val="en-US" w:eastAsia="zh-CN"/>
              </w:rPr>
              <w:t>β (95% CI)</w:t>
            </w:r>
          </w:p>
        </w:tc>
        <w:tc>
          <w:tcPr>
            <w:tcW w:w="1021" w:type="dxa"/>
            <w:tcBorders>
              <w:top w:val="single" w:color="000000" w:sz="12" w:space="0"/>
              <w:left w:val="nil"/>
              <w:bottom w:val="single" w:color="000000" w:sz="4" w:space="0"/>
              <w:right w:val="nil"/>
            </w:tcBorders>
            <w:shd w:val="clear" w:color="auto" w:fill="EAF2F8"/>
            <w:noWrap/>
            <w:tcMar>
              <w:top w:w="55" w:type="dxa"/>
              <w:left w:w="55" w:type="dxa"/>
              <w:bottom w:w="55" w:type="dxa"/>
              <w:right w:w="55" w:type="dxa"/>
            </w:tcMar>
            <w:vAlign w:val="center"/>
          </w:tcPr>
          <w:p w14:paraId="7408E183">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0CE853CA">
        <w:trPr>
          <w:trHeight w:val="336" w:hRule="atLeast"/>
          <w:jc w:val="center"/>
        </w:trPr>
        <w:tc>
          <w:tcPr>
            <w:tcW w:w="4021" w:type="dxa"/>
            <w:tcBorders>
              <w:top w:val="single" w:color="000000" w:sz="4" w:space="0"/>
              <w:left w:val="nil"/>
              <w:bottom w:val="nil"/>
              <w:right w:val="nil"/>
            </w:tcBorders>
            <w:shd w:val="clear" w:color="auto" w:fill="FFFFFF"/>
            <w:noWrap/>
            <w:tcMar>
              <w:top w:w="55" w:type="dxa"/>
              <w:left w:w="55" w:type="dxa"/>
              <w:bottom w:w="55" w:type="dxa"/>
              <w:right w:w="55" w:type="dxa"/>
            </w:tcMar>
            <w:vAlign w:val="center"/>
          </w:tcPr>
          <w:p w14:paraId="4BF1B892">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Current ferritin level (log)</w:t>
            </w:r>
          </w:p>
        </w:tc>
        <w:tc>
          <w:tcPr>
            <w:tcW w:w="2358" w:type="dxa"/>
            <w:tcBorders>
              <w:top w:val="single" w:color="000000" w:sz="4" w:space="0"/>
              <w:left w:val="nil"/>
              <w:bottom w:val="nil"/>
              <w:right w:val="nil"/>
            </w:tcBorders>
            <w:shd w:val="clear" w:color="auto" w:fill="FFFFFF"/>
            <w:noWrap/>
            <w:tcMar>
              <w:top w:w="55" w:type="dxa"/>
              <w:left w:w="55" w:type="dxa"/>
              <w:bottom w:w="55" w:type="dxa"/>
              <w:right w:w="55" w:type="dxa"/>
            </w:tcMar>
            <w:vAlign w:val="center"/>
          </w:tcPr>
          <w:p w14:paraId="20172470">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0.063 (0.011, 0.114)</w:t>
            </w:r>
          </w:p>
        </w:tc>
        <w:tc>
          <w:tcPr>
            <w:tcW w:w="1021" w:type="dxa"/>
            <w:tcBorders>
              <w:top w:val="single" w:color="000000" w:sz="4" w:space="0"/>
              <w:left w:val="nil"/>
              <w:bottom w:val="nil"/>
              <w:right w:val="nil"/>
            </w:tcBorders>
            <w:shd w:val="clear" w:color="auto" w:fill="FFFFFF"/>
            <w:noWrap/>
            <w:tcMar>
              <w:top w:w="55" w:type="dxa"/>
              <w:left w:w="55" w:type="dxa"/>
              <w:bottom w:w="55" w:type="dxa"/>
              <w:right w:w="55" w:type="dxa"/>
            </w:tcMar>
            <w:vAlign w:val="center"/>
          </w:tcPr>
          <w:p w14:paraId="578FABCB">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0.017</w:t>
            </w:r>
          </w:p>
        </w:tc>
      </w:tr>
      <w:tr w14:paraId="7A52628D">
        <w:trPr>
          <w:trHeight w:val="336" w:hRule="atLeast"/>
          <w:jc w:val="center"/>
        </w:trPr>
        <w:tc>
          <w:tcPr>
            <w:tcW w:w="4021" w:type="dxa"/>
            <w:tcBorders>
              <w:top w:val="nil"/>
              <w:left w:val="nil"/>
              <w:bottom w:val="nil"/>
              <w:right w:val="nil"/>
            </w:tcBorders>
            <w:shd w:val="clear" w:color="auto" w:fill="FFFFFF"/>
            <w:noWrap/>
            <w:tcMar>
              <w:top w:w="55" w:type="dxa"/>
              <w:left w:w="55" w:type="dxa"/>
              <w:bottom w:w="55" w:type="dxa"/>
              <w:right w:w="55" w:type="dxa"/>
            </w:tcMar>
            <w:vAlign w:val="center"/>
          </w:tcPr>
          <w:p w14:paraId="3D1758F3">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Recent ferritin change (abs log-difference)</w:t>
            </w:r>
          </w:p>
        </w:tc>
        <w:tc>
          <w:tcPr>
            <w:tcW w:w="2358" w:type="dxa"/>
            <w:tcBorders>
              <w:top w:val="nil"/>
              <w:left w:val="nil"/>
              <w:bottom w:val="nil"/>
              <w:right w:val="nil"/>
            </w:tcBorders>
            <w:shd w:val="clear" w:color="auto" w:fill="FFFFFF"/>
            <w:noWrap/>
            <w:tcMar>
              <w:top w:w="55" w:type="dxa"/>
              <w:left w:w="55" w:type="dxa"/>
              <w:bottom w:w="55" w:type="dxa"/>
              <w:right w:w="55" w:type="dxa"/>
            </w:tcMar>
            <w:vAlign w:val="center"/>
          </w:tcPr>
          <w:p w14:paraId="3C6D02E4">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-0.022 (-0.090, 0.047)</w:t>
            </w:r>
          </w:p>
        </w:tc>
        <w:tc>
          <w:tcPr>
            <w:tcW w:w="1021" w:type="dxa"/>
            <w:tcBorders>
              <w:top w:val="nil"/>
              <w:left w:val="nil"/>
              <w:bottom w:val="nil"/>
              <w:right w:val="nil"/>
            </w:tcBorders>
            <w:shd w:val="clear" w:color="auto" w:fill="FFFFFF"/>
            <w:noWrap/>
            <w:tcMar>
              <w:top w:w="55" w:type="dxa"/>
              <w:left w:w="55" w:type="dxa"/>
              <w:bottom w:w="55" w:type="dxa"/>
              <w:right w:w="55" w:type="dxa"/>
            </w:tcMar>
            <w:vAlign w:val="center"/>
          </w:tcPr>
          <w:p w14:paraId="5C5C8861">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0.534</w:t>
            </w:r>
          </w:p>
        </w:tc>
      </w:tr>
      <w:tr w14:paraId="771775D4">
        <w:trPr>
          <w:trHeight w:val="336" w:hRule="atLeast"/>
          <w:jc w:val="center"/>
        </w:trPr>
        <w:tc>
          <w:tcPr>
            <w:tcW w:w="4021" w:type="dxa"/>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2392BA81">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Current low ferritin (&lt;30)</w:t>
            </w:r>
          </w:p>
        </w:tc>
        <w:tc>
          <w:tcPr>
            <w:tcW w:w="2358" w:type="dxa"/>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31D96A23">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0.205 (0.021, 0.389)</w:t>
            </w:r>
          </w:p>
        </w:tc>
        <w:tc>
          <w:tcPr>
            <w:tcW w:w="1021" w:type="dxa"/>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080C464D">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0.029</w:t>
            </w:r>
          </w:p>
        </w:tc>
      </w:tr>
    </w:tbl>
    <w:p w14:paraId="41B1F5E6">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sz w:val="20"/>
          <w:szCs w:val="22"/>
          <w:lang w:val="en-US" w:eastAsia="zh-CN"/>
        </w:rPr>
        <w:br w:type="textWrapping"/>
      </w:r>
      <w:r>
        <w:rPr>
          <w:rFonts w:hint="default" w:ascii="Times New Roman" w:hAnsi="Times New Roman" w:eastAsia="Times New Roman" w:cs="Times New Roman Regular"/>
          <w:sz w:val="20"/>
          <w:szCs w:val="22"/>
          <w:lang w:val="en-US" w:eastAsia="zh-CN"/>
        </w:rPr>
        <w:t>Regression coefficients (β), 95% confidence intervals (CIs), and P values are shown from joint models examining current ferritin-related measures in relation to concurrent forced expiratory volume in 1 second (</w:t>
      </w:r>
      <w:r>
        <w:rPr>
          <w:rFonts w:hint="default" w:ascii="Times New Roman" w:hAnsi="Times New Roman" w:eastAsia="Times New Roman" w:cs="Times New Roman Regular"/>
          <w:b w:val="0"/>
          <w:bCs w:val="0"/>
          <w:color w:val="auto"/>
          <w:sz w:val="20"/>
          <w:szCs w:val="22"/>
          <w:lang w:val="en-US" w:eastAsia="zh-CN"/>
        </w:rPr>
        <w:t>FEV₁</w:t>
      </w:r>
      <w:r>
        <w:rPr>
          <w:rFonts w:hint="default" w:ascii="Times New Roman" w:hAnsi="Times New Roman" w:eastAsia="Times New Roman" w:cs="Times New Roman Regular"/>
          <w:sz w:val="20"/>
          <w:szCs w:val="22"/>
          <w:lang w:val="en-US" w:eastAsia="zh-CN"/>
        </w:rPr>
        <w:t>). The table includes models in which multiple current ferritin-related measures were entered simultaneously, as specified in the table. Models were adjusted for follow-up time, age, sex, smoking status, body mass index (BMI), log-transformed C-reactive protein (CRP), and hemoglobin (Hb). These analyses are provided as supplementary sensitivity analyses to assess whether results differed when multiple current ferritin-related measures were modeled jointly.</w:t>
      </w:r>
    </w:p>
    <w:p w14:paraId="133A8F27">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712DA7D9">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1C02DFCD">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C9CB73A">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8877A61">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7F09E9C2">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12B0886D">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143774F">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1F3FACEC">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F5DC5C0">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06E2B87D">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C12A501">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54D5367">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321B2DF">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509ABDE">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CE68369">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43F4FE2">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D8612DA">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258AE5F">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0415E99">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5FCB883">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8F4C884">
      <w:pPr>
        <w:spacing w:before="0" w:after="0" w:line="240" w:lineRule="auto"/>
        <w:rPr>
          <w:rFonts w:hint="default" w:ascii="Times New Roman Regular" w:hAnsi="Times New Roman Regular" w:cs="Times New Roman Regular"/>
          <w:b/>
          <w:bCs/>
          <w:sz w:val="22"/>
          <w:szCs w:val="22"/>
          <w:lang w:val="en-US" w:eastAsia="zh-CN"/>
        </w:rPr>
      </w:pPr>
      <w:r>
        <w:rPr>
          <w:rFonts w:hint="default" w:ascii="Times New Roman Regular" w:hAnsi="Times New Roman Regular" w:cs="Times New Roman Regular"/>
          <w:b/>
          <w:bCs/>
          <w:sz w:val="22"/>
          <w:szCs w:val="22"/>
          <w:lang w:val="en-US" w:eastAsia="zh-CN"/>
        </w:rPr>
        <w:br w:type="page"/>
      </w:r>
    </w:p>
    <w:p w14:paraId="3CAE1F63">
      <w:pPr>
        <w:pStyle w:val="2"/>
        <w:keepNext/>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S38. Joint-model analyses of current ferritin-related measures and marked FEV₁ decline</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10"/>
        <w:gridCol w:w="4179"/>
        <w:gridCol w:w="1777"/>
      </w:tblGrid>
      <w:tr w14:paraId="6E335F16">
        <w:trPr>
          <w:trHeight w:val="336" w:hRule="atLeast"/>
          <w:tblHeader/>
          <w:jc w:val="center"/>
        </w:trPr>
        <w:tc>
          <w:tcPr>
            <w:tcW w:w="2926" w:type="pct"/>
            <w:tcBorders>
              <w:top w:val="single" w:color="000000" w:sz="12" w:space="0"/>
              <w:left w:val="nil"/>
              <w:bottom w:val="single" w:color="000000" w:sz="4" w:space="0"/>
              <w:right w:val="nil"/>
              <w:tl2br w:val="nil"/>
            </w:tcBorders>
            <w:shd w:val="clear" w:color="auto" w:fill="EAF2F8"/>
            <w:noWrap/>
            <w:tcMar>
              <w:top w:w="55" w:type="dxa"/>
              <w:left w:w="55" w:type="dxa"/>
              <w:bottom w:w="55" w:type="dxa"/>
              <w:right w:w="55" w:type="dxa"/>
            </w:tcMar>
            <w:vAlign w:val="center"/>
          </w:tcPr>
          <w:p w14:paraId="668D3819">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Exposure</w:t>
            </w:r>
          </w:p>
        </w:tc>
        <w:tc>
          <w:tcPr>
            <w:tcW w:w="1454" w:type="pct"/>
            <w:tcBorders>
              <w:top w:val="single" w:color="000000" w:sz="12" w:space="0"/>
              <w:left w:val="nil"/>
              <w:bottom w:val="single" w:color="000000" w:sz="4" w:space="0"/>
              <w:right w:val="nil"/>
            </w:tcBorders>
            <w:shd w:val="clear" w:color="auto" w:fill="EAF2F8"/>
            <w:noWrap/>
            <w:tcMar>
              <w:top w:w="55" w:type="dxa"/>
              <w:left w:w="55" w:type="dxa"/>
              <w:bottom w:w="55" w:type="dxa"/>
              <w:right w:w="55" w:type="dxa"/>
            </w:tcMar>
            <w:vAlign w:val="center"/>
          </w:tcPr>
          <w:p w14:paraId="52EA7B27">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OR (95% CI)</w:t>
            </w:r>
          </w:p>
        </w:tc>
        <w:tc>
          <w:tcPr>
            <w:tcW w:w="618" w:type="pct"/>
            <w:tcBorders>
              <w:top w:val="single" w:color="000000" w:sz="12" w:space="0"/>
              <w:left w:val="nil"/>
              <w:bottom w:val="single" w:color="000000" w:sz="4" w:space="0"/>
              <w:right w:val="nil"/>
            </w:tcBorders>
            <w:shd w:val="clear" w:color="auto" w:fill="EAF2F8"/>
            <w:noWrap/>
            <w:tcMar>
              <w:top w:w="55" w:type="dxa"/>
              <w:left w:w="55" w:type="dxa"/>
              <w:bottom w:w="55" w:type="dxa"/>
              <w:right w:w="55" w:type="dxa"/>
            </w:tcMar>
            <w:vAlign w:val="center"/>
          </w:tcPr>
          <w:p w14:paraId="6E99C189">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2554697B">
        <w:trPr>
          <w:trHeight w:val="336" w:hRule="atLeast"/>
          <w:jc w:val="center"/>
        </w:trPr>
        <w:tc>
          <w:tcPr>
            <w:tcW w:w="2926" w:type="pct"/>
            <w:tcBorders>
              <w:top w:val="single" w:color="000000" w:sz="4" w:space="0"/>
              <w:left w:val="nil"/>
              <w:bottom w:val="nil"/>
              <w:right w:val="nil"/>
            </w:tcBorders>
            <w:shd w:val="clear" w:color="auto" w:fill="FFFFFF"/>
            <w:noWrap/>
            <w:tcMar>
              <w:top w:w="55" w:type="dxa"/>
              <w:left w:w="55" w:type="dxa"/>
              <w:bottom w:w="55" w:type="dxa"/>
              <w:right w:w="55" w:type="dxa"/>
            </w:tcMar>
            <w:vAlign w:val="center"/>
          </w:tcPr>
          <w:p w14:paraId="6A52B854">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Current ferritin level (log)</w:t>
            </w:r>
          </w:p>
        </w:tc>
        <w:tc>
          <w:tcPr>
            <w:tcW w:w="1454" w:type="pct"/>
            <w:tcBorders>
              <w:top w:val="single" w:color="000000" w:sz="4" w:space="0"/>
              <w:left w:val="nil"/>
              <w:bottom w:val="nil"/>
              <w:right w:val="nil"/>
            </w:tcBorders>
            <w:shd w:val="clear" w:color="auto" w:fill="FFFFFF"/>
            <w:noWrap/>
            <w:tcMar>
              <w:top w:w="55" w:type="dxa"/>
              <w:left w:w="55" w:type="dxa"/>
              <w:bottom w:w="55" w:type="dxa"/>
              <w:right w:w="55" w:type="dxa"/>
            </w:tcMar>
            <w:vAlign w:val="center"/>
          </w:tcPr>
          <w:p w14:paraId="315D2187">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0.740 (0.564, 0.970)</w:t>
            </w:r>
          </w:p>
        </w:tc>
        <w:tc>
          <w:tcPr>
            <w:tcW w:w="618" w:type="pct"/>
            <w:tcBorders>
              <w:top w:val="single" w:color="000000" w:sz="4" w:space="0"/>
              <w:left w:val="nil"/>
              <w:bottom w:val="nil"/>
              <w:right w:val="nil"/>
            </w:tcBorders>
            <w:shd w:val="clear" w:color="auto" w:fill="FFFFFF"/>
            <w:noWrap/>
            <w:tcMar>
              <w:top w:w="55" w:type="dxa"/>
              <w:left w:w="55" w:type="dxa"/>
              <w:bottom w:w="55" w:type="dxa"/>
              <w:right w:w="55" w:type="dxa"/>
            </w:tcMar>
            <w:vAlign w:val="center"/>
          </w:tcPr>
          <w:p w14:paraId="730C7FF2">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0.029</w:t>
            </w:r>
          </w:p>
        </w:tc>
      </w:tr>
      <w:tr w14:paraId="68AA37B4">
        <w:trPr>
          <w:trHeight w:val="336" w:hRule="atLeast"/>
          <w:jc w:val="center"/>
        </w:trPr>
        <w:tc>
          <w:tcPr>
            <w:tcW w:w="2926" w:type="pct"/>
            <w:tcBorders>
              <w:top w:val="nil"/>
              <w:left w:val="nil"/>
              <w:bottom w:val="nil"/>
              <w:right w:val="nil"/>
            </w:tcBorders>
            <w:shd w:val="clear" w:color="auto" w:fill="FFFFFF"/>
            <w:noWrap/>
            <w:tcMar>
              <w:top w:w="55" w:type="dxa"/>
              <w:left w:w="55" w:type="dxa"/>
              <w:bottom w:w="55" w:type="dxa"/>
              <w:right w:w="55" w:type="dxa"/>
            </w:tcMar>
            <w:vAlign w:val="center"/>
          </w:tcPr>
          <w:p w14:paraId="0728CD9F">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Recent ferritin change (abs log-difference)</w:t>
            </w:r>
          </w:p>
        </w:tc>
        <w:tc>
          <w:tcPr>
            <w:tcW w:w="1454" w:type="pct"/>
            <w:tcBorders>
              <w:top w:val="nil"/>
              <w:left w:val="nil"/>
              <w:bottom w:val="nil"/>
              <w:right w:val="nil"/>
            </w:tcBorders>
            <w:shd w:val="clear" w:color="auto" w:fill="FFFFFF"/>
            <w:noWrap/>
            <w:tcMar>
              <w:top w:w="55" w:type="dxa"/>
              <w:left w:w="55" w:type="dxa"/>
              <w:bottom w:w="55" w:type="dxa"/>
              <w:right w:w="55" w:type="dxa"/>
            </w:tcMar>
            <w:vAlign w:val="center"/>
          </w:tcPr>
          <w:p w14:paraId="7ADBED3C">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1.128 (0.777, 1.637)</w:t>
            </w:r>
          </w:p>
        </w:tc>
        <w:tc>
          <w:tcPr>
            <w:tcW w:w="618" w:type="pct"/>
            <w:tcBorders>
              <w:top w:val="nil"/>
              <w:left w:val="nil"/>
              <w:bottom w:val="nil"/>
              <w:right w:val="nil"/>
            </w:tcBorders>
            <w:shd w:val="clear" w:color="auto" w:fill="FFFFFF"/>
            <w:noWrap/>
            <w:tcMar>
              <w:top w:w="55" w:type="dxa"/>
              <w:left w:w="55" w:type="dxa"/>
              <w:bottom w:w="55" w:type="dxa"/>
              <w:right w:w="55" w:type="dxa"/>
            </w:tcMar>
            <w:vAlign w:val="center"/>
          </w:tcPr>
          <w:p w14:paraId="76039B91">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0.527</w:t>
            </w:r>
          </w:p>
        </w:tc>
      </w:tr>
      <w:tr w14:paraId="45A765B7">
        <w:trPr>
          <w:trHeight w:val="336" w:hRule="atLeast"/>
          <w:jc w:val="center"/>
        </w:trPr>
        <w:tc>
          <w:tcPr>
            <w:tcW w:w="2926"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6DEBC223">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Current low ferritin (&lt;30)</w:t>
            </w:r>
          </w:p>
        </w:tc>
        <w:tc>
          <w:tcPr>
            <w:tcW w:w="1454"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5E688D0C">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0.311 (0.106, 0.907)</w:t>
            </w:r>
          </w:p>
        </w:tc>
        <w:tc>
          <w:tcPr>
            <w:tcW w:w="618"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3E5F8E01">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0.032</w:t>
            </w:r>
          </w:p>
        </w:tc>
      </w:tr>
    </w:tbl>
    <w:p w14:paraId="79DB3840">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sz w:val="20"/>
          <w:szCs w:val="22"/>
          <w:lang w:val="en-US" w:eastAsia="zh-CN"/>
        </w:rPr>
        <w:br w:type="textWrapping"/>
      </w:r>
      <w:r>
        <w:rPr>
          <w:rFonts w:hint="default" w:ascii="Times New Roman" w:hAnsi="Times New Roman" w:eastAsia="Times New Roman" w:cs="Times New Roman Regular"/>
          <w:sz w:val="20"/>
          <w:szCs w:val="22"/>
          <w:lang w:val="en-US" w:eastAsia="zh-CN"/>
        </w:rPr>
        <w:t xml:space="preserve">Odds ratios (ORs), 95% confidence intervals (CIs), and P values are shown from joint generalized linear mixed models examining current ferritin-related measures in relation to marked </w:t>
      </w:r>
      <w:r>
        <w:rPr>
          <w:rFonts w:hint="default" w:ascii="Times New Roman" w:hAnsi="Times New Roman" w:eastAsia="Times New Roman" w:cs="Times New Roman Regular"/>
          <w:b w:val="0"/>
          <w:bCs w:val="0"/>
          <w:color w:val="auto"/>
          <w:sz w:val="20"/>
          <w:szCs w:val="22"/>
          <w:lang w:val="en-US" w:eastAsia="zh-CN"/>
        </w:rPr>
        <w:t>FEV₁</w:t>
      </w:r>
      <w:r>
        <w:rPr>
          <w:rFonts w:hint="default" w:ascii="Times New Roman" w:hAnsi="Times New Roman" w:eastAsia="Times New Roman" w:cs="Times New Roman Regular"/>
          <w:sz w:val="20"/>
          <w:szCs w:val="22"/>
          <w:lang w:val="en-US" w:eastAsia="zh-CN"/>
        </w:rPr>
        <w:t xml:space="preserve"> decline. The table includes models in which multiple current ferritin-related measures were entered simultaneously, as specified in the table. Models were adjusted for follow-up time, age, sex, smoking status, body mass index (BMI), log-transformed C-reactive protein (CRP), and hemoglobin (Hb). These analyses are provided as supplementary sensitivity analyses and should be interpreted as supportive rather than primary inferential results.</w:t>
      </w:r>
    </w:p>
    <w:p w14:paraId="240751CA">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8EE53FB">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124E0338">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7579C177">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16018B0">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15E4C913">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4CDA434">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441ED32">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1DBCFE1">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0F75E273">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031EAA80">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0F62CEFE">
      <w:pPr>
        <w:spacing w:before="0" w:after="0" w:line="240" w:lineRule="auto"/>
        <w:rPr>
          <w:rFonts w:hint="default" w:ascii="Times New Roman Regular" w:hAnsi="Times New Roman Regular" w:cs="Times New Roman Regular"/>
          <w:sz w:val="22"/>
          <w:szCs w:val="22"/>
          <w:lang w:val="en-US" w:eastAsia="zh-CN"/>
        </w:rPr>
      </w:pPr>
      <w:r>
        <w:rPr>
          <w:rFonts w:hint="default" w:ascii="Times New Roman Regular" w:hAnsi="Times New Roman Regular" w:cs="Times New Roman Regular"/>
          <w:sz w:val="22"/>
          <w:szCs w:val="22"/>
          <w:lang w:val="en-US" w:eastAsia="zh-CN"/>
        </w:rPr>
        <w:br w:type="page"/>
      </w:r>
    </w:p>
    <w:p w14:paraId="2D1F35D4">
      <w:pPr>
        <w:pStyle w:val="2"/>
        <w:keepNext/>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S39. Time-dependent Cox models for FEV₁ decline ≥10%</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199"/>
        <w:gridCol w:w="5559"/>
        <w:gridCol w:w="3124"/>
        <w:gridCol w:w="1484"/>
      </w:tblGrid>
      <w:tr w14:paraId="12EED704">
        <w:trPr>
          <w:trHeight w:val="193" w:hRule="atLeast"/>
          <w:tblHeader/>
          <w:jc w:val="center"/>
        </w:trPr>
        <w:tc>
          <w:tcPr>
            <w:tcW w:w="1461"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8324B61">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O</w:t>
            </w:r>
            <w:r>
              <w:rPr>
                <w:rStyle w:val="8"/>
                <w:rFonts w:hint="default" w:ascii="Times New Roman" w:hAnsi="Times New Roman" w:eastAsia="Times New Roman" w:cs="Times New Roman Regular"/>
                <w:b/>
                <w:sz w:val="17"/>
                <w:szCs w:val="22"/>
                <w:lang w:val="en-US" w:eastAsia="zh-CN" w:bidi="ar"/>
              </w:rPr>
              <w:t>utcome</w:t>
            </w:r>
          </w:p>
        </w:tc>
        <w:tc>
          <w:tcPr>
            <w:tcW w:w="1934"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88A5579">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Exposure</w:t>
            </w:r>
          </w:p>
        </w:tc>
        <w:tc>
          <w:tcPr>
            <w:tcW w:w="1087"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328CAE51">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HR (95% CI)</w:t>
            </w:r>
          </w:p>
        </w:tc>
        <w:tc>
          <w:tcPr>
            <w:tcW w:w="516"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1BCFCA5">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6D6C5D8C">
        <w:trPr>
          <w:trHeight w:val="193" w:hRule="atLeast"/>
          <w:jc w:val="center"/>
        </w:trPr>
        <w:tc>
          <w:tcPr>
            <w:tcW w:w="1461"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D4997A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val="0"/>
                <w:bCs w:val="0"/>
                <w:color w:val="auto"/>
                <w:sz w:val="17"/>
                <w:szCs w:val="22"/>
                <w:lang w:val="en-US" w:eastAsia="zh-CN"/>
              </w:rPr>
              <w:t>FEV₁</w:t>
            </w:r>
            <w:r>
              <w:rPr>
                <w:rFonts w:hint="default" w:ascii="Times New Roman" w:hAnsi="Times New Roman" w:eastAsia="Times New Roman" w:cs="Times New Roman Regular"/>
                <w:i w:val="0"/>
                <w:iCs w:val="0"/>
                <w:color w:val="000000"/>
                <w:kern w:val="0"/>
                <w:sz w:val="17"/>
                <w:szCs w:val="22"/>
                <w:u w:val="none"/>
                <w:lang w:val="en-US" w:eastAsia="zh-CN" w:bidi="ar"/>
              </w:rPr>
              <w:t xml:space="preserve"> decline ≥10%</w:t>
            </w:r>
          </w:p>
        </w:tc>
        <w:tc>
          <w:tcPr>
            <w:tcW w:w="1934"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1766BCF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Current ferritin level (log)</w:t>
            </w:r>
          </w:p>
        </w:tc>
        <w:tc>
          <w:tcPr>
            <w:tcW w:w="1087"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CAE390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0.86 (0.72, 1.03)</w:t>
            </w:r>
          </w:p>
        </w:tc>
        <w:tc>
          <w:tcPr>
            <w:tcW w:w="516"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11F5CB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0.117</w:t>
            </w:r>
          </w:p>
        </w:tc>
      </w:tr>
      <w:tr w14:paraId="3F9E94CC">
        <w:trPr>
          <w:trHeight w:val="193" w:hRule="atLeast"/>
          <w:jc w:val="center"/>
        </w:trPr>
        <w:tc>
          <w:tcPr>
            <w:tcW w:w="1461" w:type="pct"/>
            <w:tcBorders>
              <w:top w:val="nil"/>
              <w:left w:val="nil"/>
              <w:bottom w:val="nil"/>
              <w:right w:val="nil"/>
            </w:tcBorders>
            <w:shd w:val="clear" w:color="auto" w:fill="FFFFFF"/>
            <w:tcMar>
              <w:top w:w="55" w:type="dxa"/>
              <w:left w:w="55" w:type="dxa"/>
              <w:bottom w:w="55" w:type="dxa"/>
              <w:right w:w="55" w:type="dxa"/>
            </w:tcMar>
            <w:vAlign w:val="center"/>
          </w:tcPr>
          <w:p w14:paraId="03040CE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val="0"/>
                <w:bCs w:val="0"/>
                <w:color w:val="auto"/>
                <w:sz w:val="17"/>
                <w:szCs w:val="22"/>
                <w:lang w:val="en-US" w:eastAsia="zh-CN"/>
              </w:rPr>
              <w:t>FEV₁</w:t>
            </w:r>
            <w:r>
              <w:rPr>
                <w:rFonts w:hint="default" w:ascii="Times New Roman" w:hAnsi="Times New Roman" w:eastAsia="Times New Roman" w:cs="Times New Roman Regular"/>
                <w:i w:val="0"/>
                <w:iCs w:val="0"/>
                <w:color w:val="000000"/>
                <w:kern w:val="0"/>
                <w:sz w:val="17"/>
                <w:szCs w:val="22"/>
                <w:u w:val="none"/>
                <w:lang w:val="en-US" w:eastAsia="zh-CN" w:bidi="ar"/>
              </w:rPr>
              <w:t xml:space="preserve"> decline ≥10%</w:t>
            </w:r>
          </w:p>
        </w:tc>
        <w:tc>
          <w:tcPr>
            <w:tcW w:w="1934" w:type="pct"/>
            <w:tcBorders>
              <w:top w:val="nil"/>
              <w:left w:val="nil"/>
              <w:bottom w:val="nil"/>
              <w:right w:val="nil"/>
            </w:tcBorders>
            <w:shd w:val="clear" w:color="auto" w:fill="FFFFFF"/>
            <w:tcMar>
              <w:top w:w="55" w:type="dxa"/>
              <w:left w:w="55" w:type="dxa"/>
              <w:bottom w:w="55" w:type="dxa"/>
              <w:right w:w="55" w:type="dxa"/>
            </w:tcMar>
            <w:vAlign w:val="center"/>
          </w:tcPr>
          <w:p w14:paraId="67BF7AB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Recent ferritin change</w:t>
            </w:r>
          </w:p>
        </w:tc>
        <w:tc>
          <w:tcPr>
            <w:tcW w:w="1087" w:type="pct"/>
            <w:tcBorders>
              <w:top w:val="nil"/>
              <w:left w:val="nil"/>
              <w:bottom w:val="nil"/>
              <w:right w:val="nil"/>
            </w:tcBorders>
            <w:shd w:val="clear" w:color="auto" w:fill="FFFFFF"/>
            <w:tcMar>
              <w:top w:w="55" w:type="dxa"/>
              <w:left w:w="55" w:type="dxa"/>
              <w:bottom w:w="55" w:type="dxa"/>
              <w:right w:w="55" w:type="dxa"/>
            </w:tcMar>
            <w:vAlign w:val="center"/>
          </w:tcPr>
          <w:p w14:paraId="3D7947A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1.07 (0.93, 1.22)</w:t>
            </w:r>
          </w:p>
        </w:tc>
        <w:tc>
          <w:tcPr>
            <w:tcW w:w="516" w:type="pct"/>
            <w:tcBorders>
              <w:top w:val="nil"/>
              <w:left w:val="nil"/>
              <w:bottom w:val="nil"/>
              <w:right w:val="nil"/>
            </w:tcBorders>
            <w:shd w:val="clear" w:color="auto" w:fill="FFFFFF"/>
            <w:tcMar>
              <w:top w:w="55" w:type="dxa"/>
              <w:left w:w="55" w:type="dxa"/>
              <w:bottom w:w="55" w:type="dxa"/>
              <w:right w:w="55" w:type="dxa"/>
            </w:tcMar>
            <w:vAlign w:val="center"/>
          </w:tcPr>
          <w:p w14:paraId="366A202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0.339</w:t>
            </w:r>
          </w:p>
        </w:tc>
      </w:tr>
      <w:tr w14:paraId="4F0E1DCC">
        <w:trPr>
          <w:trHeight w:val="193" w:hRule="atLeast"/>
          <w:jc w:val="center"/>
        </w:trPr>
        <w:tc>
          <w:tcPr>
            <w:tcW w:w="1461" w:type="pct"/>
            <w:tcBorders>
              <w:top w:val="nil"/>
              <w:left w:val="nil"/>
              <w:bottom w:val="nil"/>
              <w:right w:val="nil"/>
            </w:tcBorders>
            <w:shd w:val="clear" w:color="auto" w:fill="FFFFFF"/>
            <w:tcMar>
              <w:top w:w="55" w:type="dxa"/>
              <w:left w:w="55" w:type="dxa"/>
              <w:bottom w:w="55" w:type="dxa"/>
              <w:right w:w="55" w:type="dxa"/>
            </w:tcMar>
            <w:vAlign w:val="center"/>
          </w:tcPr>
          <w:p w14:paraId="18D67BF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val="0"/>
                <w:bCs w:val="0"/>
                <w:color w:val="auto"/>
                <w:sz w:val="17"/>
                <w:szCs w:val="22"/>
                <w:lang w:val="en-US" w:eastAsia="zh-CN"/>
              </w:rPr>
              <w:t>FEV₁</w:t>
            </w:r>
            <w:r>
              <w:rPr>
                <w:rFonts w:hint="default" w:ascii="Times New Roman" w:hAnsi="Times New Roman" w:eastAsia="Times New Roman" w:cs="Times New Roman Regular"/>
                <w:i w:val="0"/>
                <w:iCs w:val="0"/>
                <w:color w:val="000000"/>
                <w:kern w:val="0"/>
                <w:sz w:val="17"/>
                <w:szCs w:val="22"/>
                <w:u w:val="none"/>
                <w:lang w:val="en-US" w:eastAsia="zh-CN" w:bidi="ar"/>
              </w:rPr>
              <w:t xml:space="preserve"> decline ≥10%</w:t>
            </w:r>
          </w:p>
        </w:tc>
        <w:tc>
          <w:tcPr>
            <w:tcW w:w="1934" w:type="pct"/>
            <w:tcBorders>
              <w:top w:val="nil"/>
              <w:left w:val="nil"/>
              <w:bottom w:val="nil"/>
              <w:right w:val="nil"/>
            </w:tcBorders>
            <w:shd w:val="clear" w:color="auto" w:fill="FFFFFF"/>
            <w:tcMar>
              <w:top w:w="55" w:type="dxa"/>
              <w:left w:w="55" w:type="dxa"/>
              <w:bottom w:w="55" w:type="dxa"/>
              <w:right w:w="55" w:type="dxa"/>
            </w:tcMar>
            <w:vAlign w:val="center"/>
          </w:tcPr>
          <w:p w14:paraId="1EC8E61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Cumulative ferritin variability</w:t>
            </w:r>
          </w:p>
        </w:tc>
        <w:tc>
          <w:tcPr>
            <w:tcW w:w="1087" w:type="pct"/>
            <w:tcBorders>
              <w:top w:val="nil"/>
              <w:left w:val="nil"/>
              <w:bottom w:val="nil"/>
              <w:right w:val="nil"/>
            </w:tcBorders>
            <w:shd w:val="clear" w:color="auto" w:fill="FFFFFF"/>
            <w:tcMar>
              <w:top w:w="55" w:type="dxa"/>
              <w:left w:w="55" w:type="dxa"/>
              <w:bottom w:w="55" w:type="dxa"/>
              <w:right w:w="55" w:type="dxa"/>
            </w:tcMar>
            <w:vAlign w:val="center"/>
          </w:tcPr>
          <w:p w14:paraId="7093022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0.84 (0.44, 1.61)</w:t>
            </w:r>
          </w:p>
        </w:tc>
        <w:tc>
          <w:tcPr>
            <w:tcW w:w="516" w:type="pct"/>
            <w:tcBorders>
              <w:top w:val="nil"/>
              <w:left w:val="nil"/>
              <w:bottom w:val="nil"/>
              <w:right w:val="nil"/>
            </w:tcBorders>
            <w:shd w:val="clear" w:color="auto" w:fill="FFFFFF"/>
            <w:tcMar>
              <w:top w:w="55" w:type="dxa"/>
              <w:left w:w="55" w:type="dxa"/>
              <w:bottom w:w="55" w:type="dxa"/>
              <w:right w:w="55" w:type="dxa"/>
            </w:tcMar>
            <w:vAlign w:val="center"/>
          </w:tcPr>
          <w:p w14:paraId="3690916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0.627</w:t>
            </w:r>
          </w:p>
        </w:tc>
      </w:tr>
      <w:tr w14:paraId="4AC14C54">
        <w:trPr>
          <w:trHeight w:val="193" w:hRule="atLeast"/>
          <w:jc w:val="center"/>
        </w:trPr>
        <w:tc>
          <w:tcPr>
            <w:tcW w:w="1461" w:type="pct"/>
            <w:tcBorders>
              <w:top w:val="nil"/>
              <w:left w:val="nil"/>
              <w:bottom w:val="nil"/>
              <w:right w:val="nil"/>
            </w:tcBorders>
            <w:shd w:val="clear" w:color="auto" w:fill="FFFFFF"/>
            <w:tcMar>
              <w:top w:w="55" w:type="dxa"/>
              <w:left w:w="55" w:type="dxa"/>
              <w:bottom w:w="55" w:type="dxa"/>
              <w:right w:w="55" w:type="dxa"/>
            </w:tcMar>
            <w:vAlign w:val="center"/>
          </w:tcPr>
          <w:p w14:paraId="277DF1E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val="0"/>
                <w:bCs w:val="0"/>
                <w:color w:val="auto"/>
                <w:sz w:val="17"/>
                <w:szCs w:val="22"/>
                <w:lang w:val="en-US" w:eastAsia="zh-CN"/>
              </w:rPr>
              <w:t>FEV₁</w:t>
            </w:r>
            <w:r>
              <w:rPr>
                <w:rFonts w:hint="default" w:ascii="Times New Roman" w:hAnsi="Times New Roman" w:eastAsia="Times New Roman" w:cs="Times New Roman Regular"/>
                <w:i w:val="0"/>
                <w:iCs w:val="0"/>
                <w:color w:val="000000"/>
                <w:kern w:val="0"/>
                <w:sz w:val="17"/>
                <w:szCs w:val="22"/>
                <w:u w:val="none"/>
                <w:lang w:val="en-US" w:eastAsia="zh-CN" w:bidi="ar"/>
              </w:rPr>
              <w:t xml:space="preserve"> decline ≥10%</w:t>
            </w:r>
          </w:p>
        </w:tc>
        <w:tc>
          <w:tcPr>
            <w:tcW w:w="1934" w:type="pct"/>
            <w:tcBorders>
              <w:top w:val="nil"/>
              <w:left w:val="nil"/>
              <w:bottom w:val="nil"/>
              <w:right w:val="nil"/>
            </w:tcBorders>
            <w:shd w:val="clear" w:color="auto" w:fill="FFFFFF"/>
            <w:tcMar>
              <w:top w:w="55" w:type="dxa"/>
              <w:left w:w="55" w:type="dxa"/>
              <w:bottom w:w="55" w:type="dxa"/>
              <w:right w:w="55" w:type="dxa"/>
            </w:tcMar>
            <w:vAlign w:val="center"/>
          </w:tcPr>
          <w:p w14:paraId="1685391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Current low ferritin (&lt;30)</w:t>
            </w:r>
          </w:p>
        </w:tc>
        <w:tc>
          <w:tcPr>
            <w:tcW w:w="1087" w:type="pct"/>
            <w:tcBorders>
              <w:top w:val="nil"/>
              <w:left w:val="nil"/>
              <w:bottom w:val="nil"/>
              <w:right w:val="nil"/>
            </w:tcBorders>
            <w:shd w:val="clear" w:color="auto" w:fill="FFFFFF"/>
            <w:tcMar>
              <w:top w:w="55" w:type="dxa"/>
              <w:left w:w="55" w:type="dxa"/>
              <w:bottom w:w="55" w:type="dxa"/>
              <w:right w:w="55" w:type="dxa"/>
            </w:tcMar>
            <w:vAlign w:val="center"/>
          </w:tcPr>
          <w:p w14:paraId="0CD865B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1.41 (0.88, 2.27)</w:t>
            </w:r>
          </w:p>
        </w:tc>
        <w:tc>
          <w:tcPr>
            <w:tcW w:w="516" w:type="pct"/>
            <w:tcBorders>
              <w:top w:val="nil"/>
              <w:left w:val="nil"/>
              <w:bottom w:val="nil"/>
              <w:right w:val="nil"/>
            </w:tcBorders>
            <w:shd w:val="clear" w:color="auto" w:fill="FFFFFF"/>
            <w:tcMar>
              <w:top w:w="55" w:type="dxa"/>
              <w:left w:w="55" w:type="dxa"/>
              <w:bottom w:w="55" w:type="dxa"/>
              <w:right w:w="55" w:type="dxa"/>
            </w:tcMar>
            <w:vAlign w:val="center"/>
          </w:tcPr>
          <w:p w14:paraId="5C8AA96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0.153</w:t>
            </w:r>
          </w:p>
        </w:tc>
      </w:tr>
      <w:tr w14:paraId="327C85BF">
        <w:trPr>
          <w:trHeight w:val="193" w:hRule="atLeast"/>
          <w:jc w:val="center"/>
        </w:trPr>
        <w:tc>
          <w:tcPr>
            <w:tcW w:w="1461"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79BB80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val="0"/>
                <w:bCs w:val="0"/>
                <w:color w:val="auto"/>
                <w:sz w:val="17"/>
                <w:szCs w:val="22"/>
                <w:lang w:val="en-US" w:eastAsia="zh-CN"/>
              </w:rPr>
              <w:t>FEV₁</w:t>
            </w:r>
            <w:r>
              <w:rPr>
                <w:rFonts w:hint="default" w:ascii="Times New Roman" w:hAnsi="Times New Roman" w:eastAsia="Times New Roman" w:cs="Times New Roman Regular"/>
                <w:i w:val="0"/>
                <w:iCs w:val="0"/>
                <w:color w:val="000000"/>
                <w:kern w:val="0"/>
                <w:sz w:val="17"/>
                <w:szCs w:val="22"/>
                <w:u w:val="none"/>
                <w:lang w:val="en-US" w:eastAsia="zh-CN" w:bidi="ar"/>
              </w:rPr>
              <w:t xml:space="preserve"> decline ≥10%</w:t>
            </w:r>
          </w:p>
        </w:tc>
        <w:tc>
          <w:tcPr>
            <w:tcW w:w="1934"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FD5C72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High-variability interval</w:t>
            </w:r>
          </w:p>
        </w:tc>
        <w:tc>
          <w:tcPr>
            <w:tcW w:w="108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C21E06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0.86 (0.51, 1.42)</w:t>
            </w:r>
          </w:p>
        </w:tc>
        <w:tc>
          <w:tcPr>
            <w:tcW w:w="516"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9BA147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0.553</w:t>
            </w:r>
          </w:p>
        </w:tc>
      </w:tr>
    </w:tbl>
    <w:p w14:paraId="4DD7A1BA">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sz w:val="20"/>
          <w:szCs w:val="22"/>
          <w:lang w:val="en-US" w:eastAsia="zh-CN"/>
        </w:rPr>
        <w:t>Hazard ratios (HRs), 95% confidence intervals (CIs), and P values are shown from time-dependent Cox proportional hazards models examining the associations between ferritin-related time-varying measures and the risk of decline in forced expiratory volume in 1 second (</w:t>
      </w:r>
      <w:r>
        <w:rPr>
          <w:rFonts w:hint="default" w:ascii="Times New Roman" w:hAnsi="Times New Roman" w:eastAsia="Times New Roman" w:cs="Times New Roman Regular"/>
          <w:b w:val="0"/>
          <w:bCs w:val="0"/>
          <w:color w:val="auto"/>
          <w:sz w:val="20"/>
          <w:szCs w:val="22"/>
          <w:lang w:val="en-US" w:eastAsia="zh-CN"/>
        </w:rPr>
        <w:t>FEV₁</w:t>
      </w:r>
      <w:r>
        <w:rPr>
          <w:rFonts w:hint="default" w:ascii="Times New Roman" w:hAnsi="Times New Roman" w:eastAsia="Times New Roman" w:cs="Times New Roman Regular"/>
          <w:sz w:val="20"/>
          <w:szCs w:val="22"/>
          <w:lang w:val="en-US" w:eastAsia="zh-CN"/>
        </w:rPr>
        <w:t xml:space="preserve">) by at least 10% relative to baseline </w:t>
      </w:r>
      <w:r>
        <w:rPr>
          <w:rFonts w:hint="default" w:ascii="Times New Roman" w:hAnsi="Times New Roman" w:eastAsia="Times New Roman" w:cs="Times New Roman Regular"/>
          <w:b w:val="0"/>
          <w:bCs w:val="0"/>
          <w:color w:val="auto"/>
          <w:sz w:val="20"/>
          <w:szCs w:val="22"/>
          <w:lang w:val="en-US" w:eastAsia="zh-CN"/>
        </w:rPr>
        <w:t>FEV₁</w:t>
      </w:r>
      <w:r>
        <w:rPr>
          <w:rFonts w:hint="default" w:ascii="Times New Roman" w:hAnsi="Times New Roman" w:eastAsia="Times New Roman" w:cs="Times New Roman Regular"/>
          <w:sz w:val="20"/>
          <w:szCs w:val="22"/>
          <w:lang w:val="en-US" w:eastAsia="zh-CN"/>
        </w:rPr>
        <w:t>. Time-varying ferritin-related measures included current ferritin level, recent ferritin change, cumulative ferritin variability, current low ferritin status, and high-variability intervals, as applicable. Models were adjusted for current age, sex, smoking status, body mass index (BMI), log-transformed C-reactive protein (CRP), and hemoglobin (Hb). These analyses were used to assess whether current ferritin-related status or recent instability predicted proximal decline events.</w:t>
      </w:r>
    </w:p>
    <w:p w14:paraId="75397920">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31689F2">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6903A11">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0482564">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19D9363">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D5A21CC">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6C2928D8">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7130D8D5">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556259AF">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14DC8EFD">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75351392">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703AA7F5">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23D08C5C">
      <w:pPr>
        <w:spacing w:before="0" w:after="0" w:line="240" w:lineRule="auto"/>
        <w:rPr>
          <w:rFonts w:hint="default" w:ascii="Times New Roman Regular" w:hAnsi="Times New Roman Regular" w:cs="Times New Roman Regular"/>
          <w:b/>
          <w:bCs/>
          <w:sz w:val="22"/>
          <w:szCs w:val="22"/>
          <w:lang w:val="en-US" w:eastAsia="zh-CN"/>
        </w:rPr>
      </w:pPr>
      <w:r>
        <w:rPr>
          <w:rFonts w:hint="default" w:ascii="Times New Roman Regular" w:hAnsi="Times New Roman Regular" w:cs="Times New Roman Regular"/>
          <w:b/>
          <w:bCs/>
          <w:sz w:val="22"/>
          <w:szCs w:val="22"/>
          <w:lang w:val="en-US" w:eastAsia="zh-CN"/>
        </w:rPr>
        <w:br w:type="page"/>
      </w:r>
    </w:p>
    <w:p w14:paraId="1C1C2739">
      <w:pPr>
        <w:pStyle w:val="2"/>
        <w:keepNext/>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S40. Time-dependent Cox models for incident low FEV</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86"/>
        <w:gridCol w:w="5018"/>
        <w:gridCol w:w="3270"/>
        <w:gridCol w:w="2492"/>
      </w:tblGrid>
      <w:tr w14:paraId="286059C8">
        <w:trPr>
          <w:trHeight w:val="193" w:hRule="atLeast"/>
          <w:tblHeader/>
          <w:jc w:val="center"/>
        </w:trPr>
        <w:tc>
          <w:tcPr>
            <w:tcW w:w="1248"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6C89075">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Outcome</w:t>
            </w:r>
          </w:p>
        </w:tc>
        <w:tc>
          <w:tcPr>
            <w:tcW w:w="1746"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174F3EF">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Exposure</w:t>
            </w:r>
          </w:p>
        </w:tc>
        <w:tc>
          <w:tcPr>
            <w:tcW w:w="1138"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65BD351A">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HR (95% CI)</w:t>
            </w:r>
          </w:p>
        </w:tc>
        <w:tc>
          <w:tcPr>
            <w:tcW w:w="867"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B5F3EB1">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2A906003">
        <w:trPr>
          <w:trHeight w:val="193" w:hRule="atLeast"/>
          <w:jc w:val="center"/>
        </w:trPr>
        <w:tc>
          <w:tcPr>
            <w:tcW w:w="1248"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1C29A2E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Incident low </w:t>
            </w:r>
            <w:r>
              <w:rPr>
                <w:rFonts w:hint="default" w:ascii="Times New Roman" w:hAnsi="Times New Roman" w:eastAsia="Times New Roman" w:cs="Times New Roman Regular"/>
                <w:b w:val="0"/>
                <w:bCs w:val="0"/>
                <w:color w:val="auto"/>
                <w:sz w:val="17"/>
                <w:szCs w:val="22"/>
                <w:lang w:val="en-US" w:eastAsia="zh-CN"/>
              </w:rPr>
              <w:t>FEV₁</w:t>
            </w:r>
          </w:p>
        </w:tc>
        <w:tc>
          <w:tcPr>
            <w:tcW w:w="1746"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52C780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Current ferritin level (log)</w:t>
            </w:r>
          </w:p>
        </w:tc>
        <w:tc>
          <w:tcPr>
            <w:tcW w:w="1138"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633B8E3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0.83 (0.70, 0.98)</w:t>
            </w:r>
          </w:p>
        </w:tc>
        <w:tc>
          <w:tcPr>
            <w:tcW w:w="867"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66A874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0.033</w:t>
            </w:r>
          </w:p>
        </w:tc>
      </w:tr>
      <w:tr w14:paraId="21D2649C">
        <w:trPr>
          <w:trHeight w:val="193" w:hRule="atLeast"/>
          <w:jc w:val="center"/>
        </w:trPr>
        <w:tc>
          <w:tcPr>
            <w:tcW w:w="1248" w:type="pct"/>
            <w:tcBorders>
              <w:top w:val="nil"/>
              <w:left w:val="nil"/>
              <w:bottom w:val="nil"/>
              <w:right w:val="nil"/>
            </w:tcBorders>
            <w:shd w:val="clear" w:color="auto" w:fill="FFFFFF"/>
            <w:tcMar>
              <w:top w:w="55" w:type="dxa"/>
              <w:left w:w="55" w:type="dxa"/>
              <w:bottom w:w="55" w:type="dxa"/>
              <w:right w:w="55" w:type="dxa"/>
            </w:tcMar>
            <w:vAlign w:val="center"/>
          </w:tcPr>
          <w:p w14:paraId="1B881B0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Incident low </w:t>
            </w:r>
            <w:r>
              <w:rPr>
                <w:rFonts w:hint="default" w:ascii="Times New Roman" w:hAnsi="Times New Roman" w:eastAsia="Times New Roman" w:cs="Times New Roman Regular"/>
                <w:b w:val="0"/>
                <w:bCs w:val="0"/>
                <w:color w:val="auto"/>
                <w:sz w:val="17"/>
                <w:szCs w:val="22"/>
                <w:lang w:val="en-US" w:eastAsia="zh-CN"/>
              </w:rPr>
              <w:t>FEV₁</w:t>
            </w:r>
          </w:p>
        </w:tc>
        <w:tc>
          <w:tcPr>
            <w:tcW w:w="1746" w:type="pct"/>
            <w:tcBorders>
              <w:top w:val="nil"/>
              <w:left w:val="nil"/>
              <w:bottom w:val="nil"/>
              <w:right w:val="nil"/>
            </w:tcBorders>
            <w:shd w:val="clear" w:color="auto" w:fill="FFFFFF"/>
            <w:tcMar>
              <w:top w:w="55" w:type="dxa"/>
              <w:left w:w="55" w:type="dxa"/>
              <w:bottom w:w="55" w:type="dxa"/>
              <w:right w:w="55" w:type="dxa"/>
            </w:tcMar>
            <w:vAlign w:val="center"/>
          </w:tcPr>
          <w:p w14:paraId="433B534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Recent ferritin change</w:t>
            </w:r>
          </w:p>
        </w:tc>
        <w:tc>
          <w:tcPr>
            <w:tcW w:w="1138" w:type="pct"/>
            <w:tcBorders>
              <w:top w:val="nil"/>
              <w:left w:val="nil"/>
              <w:bottom w:val="nil"/>
              <w:right w:val="nil"/>
            </w:tcBorders>
            <w:shd w:val="clear" w:color="auto" w:fill="FFFFFF"/>
            <w:tcMar>
              <w:top w:w="55" w:type="dxa"/>
              <w:left w:w="55" w:type="dxa"/>
              <w:bottom w:w="55" w:type="dxa"/>
              <w:right w:w="55" w:type="dxa"/>
            </w:tcMar>
            <w:vAlign w:val="center"/>
          </w:tcPr>
          <w:p w14:paraId="23344B1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1.11 (0.94, 1.32)</w:t>
            </w:r>
          </w:p>
        </w:tc>
        <w:tc>
          <w:tcPr>
            <w:tcW w:w="867" w:type="pct"/>
            <w:tcBorders>
              <w:top w:val="nil"/>
              <w:left w:val="nil"/>
              <w:bottom w:val="nil"/>
              <w:right w:val="nil"/>
            </w:tcBorders>
            <w:shd w:val="clear" w:color="auto" w:fill="FFFFFF"/>
            <w:tcMar>
              <w:top w:w="55" w:type="dxa"/>
              <w:left w:w="55" w:type="dxa"/>
              <w:bottom w:w="55" w:type="dxa"/>
              <w:right w:w="55" w:type="dxa"/>
            </w:tcMar>
            <w:vAlign w:val="center"/>
          </w:tcPr>
          <w:p w14:paraId="0EDA29A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0.213</w:t>
            </w:r>
          </w:p>
        </w:tc>
      </w:tr>
      <w:tr w14:paraId="204569B0">
        <w:trPr>
          <w:trHeight w:val="193" w:hRule="atLeast"/>
          <w:jc w:val="center"/>
        </w:trPr>
        <w:tc>
          <w:tcPr>
            <w:tcW w:w="1248" w:type="pct"/>
            <w:tcBorders>
              <w:top w:val="nil"/>
              <w:left w:val="nil"/>
              <w:bottom w:val="nil"/>
              <w:right w:val="nil"/>
            </w:tcBorders>
            <w:shd w:val="clear" w:color="auto" w:fill="FFFFFF"/>
            <w:tcMar>
              <w:top w:w="55" w:type="dxa"/>
              <w:left w:w="55" w:type="dxa"/>
              <w:bottom w:w="55" w:type="dxa"/>
              <w:right w:w="55" w:type="dxa"/>
            </w:tcMar>
            <w:vAlign w:val="center"/>
          </w:tcPr>
          <w:p w14:paraId="2C248A5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Incident low </w:t>
            </w:r>
            <w:r>
              <w:rPr>
                <w:rFonts w:hint="default" w:ascii="Times New Roman" w:hAnsi="Times New Roman" w:eastAsia="Times New Roman" w:cs="Times New Roman Regular"/>
                <w:b w:val="0"/>
                <w:bCs w:val="0"/>
                <w:color w:val="auto"/>
                <w:sz w:val="17"/>
                <w:szCs w:val="22"/>
                <w:lang w:val="en-US" w:eastAsia="zh-CN"/>
              </w:rPr>
              <w:t>FEV₁</w:t>
            </w:r>
          </w:p>
        </w:tc>
        <w:tc>
          <w:tcPr>
            <w:tcW w:w="1746" w:type="pct"/>
            <w:tcBorders>
              <w:top w:val="nil"/>
              <w:left w:val="nil"/>
              <w:bottom w:val="nil"/>
              <w:right w:val="nil"/>
            </w:tcBorders>
            <w:shd w:val="clear" w:color="auto" w:fill="FFFFFF"/>
            <w:tcMar>
              <w:top w:w="55" w:type="dxa"/>
              <w:left w:w="55" w:type="dxa"/>
              <w:bottom w:w="55" w:type="dxa"/>
              <w:right w:w="55" w:type="dxa"/>
            </w:tcMar>
            <w:vAlign w:val="center"/>
          </w:tcPr>
          <w:p w14:paraId="1EA2F54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Cumulative ferritin variability</w:t>
            </w:r>
          </w:p>
        </w:tc>
        <w:tc>
          <w:tcPr>
            <w:tcW w:w="1138" w:type="pct"/>
            <w:tcBorders>
              <w:top w:val="nil"/>
              <w:left w:val="nil"/>
              <w:bottom w:val="nil"/>
              <w:right w:val="nil"/>
            </w:tcBorders>
            <w:shd w:val="clear" w:color="auto" w:fill="FFFFFF"/>
            <w:tcMar>
              <w:top w:w="55" w:type="dxa"/>
              <w:left w:w="55" w:type="dxa"/>
              <w:bottom w:w="55" w:type="dxa"/>
              <w:right w:w="55" w:type="dxa"/>
            </w:tcMar>
            <w:vAlign w:val="center"/>
          </w:tcPr>
          <w:p w14:paraId="79AFE5E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0.71 (0.38, 1.33)</w:t>
            </w:r>
          </w:p>
        </w:tc>
        <w:tc>
          <w:tcPr>
            <w:tcW w:w="867" w:type="pct"/>
            <w:tcBorders>
              <w:top w:val="nil"/>
              <w:left w:val="nil"/>
              <w:bottom w:val="nil"/>
              <w:right w:val="nil"/>
            </w:tcBorders>
            <w:shd w:val="clear" w:color="auto" w:fill="FFFFFF"/>
            <w:tcMar>
              <w:top w:w="55" w:type="dxa"/>
              <w:left w:w="55" w:type="dxa"/>
              <w:bottom w:w="55" w:type="dxa"/>
              <w:right w:w="55" w:type="dxa"/>
            </w:tcMar>
            <w:vAlign w:val="center"/>
          </w:tcPr>
          <w:p w14:paraId="288C3DA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0.278</w:t>
            </w:r>
          </w:p>
        </w:tc>
      </w:tr>
      <w:tr w14:paraId="0199A8C6">
        <w:trPr>
          <w:trHeight w:val="193" w:hRule="atLeast"/>
          <w:jc w:val="center"/>
        </w:trPr>
        <w:tc>
          <w:tcPr>
            <w:tcW w:w="1248" w:type="pct"/>
            <w:tcBorders>
              <w:top w:val="nil"/>
              <w:left w:val="nil"/>
              <w:bottom w:val="nil"/>
              <w:right w:val="nil"/>
            </w:tcBorders>
            <w:shd w:val="clear" w:color="auto" w:fill="FFFFFF"/>
            <w:tcMar>
              <w:top w:w="55" w:type="dxa"/>
              <w:left w:w="55" w:type="dxa"/>
              <w:bottom w:w="55" w:type="dxa"/>
              <w:right w:w="55" w:type="dxa"/>
            </w:tcMar>
            <w:vAlign w:val="center"/>
          </w:tcPr>
          <w:p w14:paraId="47AA4AD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Incident low </w:t>
            </w:r>
            <w:r>
              <w:rPr>
                <w:rFonts w:hint="default" w:ascii="Times New Roman" w:hAnsi="Times New Roman" w:eastAsia="Times New Roman" w:cs="Times New Roman Regular"/>
                <w:b w:val="0"/>
                <w:bCs w:val="0"/>
                <w:color w:val="auto"/>
                <w:sz w:val="17"/>
                <w:szCs w:val="22"/>
                <w:lang w:val="en-US" w:eastAsia="zh-CN"/>
              </w:rPr>
              <w:t>FEV₁</w:t>
            </w:r>
          </w:p>
        </w:tc>
        <w:tc>
          <w:tcPr>
            <w:tcW w:w="1746" w:type="pct"/>
            <w:tcBorders>
              <w:top w:val="nil"/>
              <w:left w:val="nil"/>
              <w:bottom w:val="nil"/>
              <w:right w:val="nil"/>
            </w:tcBorders>
            <w:shd w:val="clear" w:color="auto" w:fill="FFFFFF"/>
            <w:tcMar>
              <w:top w:w="55" w:type="dxa"/>
              <w:left w:w="55" w:type="dxa"/>
              <w:bottom w:w="55" w:type="dxa"/>
              <w:right w:w="55" w:type="dxa"/>
            </w:tcMar>
            <w:vAlign w:val="center"/>
          </w:tcPr>
          <w:p w14:paraId="75CEA94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Current low ferritin (&lt;30)</w:t>
            </w:r>
          </w:p>
        </w:tc>
        <w:tc>
          <w:tcPr>
            <w:tcW w:w="1138" w:type="pct"/>
            <w:tcBorders>
              <w:top w:val="nil"/>
              <w:left w:val="nil"/>
              <w:bottom w:val="nil"/>
              <w:right w:val="nil"/>
            </w:tcBorders>
            <w:shd w:val="clear" w:color="auto" w:fill="FFFFFF"/>
            <w:tcMar>
              <w:top w:w="55" w:type="dxa"/>
              <w:left w:w="55" w:type="dxa"/>
              <w:bottom w:w="55" w:type="dxa"/>
              <w:right w:w="55" w:type="dxa"/>
            </w:tcMar>
            <w:vAlign w:val="center"/>
          </w:tcPr>
          <w:p w14:paraId="44096C5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1.99 (1.30, 3.05)</w:t>
            </w:r>
          </w:p>
        </w:tc>
        <w:tc>
          <w:tcPr>
            <w:tcW w:w="867" w:type="pct"/>
            <w:tcBorders>
              <w:top w:val="nil"/>
              <w:left w:val="nil"/>
              <w:bottom w:val="nil"/>
              <w:right w:val="nil"/>
            </w:tcBorders>
            <w:shd w:val="clear" w:color="auto" w:fill="FFFFFF"/>
            <w:tcMar>
              <w:top w:w="55" w:type="dxa"/>
              <w:left w:w="55" w:type="dxa"/>
              <w:bottom w:w="55" w:type="dxa"/>
              <w:right w:w="55" w:type="dxa"/>
            </w:tcMar>
            <w:vAlign w:val="center"/>
          </w:tcPr>
          <w:p w14:paraId="5DEE601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0.001</w:t>
            </w:r>
          </w:p>
        </w:tc>
      </w:tr>
      <w:tr w14:paraId="2E5145A9">
        <w:trPr>
          <w:trHeight w:val="193" w:hRule="atLeast"/>
          <w:jc w:val="center"/>
        </w:trPr>
        <w:tc>
          <w:tcPr>
            <w:tcW w:w="1248"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98E5972">
            <w:pPr>
              <w:tabs>
                <w:tab w:val="left" w:pos="1206"/>
              </w:tabs>
              <w:bidi w:val="0"/>
              <w:spacing w:before="0" w:after="0" w:line="240" w:lineRule="auto"/>
              <w:jc w:val="left"/>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Incident low </w:t>
            </w:r>
            <w:r>
              <w:rPr>
                <w:rFonts w:hint="default" w:ascii="Times New Roman" w:hAnsi="Times New Roman" w:eastAsia="Times New Roman" w:cs="Times New Roman Regular"/>
                <w:b w:val="0"/>
                <w:bCs w:val="0"/>
                <w:color w:val="auto"/>
                <w:sz w:val="17"/>
                <w:szCs w:val="22"/>
                <w:lang w:val="en-US" w:eastAsia="zh-CN"/>
              </w:rPr>
              <w:t>FEV₁</w:t>
            </w:r>
          </w:p>
        </w:tc>
        <w:tc>
          <w:tcPr>
            <w:tcW w:w="1746"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6F98466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High-variability interval</w:t>
            </w:r>
          </w:p>
        </w:tc>
        <w:tc>
          <w:tcPr>
            <w:tcW w:w="1138"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E08E24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0.91 (0.55, 1.50)</w:t>
            </w:r>
          </w:p>
        </w:tc>
        <w:tc>
          <w:tcPr>
            <w:tcW w:w="86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A66BE9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0.725</w:t>
            </w:r>
          </w:p>
        </w:tc>
      </w:tr>
    </w:tbl>
    <w:p w14:paraId="1BFE9018">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sz w:val="20"/>
          <w:szCs w:val="22"/>
          <w:lang w:val="en-US" w:eastAsia="zh-CN"/>
        </w:rPr>
        <w:t>Hazard ratios (HRs), 95% confidence intervals (CIs), and P values are shown from time-dependent Cox proportional hazards models examining the associations between ferritin-related time-varying measures and the risk of incident low forced expiratory volume in 1 second (FEV). Time-varying ferritin-related measures included current ferritin level, recent ferritin change, cumulative ferritin variability, current low ferritin status, and high-variability intervals, as applicable. Models were adjusted for current age, sex, smoking status, body mass index (BMI), log-transformed C-reactive protein (CRP), and hemoglobin (Hb). These analyses were used to assess whether proximal risk of incident low FEV was more closely related to current ferritin-related status than to cumulative instability measures.</w:t>
      </w:r>
    </w:p>
    <w:p w14:paraId="0E795331">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0A9B7914">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B4C0CB5">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0BD1F77B">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val="0"/>
          <w:bCs w:val="0"/>
          <w:color w:val="auto"/>
          <w:sz w:val="20"/>
          <w:szCs w:val="22"/>
          <w:lang w:val="en-US" w:eastAsia="zh-CN"/>
        </w:rPr>
        <w:t>FEV₁</w:t>
      </w:r>
    </w:p>
    <w:p w14:paraId="336C075C">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18152FE1">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3DAA9C90">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4BCEFBC0">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32126392">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0E3CDF7C">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6A9548B3">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29FED82C">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7CADCCAB">
      <w:pPr>
        <w:spacing w:before="0" w:after="0" w:line="240" w:lineRule="auto"/>
        <w:rPr>
          <w:rFonts w:hint="default" w:ascii="Times New Roman Regular" w:hAnsi="Times New Roman Regular" w:cs="Times New Roman Regular"/>
          <w:b/>
          <w:bCs/>
          <w:sz w:val="22"/>
          <w:szCs w:val="22"/>
          <w:lang w:val="en-US" w:eastAsia="zh-CN"/>
        </w:rPr>
      </w:pPr>
      <w:r>
        <w:rPr>
          <w:rFonts w:hint="default" w:ascii="Times New Roman Regular" w:hAnsi="Times New Roman Regular" w:cs="Times New Roman Regular"/>
          <w:b/>
          <w:bCs/>
          <w:sz w:val="22"/>
          <w:szCs w:val="22"/>
          <w:lang w:val="en-US" w:eastAsia="zh-CN"/>
        </w:rPr>
        <w:br w:type="page"/>
      </w:r>
    </w:p>
    <w:p w14:paraId="65F6E214">
      <w:pPr>
        <w:pStyle w:val="2"/>
        <w:keepNext/>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S41. Cox models for all-cause mortality across dynamic iron-related measures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24"/>
        <w:gridCol w:w="4934"/>
        <w:gridCol w:w="3308"/>
      </w:tblGrid>
      <w:tr w14:paraId="14D3D594">
        <w:trPr>
          <w:trHeight w:val="193" w:hRule="atLeast"/>
          <w:tblHeader/>
          <w:jc w:val="center"/>
        </w:trPr>
        <w:tc>
          <w:tcPr>
            <w:tcW w:w="2131"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3442B70">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Exposure</w:t>
            </w:r>
          </w:p>
        </w:tc>
        <w:tc>
          <w:tcPr>
            <w:tcW w:w="1717"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786BE0A">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HR (95% CI)</w:t>
            </w:r>
          </w:p>
        </w:tc>
        <w:tc>
          <w:tcPr>
            <w:tcW w:w="1151"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E199E8A">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541E6E89">
        <w:trPr>
          <w:trHeight w:val="193" w:hRule="atLeast"/>
          <w:jc w:val="center"/>
        </w:trPr>
        <w:tc>
          <w:tcPr>
            <w:tcW w:w="2131"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15F10BC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717"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104AD0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Not estimable</w:t>
            </w:r>
          </w:p>
        </w:tc>
        <w:tc>
          <w:tcPr>
            <w:tcW w:w="1151"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A4481D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t>
            </w:r>
          </w:p>
        </w:tc>
      </w:tr>
      <w:tr w14:paraId="2FFACE0B">
        <w:trPr>
          <w:trHeight w:val="193" w:hRule="atLeast"/>
          <w:jc w:val="center"/>
        </w:trPr>
        <w:tc>
          <w:tcPr>
            <w:tcW w:w="2131" w:type="pct"/>
            <w:tcBorders>
              <w:top w:val="nil"/>
              <w:left w:val="nil"/>
              <w:bottom w:val="nil"/>
              <w:right w:val="nil"/>
            </w:tcBorders>
            <w:shd w:val="clear" w:color="auto" w:fill="FFFFFF"/>
            <w:tcMar>
              <w:top w:w="55" w:type="dxa"/>
              <w:left w:w="55" w:type="dxa"/>
              <w:bottom w:w="55" w:type="dxa"/>
              <w:right w:w="55" w:type="dxa"/>
            </w:tcMar>
            <w:vAlign w:val="center"/>
          </w:tcPr>
          <w:p w14:paraId="0DC1AEC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slope</w:t>
            </w:r>
          </w:p>
        </w:tc>
        <w:tc>
          <w:tcPr>
            <w:tcW w:w="1717" w:type="pct"/>
            <w:tcBorders>
              <w:top w:val="nil"/>
              <w:left w:val="nil"/>
              <w:bottom w:val="nil"/>
              <w:right w:val="nil"/>
            </w:tcBorders>
            <w:shd w:val="clear" w:color="auto" w:fill="FFFFFF"/>
            <w:tcMar>
              <w:top w:w="55" w:type="dxa"/>
              <w:left w:w="55" w:type="dxa"/>
              <w:bottom w:w="55" w:type="dxa"/>
              <w:right w:w="55" w:type="dxa"/>
            </w:tcMar>
            <w:vAlign w:val="center"/>
          </w:tcPr>
          <w:p w14:paraId="674DB8A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Not estimable</w:t>
            </w:r>
          </w:p>
        </w:tc>
        <w:tc>
          <w:tcPr>
            <w:tcW w:w="1151" w:type="pct"/>
            <w:tcBorders>
              <w:top w:val="nil"/>
              <w:left w:val="nil"/>
              <w:bottom w:val="nil"/>
              <w:right w:val="nil"/>
            </w:tcBorders>
            <w:shd w:val="clear" w:color="auto" w:fill="FFFFFF"/>
            <w:tcMar>
              <w:top w:w="55" w:type="dxa"/>
              <w:left w:w="55" w:type="dxa"/>
              <w:bottom w:w="55" w:type="dxa"/>
              <w:right w:w="55" w:type="dxa"/>
            </w:tcMar>
            <w:vAlign w:val="center"/>
          </w:tcPr>
          <w:p w14:paraId="1C85BF2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t>
            </w:r>
          </w:p>
        </w:tc>
      </w:tr>
      <w:tr w14:paraId="2670FFC0">
        <w:trPr>
          <w:trHeight w:val="193" w:hRule="atLeast"/>
          <w:jc w:val="center"/>
        </w:trPr>
        <w:tc>
          <w:tcPr>
            <w:tcW w:w="2131" w:type="pct"/>
            <w:tcBorders>
              <w:top w:val="nil"/>
              <w:left w:val="nil"/>
              <w:bottom w:val="nil"/>
              <w:right w:val="nil"/>
            </w:tcBorders>
            <w:shd w:val="clear" w:color="auto" w:fill="FFFFFF"/>
            <w:tcMar>
              <w:top w:w="55" w:type="dxa"/>
              <w:left w:w="55" w:type="dxa"/>
              <w:bottom w:w="55" w:type="dxa"/>
              <w:right w:w="55" w:type="dxa"/>
            </w:tcMar>
            <w:vAlign w:val="center"/>
          </w:tcPr>
          <w:p w14:paraId="346C10D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Number of ferritin &lt;30 episodes</w:t>
            </w:r>
          </w:p>
        </w:tc>
        <w:tc>
          <w:tcPr>
            <w:tcW w:w="1717" w:type="pct"/>
            <w:tcBorders>
              <w:top w:val="nil"/>
              <w:left w:val="nil"/>
              <w:bottom w:val="nil"/>
              <w:right w:val="nil"/>
            </w:tcBorders>
            <w:shd w:val="clear" w:color="auto" w:fill="FFFFFF"/>
            <w:tcMar>
              <w:top w:w="55" w:type="dxa"/>
              <w:left w:w="55" w:type="dxa"/>
              <w:bottom w:w="55" w:type="dxa"/>
              <w:right w:w="55" w:type="dxa"/>
            </w:tcMar>
            <w:vAlign w:val="center"/>
          </w:tcPr>
          <w:p w14:paraId="0096D56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1.03 (0.48, 2.23)</w:t>
            </w:r>
          </w:p>
        </w:tc>
        <w:tc>
          <w:tcPr>
            <w:tcW w:w="1151" w:type="pct"/>
            <w:tcBorders>
              <w:top w:val="nil"/>
              <w:left w:val="nil"/>
              <w:bottom w:val="nil"/>
              <w:right w:val="nil"/>
            </w:tcBorders>
            <w:shd w:val="clear" w:color="auto" w:fill="FFFFFF"/>
            <w:tcMar>
              <w:top w:w="55" w:type="dxa"/>
              <w:left w:w="55" w:type="dxa"/>
              <w:bottom w:w="55" w:type="dxa"/>
              <w:right w:w="55" w:type="dxa"/>
            </w:tcMar>
            <w:vAlign w:val="center"/>
          </w:tcPr>
          <w:p w14:paraId="4B2F944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0.941</w:t>
            </w:r>
          </w:p>
        </w:tc>
      </w:tr>
      <w:tr w14:paraId="2EA0F247">
        <w:trPr>
          <w:trHeight w:val="193" w:hRule="atLeast"/>
          <w:jc w:val="center"/>
        </w:trPr>
        <w:tc>
          <w:tcPr>
            <w:tcW w:w="2131" w:type="pct"/>
            <w:tcBorders>
              <w:top w:val="nil"/>
              <w:left w:val="nil"/>
              <w:bottom w:val="nil"/>
              <w:right w:val="nil"/>
            </w:tcBorders>
            <w:shd w:val="clear" w:color="auto" w:fill="FFFFFF"/>
            <w:tcMar>
              <w:top w:w="55" w:type="dxa"/>
              <w:left w:w="55" w:type="dxa"/>
              <w:bottom w:w="55" w:type="dxa"/>
              <w:right w:w="55" w:type="dxa"/>
            </w:tcMar>
            <w:vAlign w:val="center"/>
          </w:tcPr>
          <w:p w14:paraId="72F848B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Iron fragility index</w:t>
            </w:r>
          </w:p>
        </w:tc>
        <w:tc>
          <w:tcPr>
            <w:tcW w:w="1717" w:type="pct"/>
            <w:tcBorders>
              <w:top w:val="nil"/>
              <w:left w:val="nil"/>
              <w:bottom w:val="nil"/>
              <w:right w:val="nil"/>
            </w:tcBorders>
            <w:shd w:val="clear" w:color="auto" w:fill="FFFFFF"/>
            <w:tcMar>
              <w:top w:w="55" w:type="dxa"/>
              <w:left w:w="55" w:type="dxa"/>
              <w:bottom w:w="55" w:type="dxa"/>
              <w:right w:w="55" w:type="dxa"/>
            </w:tcMar>
            <w:vAlign w:val="center"/>
          </w:tcPr>
          <w:p w14:paraId="68EA99E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Not estimable</w:t>
            </w:r>
          </w:p>
        </w:tc>
        <w:tc>
          <w:tcPr>
            <w:tcW w:w="1151" w:type="pct"/>
            <w:tcBorders>
              <w:top w:val="nil"/>
              <w:left w:val="nil"/>
              <w:bottom w:val="nil"/>
              <w:right w:val="nil"/>
            </w:tcBorders>
            <w:shd w:val="clear" w:color="auto" w:fill="FFFFFF"/>
            <w:tcMar>
              <w:top w:w="55" w:type="dxa"/>
              <w:left w:w="55" w:type="dxa"/>
              <w:bottom w:w="55" w:type="dxa"/>
              <w:right w:w="55" w:type="dxa"/>
            </w:tcMar>
            <w:vAlign w:val="center"/>
          </w:tcPr>
          <w:p w14:paraId="6D69428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t>
            </w:r>
          </w:p>
        </w:tc>
      </w:tr>
      <w:tr w14:paraId="768F4891">
        <w:trPr>
          <w:trHeight w:val="193" w:hRule="atLeast"/>
          <w:jc w:val="center"/>
        </w:trPr>
        <w:tc>
          <w:tcPr>
            <w:tcW w:w="2131"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C49326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Iron–muscle phenotype</w:t>
            </w:r>
          </w:p>
        </w:tc>
        <w:tc>
          <w:tcPr>
            <w:tcW w:w="171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D8E6F3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Not estimable</w:t>
            </w:r>
          </w:p>
        </w:tc>
        <w:tc>
          <w:tcPr>
            <w:tcW w:w="1151"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CBFA74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t>
            </w:r>
          </w:p>
        </w:tc>
      </w:tr>
    </w:tbl>
    <w:p w14:paraId="3BD4F506">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sz w:val="20"/>
          <w:szCs w:val="22"/>
          <w:lang w:val="en-US" w:eastAsia="zh-CN"/>
        </w:rPr>
        <w:t>Hazard ratios (HRs), 95% confidence intervals (CIs), and P values are shown from Cox proportional hazards models examining the associations between dynamic iron-related measures and all-cause mortality. Dynamic iron-related measures included ferritin coefficient of variation (CV), ferritin slope, the cumulative number of ferritin measurements &lt;30 μg/L, the iron fragility index (IFI), and iron–muscle phenotype, as applicable. Models were adjusted for baseline age, sex, smoking status, body mass index (BMI), log-transformed C-reactive protein (CRP), and baseline hemoglobin (Hb). Because the number of mortality events was limited, some models were unstable or not estimable, and these results should be interpreted cautiously as exploratory.</w:t>
      </w:r>
    </w:p>
    <w:p w14:paraId="46F90D2F">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3DF1BC4">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A185BF8">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994C5A8">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3D14580">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1F16A913">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B9A0611">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E4FD306">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754FC305">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AB8D4C2">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83593AC">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799DE9F8">
      <w:pPr>
        <w:spacing w:before="0" w:after="0" w:line="240" w:lineRule="auto"/>
        <w:rPr>
          <w:rFonts w:hint="default" w:ascii="Times New Roman Regular" w:hAnsi="Times New Roman Regular" w:cs="Times New Roman Regular"/>
          <w:b/>
          <w:bCs/>
          <w:sz w:val="22"/>
          <w:szCs w:val="22"/>
          <w:lang w:val="en-US" w:eastAsia="zh-CN"/>
        </w:rPr>
      </w:pPr>
      <w:r>
        <w:rPr>
          <w:rFonts w:hint="default" w:ascii="Times New Roman Regular" w:hAnsi="Times New Roman Regular" w:cs="Times New Roman Regular"/>
          <w:b/>
          <w:bCs/>
          <w:sz w:val="22"/>
          <w:szCs w:val="22"/>
          <w:lang w:val="en-US" w:eastAsia="zh-CN"/>
        </w:rPr>
        <w:br w:type="page"/>
      </w:r>
    </w:p>
    <w:p w14:paraId="438B962B">
      <w:pPr>
        <w:pStyle w:val="2"/>
        <w:keepNext/>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S42. Summary of all-cause mortality events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663"/>
        <w:gridCol w:w="3703"/>
      </w:tblGrid>
      <w:tr w14:paraId="29C768F8">
        <w:trPr>
          <w:trHeight w:val="193" w:hRule="atLeast"/>
          <w:tblHeader/>
          <w:jc w:val="center"/>
        </w:trPr>
        <w:tc>
          <w:tcPr>
            <w:tcW w:w="2001" w:type="dxa"/>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6097F93">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Measure</w:t>
            </w:r>
          </w:p>
        </w:tc>
        <w:tc>
          <w:tcPr>
            <w:tcW w:w="695" w:type="dxa"/>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7303445">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Value</w:t>
            </w:r>
          </w:p>
        </w:tc>
      </w:tr>
      <w:tr w14:paraId="15D3E678">
        <w:trPr>
          <w:trHeight w:val="193" w:hRule="atLeast"/>
          <w:jc w:val="center"/>
        </w:trPr>
        <w:tc>
          <w:tcPr>
            <w:tcW w:w="2001" w:type="dxa"/>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4BC5A8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Total participants</w:t>
            </w:r>
          </w:p>
        </w:tc>
        <w:tc>
          <w:tcPr>
            <w:tcW w:w="695" w:type="dxa"/>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4DF65F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673</w:t>
            </w:r>
          </w:p>
        </w:tc>
      </w:tr>
      <w:tr w14:paraId="2FC09D92">
        <w:trPr>
          <w:trHeight w:val="193" w:hRule="atLeast"/>
          <w:jc w:val="center"/>
        </w:trPr>
        <w:tc>
          <w:tcPr>
            <w:tcW w:w="2001" w:type="dxa"/>
            <w:tcBorders>
              <w:top w:val="nil"/>
              <w:left w:val="nil"/>
              <w:bottom w:val="nil"/>
              <w:right w:val="nil"/>
            </w:tcBorders>
            <w:shd w:val="clear" w:color="auto" w:fill="FFFFFF"/>
            <w:tcMar>
              <w:top w:w="55" w:type="dxa"/>
              <w:left w:w="55" w:type="dxa"/>
              <w:bottom w:w="55" w:type="dxa"/>
              <w:right w:w="55" w:type="dxa"/>
            </w:tcMar>
            <w:vAlign w:val="center"/>
          </w:tcPr>
          <w:p w14:paraId="65D013F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Total deaths</w:t>
            </w:r>
          </w:p>
        </w:tc>
        <w:tc>
          <w:tcPr>
            <w:tcW w:w="695" w:type="dxa"/>
            <w:tcBorders>
              <w:top w:val="nil"/>
              <w:left w:val="nil"/>
              <w:bottom w:val="nil"/>
              <w:right w:val="nil"/>
            </w:tcBorders>
            <w:shd w:val="clear" w:color="auto" w:fill="FFFFFF"/>
            <w:tcMar>
              <w:top w:w="55" w:type="dxa"/>
              <w:left w:w="55" w:type="dxa"/>
              <w:bottom w:w="55" w:type="dxa"/>
              <w:right w:w="55" w:type="dxa"/>
            </w:tcMar>
            <w:vAlign w:val="center"/>
          </w:tcPr>
          <w:p w14:paraId="4167E76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25</w:t>
            </w:r>
          </w:p>
        </w:tc>
      </w:tr>
      <w:tr w14:paraId="55693EDF">
        <w:trPr>
          <w:trHeight w:val="193" w:hRule="atLeast"/>
          <w:jc w:val="center"/>
        </w:trPr>
        <w:tc>
          <w:tcPr>
            <w:tcW w:w="2001" w:type="dxa"/>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6D0B57C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Mortality frequency</w:t>
            </w:r>
          </w:p>
        </w:tc>
        <w:tc>
          <w:tcPr>
            <w:tcW w:w="695" w:type="dxa"/>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BDD4A7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3.71%</w:t>
            </w:r>
          </w:p>
        </w:tc>
      </w:tr>
    </w:tbl>
    <w:p w14:paraId="3910F246">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sz w:val="20"/>
          <w:szCs w:val="22"/>
          <w:lang w:val="en-US" w:eastAsia="zh-CN"/>
        </w:rPr>
        <w:t>This table summarizes the number of participants, number of deaths, and overall mortality frequency in the analytic sample used for all-cause mortality analyses. These data are provided to document the limited number of mortality events underlying the mortality models and to support cautious interpretation of the corresponding Cox regression results.</w:t>
      </w:r>
    </w:p>
    <w:p w14:paraId="64041248">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7B039D9C">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EB622B3">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0AAAF2D3">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0E166DB">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683542D">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50AB257">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176349DC">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7E49EB9">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11DA741A">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1AECD854">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06D533E">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619D4FF">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07DA269">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1140978B">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982A604">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4AC1BA5">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6B89449">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2DF72D4">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970F8B2">
      <w:pPr>
        <w:spacing w:before="0" w:after="0" w:line="240" w:lineRule="auto"/>
        <w:rPr>
          <w:rFonts w:hint="default" w:ascii="Times New Roman Regular" w:hAnsi="Times New Roman Regular" w:cs="Times New Roman Regular"/>
          <w:b/>
          <w:bCs/>
          <w:sz w:val="22"/>
          <w:szCs w:val="22"/>
          <w:lang w:val="en-US" w:eastAsia="zh-CN"/>
        </w:rPr>
      </w:pPr>
      <w:r>
        <w:rPr>
          <w:rFonts w:hint="default" w:ascii="Times New Roman Regular" w:hAnsi="Times New Roman Regular" w:cs="Times New Roman Regular"/>
          <w:b/>
          <w:bCs/>
          <w:sz w:val="22"/>
          <w:szCs w:val="22"/>
          <w:lang w:val="en-US" w:eastAsia="zh-CN"/>
        </w:rPr>
        <w:br w:type="page"/>
      </w:r>
    </w:p>
    <w:p w14:paraId="73DCEABE">
      <w:pPr>
        <w:pStyle w:val="2"/>
        <w:keepNext/>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S43. Descriptive all-cause mortality by iron–muscle phenotype</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34"/>
        <w:gridCol w:w="3823"/>
        <w:gridCol w:w="2518"/>
        <w:gridCol w:w="3191"/>
      </w:tblGrid>
      <w:tr w14:paraId="5244A9A8">
        <w:trPr>
          <w:trHeight w:val="193" w:hRule="atLeast"/>
          <w:tblHeader/>
          <w:jc w:val="center"/>
        </w:trPr>
        <w:tc>
          <w:tcPr>
            <w:tcW w:w="1682"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18BF885">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Iron–muscle phenotype group</w:t>
            </w:r>
          </w:p>
        </w:tc>
        <w:tc>
          <w:tcPr>
            <w:tcW w:w="133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0F5E6E55">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Participants</w:t>
            </w:r>
          </w:p>
        </w:tc>
        <w:tc>
          <w:tcPr>
            <w:tcW w:w="876"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825B4F8">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Deaths</w:t>
            </w:r>
          </w:p>
        </w:tc>
        <w:tc>
          <w:tcPr>
            <w:tcW w:w="111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F58B325">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Mortality (%)</w:t>
            </w:r>
          </w:p>
        </w:tc>
      </w:tr>
      <w:tr w14:paraId="2A633ADE">
        <w:trPr>
          <w:trHeight w:val="193" w:hRule="atLeast"/>
          <w:jc w:val="center"/>
        </w:trPr>
        <w:tc>
          <w:tcPr>
            <w:tcW w:w="1682"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73DC60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High instability + Strong grip</w:t>
            </w:r>
          </w:p>
        </w:tc>
        <w:tc>
          <w:tcPr>
            <w:tcW w:w="133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282C117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53</w:t>
            </w:r>
          </w:p>
        </w:tc>
        <w:tc>
          <w:tcPr>
            <w:tcW w:w="876"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294B6A5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w:t>
            </w:r>
          </w:p>
        </w:tc>
        <w:tc>
          <w:tcPr>
            <w:tcW w:w="111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6372DB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w:t>
            </w:r>
          </w:p>
        </w:tc>
      </w:tr>
      <w:tr w14:paraId="1AF74C81">
        <w:trPr>
          <w:trHeight w:val="193" w:hRule="atLeast"/>
          <w:jc w:val="center"/>
        </w:trPr>
        <w:tc>
          <w:tcPr>
            <w:tcW w:w="1682" w:type="pct"/>
            <w:tcBorders>
              <w:top w:val="nil"/>
              <w:left w:val="nil"/>
              <w:bottom w:val="nil"/>
              <w:right w:val="nil"/>
            </w:tcBorders>
            <w:shd w:val="clear" w:color="auto" w:fill="FFFFFF"/>
            <w:tcMar>
              <w:top w:w="55" w:type="dxa"/>
              <w:left w:w="55" w:type="dxa"/>
              <w:bottom w:w="55" w:type="dxa"/>
              <w:right w:w="55" w:type="dxa"/>
            </w:tcMar>
            <w:vAlign w:val="center"/>
          </w:tcPr>
          <w:p w14:paraId="11EA37F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High instability + Weak grip</w:t>
            </w:r>
          </w:p>
        </w:tc>
        <w:tc>
          <w:tcPr>
            <w:tcW w:w="1330" w:type="pct"/>
            <w:tcBorders>
              <w:top w:val="nil"/>
              <w:left w:val="nil"/>
              <w:bottom w:val="nil"/>
              <w:right w:val="nil"/>
            </w:tcBorders>
            <w:shd w:val="clear" w:color="auto" w:fill="FFFFFF"/>
            <w:tcMar>
              <w:top w:w="55" w:type="dxa"/>
              <w:left w:w="55" w:type="dxa"/>
              <w:bottom w:w="55" w:type="dxa"/>
              <w:right w:w="55" w:type="dxa"/>
            </w:tcMar>
            <w:vAlign w:val="center"/>
          </w:tcPr>
          <w:p w14:paraId="1968682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62</w:t>
            </w:r>
          </w:p>
        </w:tc>
        <w:tc>
          <w:tcPr>
            <w:tcW w:w="876" w:type="pct"/>
            <w:tcBorders>
              <w:top w:val="nil"/>
              <w:left w:val="nil"/>
              <w:bottom w:val="nil"/>
              <w:right w:val="nil"/>
            </w:tcBorders>
            <w:shd w:val="clear" w:color="auto" w:fill="FFFFFF"/>
            <w:tcMar>
              <w:top w:w="55" w:type="dxa"/>
              <w:left w:w="55" w:type="dxa"/>
              <w:bottom w:w="55" w:type="dxa"/>
              <w:right w:w="55" w:type="dxa"/>
            </w:tcMar>
            <w:vAlign w:val="center"/>
          </w:tcPr>
          <w:p w14:paraId="719925B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w:t>
            </w:r>
          </w:p>
        </w:tc>
        <w:tc>
          <w:tcPr>
            <w:tcW w:w="1110" w:type="pct"/>
            <w:tcBorders>
              <w:top w:val="nil"/>
              <w:left w:val="nil"/>
              <w:bottom w:val="nil"/>
              <w:right w:val="nil"/>
            </w:tcBorders>
            <w:shd w:val="clear" w:color="auto" w:fill="FFFFFF"/>
            <w:tcMar>
              <w:top w:w="55" w:type="dxa"/>
              <w:left w:w="55" w:type="dxa"/>
              <w:bottom w:w="55" w:type="dxa"/>
              <w:right w:w="55" w:type="dxa"/>
            </w:tcMar>
            <w:vAlign w:val="center"/>
          </w:tcPr>
          <w:p w14:paraId="69DD44A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1.61</w:t>
            </w:r>
          </w:p>
        </w:tc>
      </w:tr>
      <w:tr w14:paraId="6BED0702">
        <w:trPr>
          <w:trHeight w:val="193" w:hRule="atLeast"/>
          <w:jc w:val="center"/>
        </w:trPr>
        <w:tc>
          <w:tcPr>
            <w:tcW w:w="1682" w:type="pct"/>
            <w:tcBorders>
              <w:top w:val="nil"/>
              <w:left w:val="nil"/>
              <w:bottom w:val="nil"/>
              <w:right w:val="nil"/>
            </w:tcBorders>
            <w:shd w:val="clear" w:color="auto" w:fill="FFFFFF"/>
            <w:tcMar>
              <w:top w:w="55" w:type="dxa"/>
              <w:left w:w="55" w:type="dxa"/>
              <w:bottom w:w="55" w:type="dxa"/>
              <w:right w:w="55" w:type="dxa"/>
            </w:tcMar>
            <w:vAlign w:val="center"/>
          </w:tcPr>
          <w:p w14:paraId="72126E9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Low instability + Strong grip</w:t>
            </w:r>
          </w:p>
        </w:tc>
        <w:tc>
          <w:tcPr>
            <w:tcW w:w="1330" w:type="pct"/>
            <w:tcBorders>
              <w:top w:val="nil"/>
              <w:left w:val="nil"/>
              <w:bottom w:val="nil"/>
              <w:right w:val="nil"/>
            </w:tcBorders>
            <w:shd w:val="clear" w:color="auto" w:fill="FFFFFF"/>
            <w:tcMar>
              <w:top w:w="55" w:type="dxa"/>
              <w:left w:w="55" w:type="dxa"/>
              <w:bottom w:w="55" w:type="dxa"/>
              <w:right w:w="55" w:type="dxa"/>
            </w:tcMar>
            <w:vAlign w:val="center"/>
          </w:tcPr>
          <w:p w14:paraId="4CEB29E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54</w:t>
            </w:r>
          </w:p>
        </w:tc>
        <w:tc>
          <w:tcPr>
            <w:tcW w:w="876" w:type="pct"/>
            <w:tcBorders>
              <w:top w:val="nil"/>
              <w:left w:val="nil"/>
              <w:bottom w:val="nil"/>
              <w:right w:val="nil"/>
            </w:tcBorders>
            <w:shd w:val="clear" w:color="auto" w:fill="FFFFFF"/>
            <w:tcMar>
              <w:top w:w="55" w:type="dxa"/>
              <w:left w:w="55" w:type="dxa"/>
              <w:bottom w:w="55" w:type="dxa"/>
              <w:right w:w="55" w:type="dxa"/>
            </w:tcMar>
            <w:vAlign w:val="center"/>
          </w:tcPr>
          <w:p w14:paraId="4FDCF3B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2</w:t>
            </w:r>
          </w:p>
        </w:tc>
        <w:tc>
          <w:tcPr>
            <w:tcW w:w="1110" w:type="pct"/>
            <w:tcBorders>
              <w:top w:val="nil"/>
              <w:left w:val="nil"/>
              <w:bottom w:val="nil"/>
              <w:right w:val="nil"/>
            </w:tcBorders>
            <w:shd w:val="clear" w:color="auto" w:fill="FFFFFF"/>
            <w:tcMar>
              <w:top w:w="55" w:type="dxa"/>
              <w:left w:w="55" w:type="dxa"/>
              <w:bottom w:w="55" w:type="dxa"/>
              <w:right w:w="55" w:type="dxa"/>
            </w:tcMar>
            <w:vAlign w:val="center"/>
          </w:tcPr>
          <w:p w14:paraId="225605F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3.7</w:t>
            </w:r>
          </w:p>
        </w:tc>
      </w:tr>
      <w:tr w14:paraId="0C939841">
        <w:trPr>
          <w:trHeight w:val="193" w:hRule="atLeast"/>
          <w:jc w:val="center"/>
        </w:trPr>
        <w:tc>
          <w:tcPr>
            <w:tcW w:w="1682"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ED633D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Low instability + Weak grip</w:t>
            </w:r>
          </w:p>
        </w:tc>
        <w:tc>
          <w:tcPr>
            <w:tcW w:w="133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FE7AED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57</w:t>
            </w:r>
          </w:p>
        </w:tc>
        <w:tc>
          <w:tcPr>
            <w:tcW w:w="876"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833330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w:t>
            </w:r>
          </w:p>
        </w:tc>
        <w:tc>
          <w:tcPr>
            <w:tcW w:w="111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2E8F12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1.75</w:t>
            </w:r>
          </w:p>
        </w:tc>
      </w:tr>
    </w:tbl>
    <w:p w14:paraId="4E0FF8E1">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sz w:val="20"/>
          <w:szCs w:val="22"/>
          <w:lang w:val="en-US" w:eastAsia="zh-CN"/>
        </w:rPr>
        <w:t>This table presents descriptive counts and proportions of all-cause mortality across iron–muscle phenotype groups. Phenotype groups were defined by combinations of ferritin instability and grip-strength status, as specified in the table. Because the number of deaths within each phenotype group was small, these results are descriptive only and are provided to illustrate the overall mortality pattern across phenotype-defined strata.</w:t>
      </w:r>
    </w:p>
    <w:p w14:paraId="53F3B542">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37BCA81">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016BC38A">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54605DF">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5800701">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3A7547E">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A67C77D">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770BFBDE">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B955D7F">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02B538FE">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F664EAF">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67CD9D2">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758EA94B">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B509CB4">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FEAF3A7">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5612B5D">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F4EF57D">
      <w:pPr>
        <w:spacing w:before="0" w:after="0" w:line="240" w:lineRule="auto"/>
        <w:rPr>
          <w:rFonts w:hint="default" w:ascii="Times New Roman Regular" w:hAnsi="Times New Roman Regular" w:cs="Times New Roman Regular"/>
          <w:b/>
          <w:bCs/>
          <w:sz w:val="22"/>
          <w:szCs w:val="22"/>
          <w:lang w:val="en-US" w:eastAsia="zh-CN"/>
        </w:rPr>
      </w:pPr>
      <w:r>
        <w:rPr>
          <w:rFonts w:hint="default" w:ascii="Times New Roman Regular" w:hAnsi="Times New Roman Regular" w:cs="Times New Roman Regular"/>
          <w:b/>
          <w:bCs/>
          <w:sz w:val="22"/>
          <w:szCs w:val="22"/>
          <w:lang w:val="en-US" w:eastAsia="zh-CN"/>
        </w:rPr>
        <w:br w:type="page"/>
      </w:r>
    </w:p>
    <w:p w14:paraId="6CA66B07">
      <w:pPr>
        <w:pStyle w:val="2"/>
        <w:keepNext/>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S44. Proportional hazards assumption checks for all-cause mortality models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03"/>
        <w:gridCol w:w="3685"/>
        <w:gridCol w:w="957"/>
        <w:gridCol w:w="828"/>
        <w:gridCol w:w="1705"/>
        <w:gridCol w:w="1888"/>
      </w:tblGrid>
      <w:tr w14:paraId="3D9799FF">
        <w:trPr>
          <w:trHeight w:val="193" w:hRule="atLeast"/>
          <w:tblHeader/>
          <w:jc w:val="center"/>
        </w:trPr>
        <w:tc>
          <w:tcPr>
            <w:tcW w:w="1845"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93D40FD">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Model</w:t>
            </w:r>
          </w:p>
        </w:tc>
        <w:tc>
          <w:tcPr>
            <w:tcW w:w="1282"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485B68E">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Term</w:t>
            </w:r>
          </w:p>
        </w:tc>
        <w:tc>
          <w:tcPr>
            <w:tcW w:w="333"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69E155E6">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χ²</w:t>
            </w:r>
          </w:p>
        </w:tc>
        <w:tc>
          <w:tcPr>
            <w:tcW w:w="288"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69AAC34">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df</w:t>
            </w:r>
          </w:p>
        </w:tc>
        <w:tc>
          <w:tcPr>
            <w:tcW w:w="593"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6FEEBB28">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P value</w:t>
            </w:r>
          </w:p>
        </w:tc>
        <w:tc>
          <w:tcPr>
            <w:tcW w:w="657"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CC3BC1C">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Note</w:t>
            </w:r>
          </w:p>
        </w:tc>
      </w:tr>
      <w:tr w14:paraId="17CB4024">
        <w:trPr>
          <w:trHeight w:val="193" w:hRule="atLeast"/>
          <w:jc w:val="center"/>
        </w:trPr>
        <w:tc>
          <w:tcPr>
            <w:tcW w:w="1845"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B32886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variability (CV)</w:t>
            </w:r>
          </w:p>
        </w:tc>
        <w:tc>
          <w:tcPr>
            <w:tcW w:w="1282"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1C45ED4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w:t>
            </w:r>
          </w:p>
        </w:tc>
        <w:tc>
          <w:tcPr>
            <w:tcW w:w="333"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6781419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w:t>
            </w:r>
          </w:p>
        </w:tc>
        <w:tc>
          <w:tcPr>
            <w:tcW w:w="288"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256A646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w:t>
            </w:r>
          </w:p>
        </w:tc>
        <w:tc>
          <w:tcPr>
            <w:tcW w:w="593"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77E999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w:t>
            </w:r>
          </w:p>
        </w:tc>
        <w:tc>
          <w:tcPr>
            <w:tcW w:w="657"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D5EEE2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PH check unavailable</w:t>
            </w:r>
          </w:p>
        </w:tc>
      </w:tr>
      <w:tr w14:paraId="5ADA966A">
        <w:trPr>
          <w:trHeight w:val="193" w:hRule="atLeast"/>
          <w:jc w:val="center"/>
        </w:trPr>
        <w:tc>
          <w:tcPr>
            <w:tcW w:w="1845" w:type="pct"/>
            <w:tcBorders>
              <w:top w:val="nil"/>
              <w:left w:val="nil"/>
              <w:bottom w:val="nil"/>
              <w:right w:val="nil"/>
            </w:tcBorders>
            <w:shd w:val="clear" w:color="auto" w:fill="FFFFFF"/>
            <w:tcMar>
              <w:top w:w="55" w:type="dxa"/>
              <w:left w:w="55" w:type="dxa"/>
              <w:bottom w:w="55" w:type="dxa"/>
              <w:right w:w="55" w:type="dxa"/>
            </w:tcMar>
            <w:vAlign w:val="center"/>
          </w:tcPr>
          <w:p w14:paraId="5404FE9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slope</w:t>
            </w:r>
          </w:p>
        </w:tc>
        <w:tc>
          <w:tcPr>
            <w:tcW w:w="1282" w:type="pct"/>
            <w:tcBorders>
              <w:top w:val="nil"/>
              <w:left w:val="nil"/>
              <w:bottom w:val="nil"/>
              <w:right w:val="nil"/>
            </w:tcBorders>
            <w:shd w:val="clear" w:color="auto" w:fill="FFFFFF"/>
            <w:tcMar>
              <w:top w:w="55" w:type="dxa"/>
              <w:left w:w="55" w:type="dxa"/>
              <w:bottom w:w="55" w:type="dxa"/>
              <w:right w:w="55" w:type="dxa"/>
            </w:tcMar>
            <w:vAlign w:val="center"/>
          </w:tcPr>
          <w:p w14:paraId="49D63CE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w:t>
            </w:r>
          </w:p>
        </w:tc>
        <w:tc>
          <w:tcPr>
            <w:tcW w:w="333" w:type="pct"/>
            <w:tcBorders>
              <w:top w:val="nil"/>
              <w:left w:val="nil"/>
              <w:bottom w:val="nil"/>
              <w:right w:val="nil"/>
            </w:tcBorders>
            <w:shd w:val="clear" w:color="auto" w:fill="FFFFFF"/>
            <w:tcMar>
              <w:top w:w="55" w:type="dxa"/>
              <w:left w:w="55" w:type="dxa"/>
              <w:bottom w:w="55" w:type="dxa"/>
              <w:right w:w="55" w:type="dxa"/>
            </w:tcMar>
            <w:vAlign w:val="center"/>
          </w:tcPr>
          <w:p w14:paraId="65BC731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w:t>
            </w:r>
          </w:p>
        </w:tc>
        <w:tc>
          <w:tcPr>
            <w:tcW w:w="288" w:type="pct"/>
            <w:tcBorders>
              <w:top w:val="nil"/>
              <w:left w:val="nil"/>
              <w:bottom w:val="nil"/>
              <w:right w:val="nil"/>
            </w:tcBorders>
            <w:shd w:val="clear" w:color="auto" w:fill="FFFFFF"/>
            <w:tcMar>
              <w:top w:w="55" w:type="dxa"/>
              <w:left w:w="55" w:type="dxa"/>
              <w:bottom w:w="55" w:type="dxa"/>
              <w:right w:w="55" w:type="dxa"/>
            </w:tcMar>
            <w:vAlign w:val="center"/>
          </w:tcPr>
          <w:p w14:paraId="7CE7A44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w:t>
            </w:r>
          </w:p>
        </w:tc>
        <w:tc>
          <w:tcPr>
            <w:tcW w:w="593" w:type="pct"/>
            <w:tcBorders>
              <w:top w:val="nil"/>
              <w:left w:val="nil"/>
              <w:bottom w:val="nil"/>
              <w:right w:val="nil"/>
            </w:tcBorders>
            <w:shd w:val="clear" w:color="auto" w:fill="FFFFFF"/>
            <w:tcMar>
              <w:top w:w="55" w:type="dxa"/>
              <w:left w:w="55" w:type="dxa"/>
              <w:bottom w:w="55" w:type="dxa"/>
              <w:right w:w="55" w:type="dxa"/>
            </w:tcMar>
            <w:vAlign w:val="center"/>
          </w:tcPr>
          <w:p w14:paraId="7BC7B96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w:t>
            </w:r>
          </w:p>
        </w:tc>
        <w:tc>
          <w:tcPr>
            <w:tcW w:w="657" w:type="pct"/>
            <w:tcBorders>
              <w:top w:val="nil"/>
              <w:left w:val="nil"/>
              <w:bottom w:val="nil"/>
              <w:right w:val="nil"/>
            </w:tcBorders>
            <w:shd w:val="clear" w:color="auto" w:fill="FFFFFF"/>
            <w:tcMar>
              <w:top w:w="55" w:type="dxa"/>
              <w:left w:w="55" w:type="dxa"/>
              <w:bottom w:w="55" w:type="dxa"/>
              <w:right w:w="55" w:type="dxa"/>
            </w:tcMar>
            <w:vAlign w:val="center"/>
          </w:tcPr>
          <w:p w14:paraId="382739F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PH check unavailable</w:t>
            </w:r>
          </w:p>
        </w:tc>
      </w:tr>
      <w:tr w14:paraId="411E991A">
        <w:trPr>
          <w:trHeight w:val="193" w:hRule="atLeast"/>
          <w:jc w:val="center"/>
        </w:trPr>
        <w:tc>
          <w:tcPr>
            <w:tcW w:w="1845" w:type="pct"/>
            <w:tcBorders>
              <w:top w:val="nil"/>
              <w:left w:val="nil"/>
              <w:bottom w:val="nil"/>
              <w:right w:val="nil"/>
            </w:tcBorders>
            <w:shd w:val="clear" w:color="auto" w:fill="FFFFFF"/>
            <w:tcMar>
              <w:top w:w="55" w:type="dxa"/>
              <w:left w:w="55" w:type="dxa"/>
              <w:bottom w:w="55" w:type="dxa"/>
              <w:right w:w="55" w:type="dxa"/>
            </w:tcMar>
            <w:vAlign w:val="center"/>
          </w:tcPr>
          <w:p w14:paraId="5D8573D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Number of ferritin &lt;30 episodes</w:t>
            </w:r>
          </w:p>
        </w:tc>
        <w:tc>
          <w:tcPr>
            <w:tcW w:w="1282" w:type="pct"/>
            <w:tcBorders>
              <w:top w:val="nil"/>
              <w:left w:val="nil"/>
              <w:bottom w:val="nil"/>
              <w:right w:val="nil"/>
            </w:tcBorders>
            <w:shd w:val="clear" w:color="auto" w:fill="FFFFFF"/>
            <w:tcMar>
              <w:top w:w="55" w:type="dxa"/>
              <w:left w:w="55" w:type="dxa"/>
              <w:bottom w:w="55" w:type="dxa"/>
              <w:right w:w="55" w:type="dxa"/>
            </w:tcMar>
            <w:vAlign w:val="center"/>
          </w:tcPr>
          <w:p w14:paraId="4A87A78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n_low30</w:t>
            </w:r>
          </w:p>
        </w:tc>
        <w:tc>
          <w:tcPr>
            <w:tcW w:w="333" w:type="pct"/>
            <w:tcBorders>
              <w:top w:val="nil"/>
              <w:left w:val="nil"/>
              <w:bottom w:val="nil"/>
              <w:right w:val="nil"/>
            </w:tcBorders>
            <w:shd w:val="clear" w:color="auto" w:fill="FFFFFF"/>
            <w:tcMar>
              <w:top w:w="55" w:type="dxa"/>
              <w:left w:w="55" w:type="dxa"/>
              <w:bottom w:w="55" w:type="dxa"/>
              <w:right w:w="55" w:type="dxa"/>
            </w:tcMar>
            <w:vAlign w:val="center"/>
          </w:tcPr>
          <w:p w14:paraId="2066D54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0.61</w:t>
            </w:r>
          </w:p>
        </w:tc>
        <w:tc>
          <w:tcPr>
            <w:tcW w:w="288" w:type="pct"/>
            <w:tcBorders>
              <w:top w:val="nil"/>
              <w:left w:val="nil"/>
              <w:bottom w:val="nil"/>
              <w:right w:val="nil"/>
            </w:tcBorders>
            <w:shd w:val="clear" w:color="auto" w:fill="FFFFFF"/>
            <w:tcMar>
              <w:top w:w="55" w:type="dxa"/>
              <w:left w:w="55" w:type="dxa"/>
              <w:bottom w:w="55" w:type="dxa"/>
              <w:right w:w="55" w:type="dxa"/>
            </w:tcMar>
            <w:vAlign w:val="center"/>
          </w:tcPr>
          <w:p w14:paraId="380564C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w:t>
            </w:r>
          </w:p>
        </w:tc>
        <w:tc>
          <w:tcPr>
            <w:tcW w:w="593" w:type="pct"/>
            <w:tcBorders>
              <w:top w:val="nil"/>
              <w:left w:val="nil"/>
              <w:bottom w:val="nil"/>
              <w:right w:val="nil"/>
            </w:tcBorders>
            <w:shd w:val="clear" w:color="auto" w:fill="FFFFFF"/>
            <w:tcMar>
              <w:top w:w="55" w:type="dxa"/>
              <w:left w:w="55" w:type="dxa"/>
              <w:bottom w:w="55" w:type="dxa"/>
              <w:right w:w="55" w:type="dxa"/>
            </w:tcMar>
            <w:vAlign w:val="center"/>
          </w:tcPr>
          <w:p w14:paraId="7CB218B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0.434</w:t>
            </w:r>
          </w:p>
        </w:tc>
        <w:tc>
          <w:tcPr>
            <w:tcW w:w="657" w:type="pct"/>
            <w:tcBorders>
              <w:top w:val="nil"/>
              <w:left w:val="nil"/>
              <w:bottom w:val="nil"/>
              <w:right w:val="nil"/>
            </w:tcBorders>
            <w:shd w:val="clear" w:color="auto" w:fill="FFFFFF"/>
            <w:tcMar>
              <w:top w:w="55" w:type="dxa"/>
              <w:left w:w="55" w:type="dxa"/>
              <w:bottom w:w="55" w:type="dxa"/>
              <w:right w:w="55" w:type="dxa"/>
            </w:tcMar>
            <w:vAlign w:val="center"/>
          </w:tcPr>
          <w:p w14:paraId="55DD7D1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w:t>
            </w:r>
          </w:p>
        </w:tc>
      </w:tr>
      <w:tr w14:paraId="31C7E3E6">
        <w:trPr>
          <w:trHeight w:val="193" w:hRule="atLeast"/>
          <w:jc w:val="center"/>
        </w:trPr>
        <w:tc>
          <w:tcPr>
            <w:tcW w:w="1845" w:type="pct"/>
            <w:tcBorders>
              <w:top w:val="nil"/>
              <w:left w:val="nil"/>
              <w:bottom w:val="nil"/>
              <w:right w:val="nil"/>
            </w:tcBorders>
            <w:shd w:val="clear" w:color="auto" w:fill="FFFFFF"/>
            <w:tcMar>
              <w:top w:w="55" w:type="dxa"/>
              <w:left w:w="55" w:type="dxa"/>
              <w:bottom w:w="55" w:type="dxa"/>
              <w:right w:w="55" w:type="dxa"/>
            </w:tcMar>
            <w:vAlign w:val="center"/>
          </w:tcPr>
          <w:p w14:paraId="47B02A2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Number of ferritin &lt;30 episodes</w:t>
            </w:r>
          </w:p>
        </w:tc>
        <w:tc>
          <w:tcPr>
            <w:tcW w:w="1282" w:type="pct"/>
            <w:tcBorders>
              <w:top w:val="nil"/>
              <w:left w:val="nil"/>
              <w:bottom w:val="nil"/>
              <w:right w:val="nil"/>
            </w:tcBorders>
            <w:shd w:val="clear" w:color="auto" w:fill="FFFFFF"/>
            <w:tcMar>
              <w:top w:w="55" w:type="dxa"/>
              <w:left w:w="55" w:type="dxa"/>
              <w:bottom w:w="55" w:type="dxa"/>
              <w:right w:w="55" w:type="dxa"/>
            </w:tcMar>
            <w:vAlign w:val="center"/>
          </w:tcPr>
          <w:p w14:paraId="156A3E6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age</w:t>
            </w:r>
          </w:p>
        </w:tc>
        <w:tc>
          <w:tcPr>
            <w:tcW w:w="333" w:type="pct"/>
            <w:tcBorders>
              <w:top w:val="nil"/>
              <w:left w:val="nil"/>
              <w:bottom w:val="nil"/>
              <w:right w:val="nil"/>
            </w:tcBorders>
            <w:shd w:val="clear" w:color="auto" w:fill="FFFFFF"/>
            <w:tcMar>
              <w:top w:w="55" w:type="dxa"/>
              <w:left w:w="55" w:type="dxa"/>
              <w:bottom w:w="55" w:type="dxa"/>
              <w:right w:w="55" w:type="dxa"/>
            </w:tcMar>
            <w:vAlign w:val="center"/>
          </w:tcPr>
          <w:p w14:paraId="1397B18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0.16</w:t>
            </w:r>
          </w:p>
        </w:tc>
        <w:tc>
          <w:tcPr>
            <w:tcW w:w="288" w:type="pct"/>
            <w:tcBorders>
              <w:top w:val="nil"/>
              <w:left w:val="nil"/>
              <w:bottom w:val="nil"/>
              <w:right w:val="nil"/>
            </w:tcBorders>
            <w:shd w:val="clear" w:color="auto" w:fill="FFFFFF"/>
            <w:tcMar>
              <w:top w:w="55" w:type="dxa"/>
              <w:left w:w="55" w:type="dxa"/>
              <w:bottom w:w="55" w:type="dxa"/>
              <w:right w:w="55" w:type="dxa"/>
            </w:tcMar>
            <w:vAlign w:val="center"/>
          </w:tcPr>
          <w:p w14:paraId="623B71F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w:t>
            </w:r>
          </w:p>
        </w:tc>
        <w:tc>
          <w:tcPr>
            <w:tcW w:w="593" w:type="pct"/>
            <w:tcBorders>
              <w:top w:val="nil"/>
              <w:left w:val="nil"/>
              <w:bottom w:val="nil"/>
              <w:right w:val="nil"/>
            </w:tcBorders>
            <w:shd w:val="clear" w:color="auto" w:fill="FFFFFF"/>
            <w:tcMar>
              <w:top w:w="55" w:type="dxa"/>
              <w:left w:w="55" w:type="dxa"/>
              <w:bottom w:w="55" w:type="dxa"/>
              <w:right w:w="55" w:type="dxa"/>
            </w:tcMar>
            <w:vAlign w:val="center"/>
          </w:tcPr>
          <w:p w14:paraId="6A9B9F4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0.689</w:t>
            </w:r>
          </w:p>
        </w:tc>
        <w:tc>
          <w:tcPr>
            <w:tcW w:w="657" w:type="pct"/>
            <w:tcBorders>
              <w:top w:val="nil"/>
              <w:left w:val="nil"/>
              <w:bottom w:val="nil"/>
              <w:right w:val="nil"/>
            </w:tcBorders>
            <w:shd w:val="clear" w:color="auto" w:fill="FFFFFF"/>
            <w:tcMar>
              <w:top w:w="55" w:type="dxa"/>
              <w:left w:w="55" w:type="dxa"/>
              <w:bottom w:w="55" w:type="dxa"/>
              <w:right w:w="55" w:type="dxa"/>
            </w:tcMar>
            <w:vAlign w:val="center"/>
          </w:tcPr>
          <w:p w14:paraId="03027FA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w:t>
            </w:r>
          </w:p>
        </w:tc>
      </w:tr>
      <w:tr w14:paraId="6D4BEDEE">
        <w:trPr>
          <w:trHeight w:val="193" w:hRule="atLeast"/>
          <w:jc w:val="center"/>
        </w:trPr>
        <w:tc>
          <w:tcPr>
            <w:tcW w:w="1845" w:type="pct"/>
            <w:tcBorders>
              <w:top w:val="nil"/>
              <w:left w:val="nil"/>
              <w:bottom w:val="nil"/>
              <w:right w:val="nil"/>
            </w:tcBorders>
            <w:shd w:val="clear" w:color="auto" w:fill="FFFFFF"/>
            <w:tcMar>
              <w:top w:w="55" w:type="dxa"/>
              <w:left w:w="55" w:type="dxa"/>
              <w:bottom w:w="55" w:type="dxa"/>
              <w:right w:w="55" w:type="dxa"/>
            </w:tcMar>
            <w:vAlign w:val="center"/>
          </w:tcPr>
          <w:p w14:paraId="4D7CA60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Number of ferritin &lt;30 episodes</w:t>
            </w:r>
          </w:p>
        </w:tc>
        <w:tc>
          <w:tcPr>
            <w:tcW w:w="1282" w:type="pct"/>
            <w:tcBorders>
              <w:top w:val="nil"/>
              <w:left w:val="nil"/>
              <w:bottom w:val="nil"/>
              <w:right w:val="nil"/>
            </w:tcBorders>
            <w:shd w:val="clear" w:color="auto" w:fill="FFFFFF"/>
            <w:tcMar>
              <w:top w:w="55" w:type="dxa"/>
              <w:left w:w="55" w:type="dxa"/>
              <w:bottom w:w="55" w:type="dxa"/>
              <w:right w:w="55" w:type="dxa"/>
            </w:tcMar>
            <w:vAlign w:val="center"/>
          </w:tcPr>
          <w:p w14:paraId="0885A63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Female sex</w:t>
            </w:r>
          </w:p>
        </w:tc>
        <w:tc>
          <w:tcPr>
            <w:tcW w:w="333" w:type="pct"/>
            <w:tcBorders>
              <w:top w:val="nil"/>
              <w:left w:val="nil"/>
              <w:bottom w:val="nil"/>
              <w:right w:val="nil"/>
            </w:tcBorders>
            <w:shd w:val="clear" w:color="auto" w:fill="FFFFFF"/>
            <w:tcMar>
              <w:top w:w="55" w:type="dxa"/>
              <w:left w:w="55" w:type="dxa"/>
              <w:bottom w:w="55" w:type="dxa"/>
              <w:right w:w="55" w:type="dxa"/>
            </w:tcMar>
            <w:vAlign w:val="center"/>
          </w:tcPr>
          <w:p w14:paraId="3CAD91F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0.11</w:t>
            </w:r>
          </w:p>
        </w:tc>
        <w:tc>
          <w:tcPr>
            <w:tcW w:w="288" w:type="pct"/>
            <w:tcBorders>
              <w:top w:val="nil"/>
              <w:left w:val="nil"/>
              <w:bottom w:val="nil"/>
              <w:right w:val="nil"/>
            </w:tcBorders>
            <w:shd w:val="clear" w:color="auto" w:fill="FFFFFF"/>
            <w:tcMar>
              <w:top w:w="55" w:type="dxa"/>
              <w:left w:w="55" w:type="dxa"/>
              <w:bottom w:w="55" w:type="dxa"/>
              <w:right w:w="55" w:type="dxa"/>
            </w:tcMar>
            <w:vAlign w:val="center"/>
          </w:tcPr>
          <w:p w14:paraId="4715FFC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w:t>
            </w:r>
          </w:p>
        </w:tc>
        <w:tc>
          <w:tcPr>
            <w:tcW w:w="593" w:type="pct"/>
            <w:tcBorders>
              <w:top w:val="nil"/>
              <w:left w:val="nil"/>
              <w:bottom w:val="nil"/>
              <w:right w:val="nil"/>
            </w:tcBorders>
            <w:shd w:val="clear" w:color="auto" w:fill="FFFFFF"/>
            <w:tcMar>
              <w:top w:w="55" w:type="dxa"/>
              <w:left w:w="55" w:type="dxa"/>
              <w:bottom w:w="55" w:type="dxa"/>
              <w:right w:w="55" w:type="dxa"/>
            </w:tcMar>
            <w:vAlign w:val="center"/>
          </w:tcPr>
          <w:p w14:paraId="31FF948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0.743</w:t>
            </w:r>
          </w:p>
        </w:tc>
        <w:tc>
          <w:tcPr>
            <w:tcW w:w="657" w:type="pct"/>
            <w:tcBorders>
              <w:top w:val="nil"/>
              <w:left w:val="nil"/>
              <w:bottom w:val="nil"/>
              <w:right w:val="nil"/>
            </w:tcBorders>
            <w:shd w:val="clear" w:color="auto" w:fill="FFFFFF"/>
            <w:tcMar>
              <w:top w:w="55" w:type="dxa"/>
              <w:left w:w="55" w:type="dxa"/>
              <w:bottom w:w="55" w:type="dxa"/>
              <w:right w:w="55" w:type="dxa"/>
            </w:tcMar>
            <w:vAlign w:val="center"/>
          </w:tcPr>
          <w:p w14:paraId="6948551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w:t>
            </w:r>
          </w:p>
        </w:tc>
      </w:tr>
      <w:tr w14:paraId="3631E9B3">
        <w:trPr>
          <w:trHeight w:val="193" w:hRule="atLeast"/>
          <w:jc w:val="center"/>
        </w:trPr>
        <w:tc>
          <w:tcPr>
            <w:tcW w:w="1845" w:type="pct"/>
            <w:tcBorders>
              <w:top w:val="nil"/>
              <w:left w:val="nil"/>
              <w:bottom w:val="nil"/>
              <w:right w:val="nil"/>
            </w:tcBorders>
            <w:shd w:val="clear" w:color="auto" w:fill="FFFFFF"/>
            <w:tcMar>
              <w:top w:w="55" w:type="dxa"/>
              <w:left w:w="55" w:type="dxa"/>
              <w:bottom w:w="55" w:type="dxa"/>
              <w:right w:w="55" w:type="dxa"/>
            </w:tcMar>
            <w:vAlign w:val="center"/>
          </w:tcPr>
          <w:p w14:paraId="4E26CE6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Number of ferritin &lt;30 episodes</w:t>
            </w:r>
          </w:p>
        </w:tc>
        <w:tc>
          <w:tcPr>
            <w:tcW w:w="1282" w:type="pct"/>
            <w:tcBorders>
              <w:top w:val="nil"/>
              <w:left w:val="nil"/>
              <w:bottom w:val="nil"/>
              <w:right w:val="nil"/>
            </w:tcBorders>
            <w:shd w:val="clear" w:color="auto" w:fill="FFFFFF"/>
            <w:tcMar>
              <w:top w:w="55" w:type="dxa"/>
              <w:left w:w="55" w:type="dxa"/>
              <w:bottom w:w="55" w:type="dxa"/>
              <w:right w:w="55" w:type="dxa"/>
            </w:tcMar>
            <w:vAlign w:val="center"/>
          </w:tcPr>
          <w:p w14:paraId="6CDF60F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Smoking</w:t>
            </w:r>
          </w:p>
        </w:tc>
        <w:tc>
          <w:tcPr>
            <w:tcW w:w="333" w:type="pct"/>
            <w:tcBorders>
              <w:top w:val="nil"/>
              <w:left w:val="nil"/>
              <w:bottom w:val="nil"/>
              <w:right w:val="nil"/>
            </w:tcBorders>
            <w:shd w:val="clear" w:color="auto" w:fill="FFFFFF"/>
            <w:tcMar>
              <w:top w:w="55" w:type="dxa"/>
              <w:left w:w="55" w:type="dxa"/>
              <w:bottom w:w="55" w:type="dxa"/>
              <w:right w:w="55" w:type="dxa"/>
            </w:tcMar>
            <w:vAlign w:val="center"/>
          </w:tcPr>
          <w:p w14:paraId="74EB46B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0.29</w:t>
            </w:r>
          </w:p>
        </w:tc>
        <w:tc>
          <w:tcPr>
            <w:tcW w:w="288" w:type="pct"/>
            <w:tcBorders>
              <w:top w:val="nil"/>
              <w:left w:val="nil"/>
              <w:bottom w:val="nil"/>
              <w:right w:val="nil"/>
            </w:tcBorders>
            <w:shd w:val="clear" w:color="auto" w:fill="FFFFFF"/>
            <w:tcMar>
              <w:top w:w="55" w:type="dxa"/>
              <w:left w:w="55" w:type="dxa"/>
              <w:bottom w:w="55" w:type="dxa"/>
              <w:right w:w="55" w:type="dxa"/>
            </w:tcMar>
            <w:vAlign w:val="center"/>
          </w:tcPr>
          <w:p w14:paraId="69CBA84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w:t>
            </w:r>
          </w:p>
        </w:tc>
        <w:tc>
          <w:tcPr>
            <w:tcW w:w="593" w:type="pct"/>
            <w:tcBorders>
              <w:top w:val="nil"/>
              <w:left w:val="nil"/>
              <w:bottom w:val="nil"/>
              <w:right w:val="nil"/>
            </w:tcBorders>
            <w:shd w:val="clear" w:color="auto" w:fill="FFFFFF"/>
            <w:tcMar>
              <w:top w:w="55" w:type="dxa"/>
              <w:left w:w="55" w:type="dxa"/>
              <w:bottom w:w="55" w:type="dxa"/>
              <w:right w:w="55" w:type="dxa"/>
            </w:tcMar>
            <w:vAlign w:val="center"/>
          </w:tcPr>
          <w:p w14:paraId="3F1DA94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0.588</w:t>
            </w:r>
          </w:p>
        </w:tc>
        <w:tc>
          <w:tcPr>
            <w:tcW w:w="657" w:type="pct"/>
            <w:tcBorders>
              <w:top w:val="nil"/>
              <w:left w:val="nil"/>
              <w:bottom w:val="nil"/>
              <w:right w:val="nil"/>
            </w:tcBorders>
            <w:shd w:val="clear" w:color="auto" w:fill="FFFFFF"/>
            <w:tcMar>
              <w:top w:w="55" w:type="dxa"/>
              <w:left w:w="55" w:type="dxa"/>
              <w:bottom w:w="55" w:type="dxa"/>
              <w:right w:w="55" w:type="dxa"/>
            </w:tcMar>
            <w:vAlign w:val="center"/>
          </w:tcPr>
          <w:p w14:paraId="22AB166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w:t>
            </w:r>
          </w:p>
        </w:tc>
      </w:tr>
      <w:tr w14:paraId="62FDC356">
        <w:trPr>
          <w:trHeight w:val="193" w:hRule="atLeast"/>
          <w:jc w:val="center"/>
        </w:trPr>
        <w:tc>
          <w:tcPr>
            <w:tcW w:w="1845" w:type="pct"/>
            <w:tcBorders>
              <w:top w:val="nil"/>
              <w:left w:val="nil"/>
              <w:bottom w:val="nil"/>
              <w:right w:val="nil"/>
            </w:tcBorders>
            <w:shd w:val="clear" w:color="auto" w:fill="FFFFFF"/>
            <w:tcMar>
              <w:top w:w="55" w:type="dxa"/>
              <w:left w:w="55" w:type="dxa"/>
              <w:bottom w:w="55" w:type="dxa"/>
              <w:right w:w="55" w:type="dxa"/>
            </w:tcMar>
            <w:vAlign w:val="center"/>
          </w:tcPr>
          <w:p w14:paraId="627B6EE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Number of ferritin &lt;30 episodes</w:t>
            </w:r>
          </w:p>
        </w:tc>
        <w:tc>
          <w:tcPr>
            <w:tcW w:w="1282" w:type="pct"/>
            <w:tcBorders>
              <w:top w:val="nil"/>
              <w:left w:val="nil"/>
              <w:bottom w:val="nil"/>
              <w:right w:val="nil"/>
            </w:tcBorders>
            <w:shd w:val="clear" w:color="auto" w:fill="FFFFFF"/>
            <w:tcMar>
              <w:top w:w="55" w:type="dxa"/>
              <w:left w:w="55" w:type="dxa"/>
              <w:bottom w:w="55" w:type="dxa"/>
              <w:right w:w="55" w:type="dxa"/>
            </w:tcMar>
            <w:vAlign w:val="center"/>
          </w:tcPr>
          <w:p w14:paraId="036E854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BMI</w:t>
            </w:r>
          </w:p>
        </w:tc>
        <w:tc>
          <w:tcPr>
            <w:tcW w:w="333" w:type="pct"/>
            <w:tcBorders>
              <w:top w:val="nil"/>
              <w:left w:val="nil"/>
              <w:bottom w:val="nil"/>
              <w:right w:val="nil"/>
            </w:tcBorders>
            <w:shd w:val="clear" w:color="auto" w:fill="FFFFFF"/>
            <w:tcMar>
              <w:top w:w="55" w:type="dxa"/>
              <w:left w:w="55" w:type="dxa"/>
              <w:bottom w:w="55" w:type="dxa"/>
              <w:right w:w="55" w:type="dxa"/>
            </w:tcMar>
            <w:vAlign w:val="center"/>
          </w:tcPr>
          <w:p w14:paraId="3FF6CF4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0.12</w:t>
            </w:r>
          </w:p>
        </w:tc>
        <w:tc>
          <w:tcPr>
            <w:tcW w:w="288" w:type="pct"/>
            <w:tcBorders>
              <w:top w:val="nil"/>
              <w:left w:val="nil"/>
              <w:bottom w:val="nil"/>
              <w:right w:val="nil"/>
            </w:tcBorders>
            <w:shd w:val="clear" w:color="auto" w:fill="FFFFFF"/>
            <w:tcMar>
              <w:top w:w="55" w:type="dxa"/>
              <w:left w:w="55" w:type="dxa"/>
              <w:bottom w:w="55" w:type="dxa"/>
              <w:right w:w="55" w:type="dxa"/>
            </w:tcMar>
            <w:vAlign w:val="center"/>
          </w:tcPr>
          <w:p w14:paraId="6693FCE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w:t>
            </w:r>
          </w:p>
        </w:tc>
        <w:tc>
          <w:tcPr>
            <w:tcW w:w="593" w:type="pct"/>
            <w:tcBorders>
              <w:top w:val="nil"/>
              <w:left w:val="nil"/>
              <w:bottom w:val="nil"/>
              <w:right w:val="nil"/>
            </w:tcBorders>
            <w:shd w:val="clear" w:color="auto" w:fill="FFFFFF"/>
            <w:tcMar>
              <w:top w:w="55" w:type="dxa"/>
              <w:left w:w="55" w:type="dxa"/>
              <w:bottom w:w="55" w:type="dxa"/>
              <w:right w:w="55" w:type="dxa"/>
            </w:tcMar>
            <w:vAlign w:val="center"/>
          </w:tcPr>
          <w:p w14:paraId="1E92101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0.733</w:t>
            </w:r>
          </w:p>
        </w:tc>
        <w:tc>
          <w:tcPr>
            <w:tcW w:w="657" w:type="pct"/>
            <w:tcBorders>
              <w:top w:val="nil"/>
              <w:left w:val="nil"/>
              <w:bottom w:val="nil"/>
              <w:right w:val="nil"/>
            </w:tcBorders>
            <w:shd w:val="clear" w:color="auto" w:fill="FFFFFF"/>
            <w:tcMar>
              <w:top w:w="55" w:type="dxa"/>
              <w:left w:w="55" w:type="dxa"/>
              <w:bottom w:w="55" w:type="dxa"/>
              <w:right w:w="55" w:type="dxa"/>
            </w:tcMar>
            <w:vAlign w:val="center"/>
          </w:tcPr>
          <w:p w14:paraId="27501CE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w:t>
            </w:r>
          </w:p>
        </w:tc>
      </w:tr>
      <w:tr w14:paraId="6C04AC80">
        <w:trPr>
          <w:trHeight w:val="193" w:hRule="atLeast"/>
          <w:jc w:val="center"/>
        </w:trPr>
        <w:tc>
          <w:tcPr>
            <w:tcW w:w="1845" w:type="pct"/>
            <w:tcBorders>
              <w:top w:val="nil"/>
              <w:left w:val="nil"/>
              <w:bottom w:val="nil"/>
              <w:right w:val="nil"/>
            </w:tcBorders>
            <w:shd w:val="clear" w:color="auto" w:fill="FFFFFF"/>
            <w:tcMar>
              <w:top w:w="55" w:type="dxa"/>
              <w:left w:w="55" w:type="dxa"/>
              <w:bottom w:w="55" w:type="dxa"/>
              <w:right w:w="55" w:type="dxa"/>
            </w:tcMar>
            <w:vAlign w:val="center"/>
          </w:tcPr>
          <w:p w14:paraId="321A5B4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Number of ferritin &lt;30 episodes</w:t>
            </w:r>
          </w:p>
        </w:tc>
        <w:tc>
          <w:tcPr>
            <w:tcW w:w="1282" w:type="pct"/>
            <w:tcBorders>
              <w:top w:val="nil"/>
              <w:left w:val="nil"/>
              <w:bottom w:val="nil"/>
              <w:right w:val="nil"/>
            </w:tcBorders>
            <w:shd w:val="clear" w:color="auto" w:fill="FFFFFF"/>
            <w:tcMar>
              <w:top w:w="55" w:type="dxa"/>
              <w:left w:w="55" w:type="dxa"/>
              <w:bottom w:w="55" w:type="dxa"/>
              <w:right w:w="55" w:type="dxa"/>
            </w:tcMar>
            <w:vAlign w:val="center"/>
          </w:tcPr>
          <w:p w14:paraId="3893FA8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log(CRP)</w:t>
            </w:r>
          </w:p>
        </w:tc>
        <w:tc>
          <w:tcPr>
            <w:tcW w:w="333" w:type="pct"/>
            <w:tcBorders>
              <w:top w:val="nil"/>
              <w:left w:val="nil"/>
              <w:bottom w:val="nil"/>
              <w:right w:val="nil"/>
            </w:tcBorders>
            <w:shd w:val="clear" w:color="auto" w:fill="FFFFFF"/>
            <w:tcMar>
              <w:top w:w="55" w:type="dxa"/>
              <w:left w:w="55" w:type="dxa"/>
              <w:bottom w:w="55" w:type="dxa"/>
              <w:right w:w="55" w:type="dxa"/>
            </w:tcMar>
            <w:vAlign w:val="center"/>
          </w:tcPr>
          <w:p w14:paraId="1B1FE08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0.32</w:t>
            </w:r>
          </w:p>
        </w:tc>
        <w:tc>
          <w:tcPr>
            <w:tcW w:w="288" w:type="pct"/>
            <w:tcBorders>
              <w:top w:val="nil"/>
              <w:left w:val="nil"/>
              <w:bottom w:val="nil"/>
              <w:right w:val="nil"/>
            </w:tcBorders>
            <w:shd w:val="clear" w:color="auto" w:fill="FFFFFF"/>
            <w:tcMar>
              <w:top w:w="55" w:type="dxa"/>
              <w:left w:w="55" w:type="dxa"/>
              <w:bottom w:w="55" w:type="dxa"/>
              <w:right w:w="55" w:type="dxa"/>
            </w:tcMar>
            <w:vAlign w:val="center"/>
          </w:tcPr>
          <w:p w14:paraId="05054A9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w:t>
            </w:r>
          </w:p>
        </w:tc>
        <w:tc>
          <w:tcPr>
            <w:tcW w:w="593" w:type="pct"/>
            <w:tcBorders>
              <w:top w:val="nil"/>
              <w:left w:val="nil"/>
              <w:bottom w:val="nil"/>
              <w:right w:val="nil"/>
            </w:tcBorders>
            <w:shd w:val="clear" w:color="auto" w:fill="FFFFFF"/>
            <w:tcMar>
              <w:top w:w="55" w:type="dxa"/>
              <w:left w:w="55" w:type="dxa"/>
              <w:bottom w:w="55" w:type="dxa"/>
              <w:right w:w="55" w:type="dxa"/>
            </w:tcMar>
            <w:vAlign w:val="center"/>
          </w:tcPr>
          <w:p w14:paraId="4A29DF8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0.571</w:t>
            </w:r>
          </w:p>
        </w:tc>
        <w:tc>
          <w:tcPr>
            <w:tcW w:w="657" w:type="pct"/>
            <w:tcBorders>
              <w:top w:val="nil"/>
              <w:left w:val="nil"/>
              <w:bottom w:val="nil"/>
              <w:right w:val="nil"/>
            </w:tcBorders>
            <w:shd w:val="clear" w:color="auto" w:fill="FFFFFF"/>
            <w:tcMar>
              <w:top w:w="55" w:type="dxa"/>
              <w:left w:w="55" w:type="dxa"/>
              <w:bottom w:w="55" w:type="dxa"/>
              <w:right w:w="55" w:type="dxa"/>
            </w:tcMar>
            <w:vAlign w:val="center"/>
          </w:tcPr>
          <w:p w14:paraId="5728C3C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w:t>
            </w:r>
          </w:p>
        </w:tc>
      </w:tr>
      <w:tr w14:paraId="0F88F3AD">
        <w:trPr>
          <w:trHeight w:val="193" w:hRule="atLeast"/>
          <w:jc w:val="center"/>
        </w:trPr>
        <w:tc>
          <w:tcPr>
            <w:tcW w:w="1845" w:type="pct"/>
            <w:tcBorders>
              <w:top w:val="nil"/>
              <w:left w:val="nil"/>
              <w:bottom w:val="nil"/>
              <w:right w:val="nil"/>
            </w:tcBorders>
            <w:shd w:val="clear" w:color="auto" w:fill="FFFFFF"/>
            <w:tcMar>
              <w:top w:w="55" w:type="dxa"/>
              <w:left w:w="55" w:type="dxa"/>
              <w:bottom w:w="55" w:type="dxa"/>
              <w:right w:w="55" w:type="dxa"/>
            </w:tcMar>
            <w:vAlign w:val="center"/>
          </w:tcPr>
          <w:p w14:paraId="5E66B2E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Number of ferritin &lt;30 episodes</w:t>
            </w:r>
          </w:p>
        </w:tc>
        <w:tc>
          <w:tcPr>
            <w:tcW w:w="1282" w:type="pct"/>
            <w:tcBorders>
              <w:top w:val="nil"/>
              <w:left w:val="nil"/>
              <w:bottom w:val="nil"/>
              <w:right w:val="nil"/>
            </w:tcBorders>
            <w:shd w:val="clear" w:color="auto" w:fill="FFFFFF"/>
            <w:tcMar>
              <w:top w:w="55" w:type="dxa"/>
              <w:left w:w="55" w:type="dxa"/>
              <w:bottom w:w="55" w:type="dxa"/>
              <w:right w:w="55" w:type="dxa"/>
            </w:tcMar>
            <w:vAlign w:val="center"/>
          </w:tcPr>
          <w:p w14:paraId="27A5B38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hemoglobin</w:t>
            </w:r>
          </w:p>
        </w:tc>
        <w:tc>
          <w:tcPr>
            <w:tcW w:w="333" w:type="pct"/>
            <w:tcBorders>
              <w:top w:val="nil"/>
              <w:left w:val="nil"/>
              <w:bottom w:val="nil"/>
              <w:right w:val="nil"/>
            </w:tcBorders>
            <w:shd w:val="clear" w:color="auto" w:fill="FFFFFF"/>
            <w:tcMar>
              <w:top w:w="55" w:type="dxa"/>
              <w:left w:w="55" w:type="dxa"/>
              <w:bottom w:w="55" w:type="dxa"/>
              <w:right w:w="55" w:type="dxa"/>
            </w:tcMar>
            <w:vAlign w:val="center"/>
          </w:tcPr>
          <w:p w14:paraId="64FCD0C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0.05</w:t>
            </w:r>
          </w:p>
        </w:tc>
        <w:tc>
          <w:tcPr>
            <w:tcW w:w="288" w:type="pct"/>
            <w:tcBorders>
              <w:top w:val="nil"/>
              <w:left w:val="nil"/>
              <w:bottom w:val="nil"/>
              <w:right w:val="nil"/>
            </w:tcBorders>
            <w:shd w:val="clear" w:color="auto" w:fill="FFFFFF"/>
            <w:tcMar>
              <w:top w:w="55" w:type="dxa"/>
              <w:left w:w="55" w:type="dxa"/>
              <w:bottom w:w="55" w:type="dxa"/>
              <w:right w:w="55" w:type="dxa"/>
            </w:tcMar>
            <w:vAlign w:val="center"/>
          </w:tcPr>
          <w:p w14:paraId="7991D5C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w:t>
            </w:r>
          </w:p>
        </w:tc>
        <w:tc>
          <w:tcPr>
            <w:tcW w:w="593" w:type="pct"/>
            <w:tcBorders>
              <w:top w:val="nil"/>
              <w:left w:val="nil"/>
              <w:bottom w:val="nil"/>
              <w:right w:val="nil"/>
            </w:tcBorders>
            <w:shd w:val="clear" w:color="auto" w:fill="FFFFFF"/>
            <w:tcMar>
              <w:top w:w="55" w:type="dxa"/>
              <w:left w:w="55" w:type="dxa"/>
              <w:bottom w:w="55" w:type="dxa"/>
              <w:right w:w="55" w:type="dxa"/>
            </w:tcMar>
            <w:vAlign w:val="center"/>
          </w:tcPr>
          <w:p w14:paraId="140DCEB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0.819</w:t>
            </w:r>
          </w:p>
        </w:tc>
        <w:tc>
          <w:tcPr>
            <w:tcW w:w="657" w:type="pct"/>
            <w:tcBorders>
              <w:top w:val="nil"/>
              <w:left w:val="nil"/>
              <w:bottom w:val="nil"/>
              <w:right w:val="nil"/>
            </w:tcBorders>
            <w:shd w:val="clear" w:color="auto" w:fill="FFFFFF"/>
            <w:tcMar>
              <w:top w:w="55" w:type="dxa"/>
              <w:left w:w="55" w:type="dxa"/>
              <w:bottom w:w="55" w:type="dxa"/>
              <w:right w:w="55" w:type="dxa"/>
            </w:tcMar>
            <w:vAlign w:val="center"/>
          </w:tcPr>
          <w:p w14:paraId="46C11BE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w:t>
            </w:r>
          </w:p>
        </w:tc>
      </w:tr>
      <w:tr w14:paraId="3554AAF6">
        <w:trPr>
          <w:trHeight w:val="193" w:hRule="atLeast"/>
          <w:jc w:val="center"/>
        </w:trPr>
        <w:tc>
          <w:tcPr>
            <w:tcW w:w="1845" w:type="pct"/>
            <w:tcBorders>
              <w:top w:val="nil"/>
              <w:left w:val="nil"/>
              <w:bottom w:val="nil"/>
              <w:right w:val="nil"/>
            </w:tcBorders>
            <w:shd w:val="clear" w:color="auto" w:fill="FFFFFF"/>
            <w:tcMar>
              <w:top w:w="55" w:type="dxa"/>
              <w:left w:w="55" w:type="dxa"/>
              <w:bottom w:w="55" w:type="dxa"/>
              <w:right w:w="55" w:type="dxa"/>
            </w:tcMar>
            <w:vAlign w:val="center"/>
          </w:tcPr>
          <w:p w14:paraId="1A5444F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Number of ferritin &lt;30 episodes</w:t>
            </w:r>
          </w:p>
        </w:tc>
        <w:tc>
          <w:tcPr>
            <w:tcW w:w="1282" w:type="pct"/>
            <w:tcBorders>
              <w:top w:val="nil"/>
              <w:left w:val="nil"/>
              <w:bottom w:val="nil"/>
              <w:right w:val="nil"/>
            </w:tcBorders>
            <w:shd w:val="clear" w:color="auto" w:fill="FFFFFF"/>
            <w:tcMar>
              <w:top w:w="55" w:type="dxa"/>
              <w:left w:w="55" w:type="dxa"/>
              <w:bottom w:w="55" w:type="dxa"/>
              <w:right w:w="55" w:type="dxa"/>
            </w:tcMar>
            <w:vAlign w:val="center"/>
          </w:tcPr>
          <w:p w14:paraId="0A87E27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Global test</w:t>
            </w:r>
          </w:p>
        </w:tc>
        <w:tc>
          <w:tcPr>
            <w:tcW w:w="333" w:type="pct"/>
            <w:tcBorders>
              <w:top w:val="nil"/>
              <w:left w:val="nil"/>
              <w:bottom w:val="nil"/>
              <w:right w:val="nil"/>
            </w:tcBorders>
            <w:shd w:val="clear" w:color="auto" w:fill="FFFFFF"/>
            <w:tcMar>
              <w:top w:w="55" w:type="dxa"/>
              <w:left w:w="55" w:type="dxa"/>
              <w:bottom w:w="55" w:type="dxa"/>
              <w:right w:w="55" w:type="dxa"/>
            </w:tcMar>
            <w:vAlign w:val="center"/>
          </w:tcPr>
          <w:p w14:paraId="5B82CE4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5.82</w:t>
            </w:r>
          </w:p>
        </w:tc>
        <w:tc>
          <w:tcPr>
            <w:tcW w:w="288" w:type="pct"/>
            <w:tcBorders>
              <w:top w:val="nil"/>
              <w:left w:val="nil"/>
              <w:bottom w:val="nil"/>
              <w:right w:val="nil"/>
            </w:tcBorders>
            <w:shd w:val="clear" w:color="auto" w:fill="FFFFFF"/>
            <w:tcMar>
              <w:top w:w="55" w:type="dxa"/>
              <w:left w:w="55" w:type="dxa"/>
              <w:bottom w:w="55" w:type="dxa"/>
              <w:right w:w="55" w:type="dxa"/>
            </w:tcMar>
            <w:vAlign w:val="center"/>
          </w:tcPr>
          <w:p w14:paraId="1293E0C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7</w:t>
            </w:r>
          </w:p>
        </w:tc>
        <w:tc>
          <w:tcPr>
            <w:tcW w:w="593" w:type="pct"/>
            <w:tcBorders>
              <w:top w:val="nil"/>
              <w:left w:val="nil"/>
              <w:bottom w:val="nil"/>
              <w:right w:val="nil"/>
            </w:tcBorders>
            <w:shd w:val="clear" w:color="auto" w:fill="FFFFFF"/>
            <w:tcMar>
              <w:top w:w="55" w:type="dxa"/>
              <w:left w:w="55" w:type="dxa"/>
              <w:bottom w:w="55" w:type="dxa"/>
              <w:right w:w="55" w:type="dxa"/>
            </w:tcMar>
            <w:vAlign w:val="center"/>
          </w:tcPr>
          <w:p w14:paraId="65F32CA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0.561</w:t>
            </w:r>
          </w:p>
        </w:tc>
        <w:tc>
          <w:tcPr>
            <w:tcW w:w="657" w:type="pct"/>
            <w:tcBorders>
              <w:top w:val="nil"/>
              <w:left w:val="nil"/>
              <w:bottom w:val="nil"/>
              <w:right w:val="nil"/>
            </w:tcBorders>
            <w:shd w:val="clear" w:color="auto" w:fill="FFFFFF"/>
            <w:tcMar>
              <w:top w:w="55" w:type="dxa"/>
              <w:left w:w="55" w:type="dxa"/>
              <w:bottom w:w="55" w:type="dxa"/>
              <w:right w:w="55" w:type="dxa"/>
            </w:tcMar>
            <w:vAlign w:val="center"/>
          </w:tcPr>
          <w:p w14:paraId="2392DCB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w:t>
            </w:r>
          </w:p>
        </w:tc>
      </w:tr>
      <w:tr w14:paraId="2A46496A">
        <w:trPr>
          <w:trHeight w:val="193" w:hRule="atLeast"/>
          <w:jc w:val="center"/>
        </w:trPr>
        <w:tc>
          <w:tcPr>
            <w:tcW w:w="1845" w:type="pct"/>
            <w:tcBorders>
              <w:top w:val="nil"/>
              <w:left w:val="nil"/>
              <w:bottom w:val="nil"/>
              <w:right w:val="nil"/>
            </w:tcBorders>
            <w:shd w:val="clear" w:color="auto" w:fill="FFFFFF"/>
            <w:tcMar>
              <w:top w:w="55" w:type="dxa"/>
              <w:left w:w="55" w:type="dxa"/>
              <w:bottom w:w="55" w:type="dxa"/>
              <w:right w:w="55" w:type="dxa"/>
            </w:tcMar>
            <w:vAlign w:val="center"/>
          </w:tcPr>
          <w:p w14:paraId="36A394A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Iron fragility index</w:t>
            </w:r>
          </w:p>
        </w:tc>
        <w:tc>
          <w:tcPr>
            <w:tcW w:w="1282" w:type="pct"/>
            <w:tcBorders>
              <w:top w:val="nil"/>
              <w:left w:val="nil"/>
              <w:bottom w:val="nil"/>
              <w:right w:val="nil"/>
            </w:tcBorders>
            <w:shd w:val="clear" w:color="auto" w:fill="FFFFFF"/>
            <w:tcMar>
              <w:top w:w="55" w:type="dxa"/>
              <w:left w:w="55" w:type="dxa"/>
              <w:bottom w:w="55" w:type="dxa"/>
              <w:right w:w="55" w:type="dxa"/>
            </w:tcMar>
            <w:vAlign w:val="center"/>
          </w:tcPr>
          <w:p w14:paraId="1DE41CA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w:t>
            </w:r>
          </w:p>
        </w:tc>
        <w:tc>
          <w:tcPr>
            <w:tcW w:w="333" w:type="pct"/>
            <w:tcBorders>
              <w:top w:val="nil"/>
              <w:left w:val="nil"/>
              <w:bottom w:val="nil"/>
              <w:right w:val="nil"/>
            </w:tcBorders>
            <w:shd w:val="clear" w:color="auto" w:fill="FFFFFF"/>
            <w:tcMar>
              <w:top w:w="55" w:type="dxa"/>
              <w:left w:w="55" w:type="dxa"/>
              <w:bottom w:w="55" w:type="dxa"/>
              <w:right w:w="55" w:type="dxa"/>
            </w:tcMar>
            <w:vAlign w:val="center"/>
          </w:tcPr>
          <w:p w14:paraId="1D06E15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w:t>
            </w:r>
          </w:p>
        </w:tc>
        <w:tc>
          <w:tcPr>
            <w:tcW w:w="288" w:type="pct"/>
            <w:tcBorders>
              <w:top w:val="nil"/>
              <w:left w:val="nil"/>
              <w:bottom w:val="nil"/>
              <w:right w:val="nil"/>
            </w:tcBorders>
            <w:shd w:val="clear" w:color="auto" w:fill="FFFFFF"/>
            <w:tcMar>
              <w:top w:w="55" w:type="dxa"/>
              <w:left w:w="55" w:type="dxa"/>
              <w:bottom w:w="55" w:type="dxa"/>
              <w:right w:w="55" w:type="dxa"/>
            </w:tcMar>
            <w:vAlign w:val="center"/>
          </w:tcPr>
          <w:p w14:paraId="4C2274E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w:t>
            </w:r>
          </w:p>
        </w:tc>
        <w:tc>
          <w:tcPr>
            <w:tcW w:w="593" w:type="pct"/>
            <w:tcBorders>
              <w:top w:val="nil"/>
              <w:left w:val="nil"/>
              <w:bottom w:val="nil"/>
              <w:right w:val="nil"/>
            </w:tcBorders>
            <w:shd w:val="clear" w:color="auto" w:fill="FFFFFF"/>
            <w:tcMar>
              <w:top w:w="55" w:type="dxa"/>
              <w:left w:w="55" w:type="dxa"/>
              <w:bottom w:w="55" w:type="dxa"/>
              <w:right w:w="55" w:type="dxa"/>
            </w:tcMar>
            <w:vAlign w:val="center"/>
          </w:tcPr>
          <w:p w14:paraId="7CA680A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w:t>
            </w:r>
          </w:p>
        </w:tc>
        <w:tc>
          <w:tcPr>
            <w:tcW w:w="657" w:type="pct"/>
            <w:tcBorders>
              <w:top w:val="nil"/>
              <w:left w:val="nil"/>
              <w:bottom w:val="nil"/>
              <w:right w:val="nil"/>
            </w:tcBorders>
            <w:shd w:val="clear" w:color="auto" w:fill="FFFFFF"/>
            <w:tcMar>
              <w:top w:w="55" w:type="dxa"/>
              <w:left w:w="55" w:type="dxa"/>
              <w:bottom w:w="55" w:type="dxa"/>
              <w:right w:w="55" w:type="dxa"/>
            </w:tcMar>
            <w:vAlign w:val="center"/>
          </w:tcPr>
          <w:p w14:paraId="5E72BD2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PH check unavailable</w:t>
            </w:r>
          </w:p>
        </w:tc>
      </w:tr>
      <w:tr w14:paraId="0C7A002E">
        <w:trPr>
          <w:trHeight w:val="193" w:hRule="atLeast"/>
          <w:jc w:val="center"/>
        </w:trPr>
        <w:tc>
          <w:tcPr>
            <w:tcW w:w="1845"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D2B5E2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Iron–muscle phenotype</w:t>
            </w:r>
          </w:p>
        </w:tc>
        <w:tc>
          <w:tcPr>
            <w:tcW w:w="1282"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607C08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w:t>
            </w:r>
          </w:p>
        </w:tc>
        <w:tc>
          <w:tcPr>
            <w:tcW w:w="333"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FF65B8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w:t>
            </w:r>
          </w:p>
        </w:tc>
        <w:tc>
          <w:tcPr>
            <w:tcW w:w="288"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3DD12A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w:t>
            </w:r>
          </w:p>
        </w:tc>
        <w:tc>
          <w:tcPr>
            <w:tcW w:w="593"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0C4C2E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w:t>
            </w:r>
          </w:p>
        </w:tc>
        <w:tc>
          <w:tcPr>
            <w:tcW w:w="65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6195CC8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PH check unavailable</w:t>
            </w:r>
          </w:p>
        </w:tc>
      </w:tr>
    </w:tbl>
    <w:p w14:paraId="39C19AF6">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sz w:val="20"/>
          <w:szCs w:val="22"/>
          <w:lang w:val="en-US" w:eastAsia="zh-CN"/>
        </w:rPr>
        <w:t>This table summarizes proportional hazards assumption checks for Cox proportional hazards models evaluating all-cause mortality in relation to dynamic iron-related measures. Reported statistics and P values are shown as specified in the table. These checks are provided for completeness and should be interpreted in the context of the limited number of mortality events and the instability of several mortality models.</w:t>
      </w:r>
    </w:p>
    <w:p w14:paraId="4B469FF9">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1C12A9FD">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9E8CD14">
      <w:pPr>
        <w:spacing w:before="0" w:after="0" w:line="240" w:lineRule="auto"/>
        <w:rPr>
          <w:rFonts w:hint="default" w:ascii="Times New Roman Regular" w:hAnsi="Times New Roman Regular" w:cs="Times New Roman Regular"/>
          <w:b/>
          <w:bCs/>
          <w:sz w:val="22"/>
          <w:szCs w:val="22"/>
          <w:lang w:val="en-US" w:eastAsia="zh-CN"/>
        </w:rPr>
      </w:pPr>
      <w:r>
        <w:rPr>
          <w:rFonts w:hint="default" w:ascii="Times New Roman Regular" w:hAnsi="Times New Roman Regular" w:cs="Times New Roman Regular"/>
          <w:b/>
          <w:bCs/>
          <w:sz w:val="22"/>
          <w:szCs w:val="22"/>
          <w:lang w:val="en-US" w:eastAsia="zh-CN"/>
        </w:rPr>
        <w:br w:type="page"/>
      </w:r>
    </w:p>
    <w:p w14:paraId="3F9FCCED">
      <w:pPr>
        <w:pStyle w:val="2"/>
        <w:keepNext/>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S45. Hb-adjusted key paths from the random-intercept cross-lagged panel model</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64"/>
        <w:gridCol w:w="1621"/>
        <w:gridCol w:w="1037"/>
        <w:gridCol w:w="1348"/>
        <w:gridCol w:w="3696"/>
      </w:tblGrid>
      <w:tr w14:paraId="3621C65A">
        <w:trPr>
          <w:trHeight w:val="193" w:hRule="atLeast"/>
          <w:tblHeader/>
          <w:jc w:val="center"/>
        </w:trPr>
        <w:tc>
          <w:tcPr>
            <w:tcW w:w="231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0DC8EB3">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Path</w:t>
            </w:r>
          </w:p>
        </w:tc>
        <w:tc>
          <w:tcPr>
            <w:tcW w:w="564"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0E0950B6">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Estimate</w:t>
            </w:r>
          </w:p>
        </w:tc>
        <w:tc>
          <w:tcPr>
            <w:tcW w:w="361"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3F7F419F">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SE</w:t>
            </w:r>
          </w:p>
        </w:tc>
        <w:tc>
          <w:tcPr>
            <w:tcW w:w="46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128B35F">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P value</w:t>
            </w:r>
          </w:p>
        </w:tc>
        <w:tc>
          <w:tcPr>
            <w:tcW w:w="1286"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6097D104">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Standardized coefficient</w:t>
            </w:r>
          </w:p>
        </w:tc>
      </w:tr>
      <w:tr w14:paraId="2FA0FC87">
        <w:trPr>
          <w:trHeight w:val="193" w:hRule="atLeast"/>
          <w:jc w:val="center"/>
        </w:trPr>
        <w:tc>
          <w:tcPr>
            <w:tcW w:w="231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DD1D07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autoregressive path (Wave 2 → Wave 4)</w:t>
            </w:r>
          </w:p>
        </w:tc>
        <w:tc>
          <w:tcPr>
            <w:tcW w:w="564"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EEFA1D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0.513</w:t>
            </w:r>
          </w:p>
        </w:tc>
        <w:tc>
          <w:tcPr>
            <w:tcW w:w="361"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3C3BE8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0.2</w:t>
            </w:r>
          </w:p>
        </w:tc>
        <w:tc>
          <w:tcPr>
            <w:tcW w:w="46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E5F5FE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0.01</w:t>
            </w:r>
          </w:p>
        </w:tc>
        <w:tc>
          <w:tcPr>
            <w:tcW w:w="1286"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554B67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0.517</w:t>
            </w:r>
          </w:p>
        </w:tc>
      </w:tr>
      <w:tr w14:paraId="1B8309B8">
        <w:trPr>
          <w:trHeight w:val="193" w:hRule="atLeast"/>
          <w:jc w:val="center"/>
        </w:trPr>
        <w:tc>
          <w:tcPr>
            <w:tcW w:w="2319" w:type="pct"/>
            <w:tcBorders>
              <w:top w:val="nil"/>
              <w:left w:val="nil"/>
              <w:bottom w:val="nil"/>
              <w:right w:val="nil"/>
            </w:tcBorders>
            <w:shd w:val="clear" w:color="auto" w:fill="FFFFFF"/>
            <w:tcMar>
              <w:top w:w="55" w:type="dxa"/>
              <w:left w:w="55" w:type="dxa"/>
              <w:bottom w:w="55" w:type="dxa"/>
              <w:right w:w="55" w:type="dxa"/>
            </w:tcMar>
            <w:vAlign w:val="center"/>
          </w:tcPr>
          <w:p w14:paraId="4CA20E5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autoregressive path (Wave 4 → Wave 6)</w:t>
            </w:r>
          </w:p>
        </w:tc>
        <w:tc>
          <w:tcPr>
            <w:tcW w:w="564" w:type="pct"/>
            <w:tcBorders>
              <w:top w:val="nil"/>
              <w:left w:val="nil"/>
              <w:bottom w:val="nil"/>
              <w:right w:val="nil"/>
            </w:tcBorders>
            <w:shd w:val="clear" w:color="auto" w:fill="FFFFFF"/>
            <w:tcMar>
              <w:top w:w="55" w:type="dxa"/>
              <w:left w:w="55" w:type="dxa"/>
              <w:bottom w:w="55" w:type="dxa"/>
              <w:right w:w="55" w:type="dxa"/>
            </w:tcMar>
            <w:vAlign w:val="center"/>
          </w:tcPr>
          <w:p w14:paraId="3504D50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0.513</w:t>
            </w:r>
          </w:p>
        </w:tc>
        <w:tc>
          <w:tcPr>
            <w:tcW w:w="361" w:type="pct"/>
            <w:tcBorders>
              <w:top w:val="nil"/>
              <w:left w:val="nil"/>
              <w:bottom w:val="nil"/>
              <w:right w:val="nil"/>
            </w:tcBorders>
            <w:shd w:val="clear" w:color="auto" w:fill="FFFFFF"/>
            <w:tcMar>
              <w:top w:w="55" w:type="dxa"/>
              <w:left w:w="55" w:type="dxa"/>
              <w:bottom w:w="55" w:type="dxa"/>
              <w:right w:w="55" w:type="dxa"/>
            </w:tcMar>
            <w:vAlign w:val="center"/>
          </w:tcPr>
          <w:p w14:paraId="392D5BF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0.2</w:t>
            </w:r>
          </w:p>
        </w:tc>
        <w:tc>
          <w:tcPr>
            <w:tcW w:w="469" w:type="pct"/>
            <w:tcBorders>
              <w:top w:val="nil"/>
              <w:left w:val="nil"/>
              <w:bottom w:val="nil"/>
              <w:right w:val="nil"/>
            </w:tcBorders>
            <w:shd w:val="clear" w:color="auto" w:fill="FFFFFF"/>
            <w:tcMar>
              <w:top w:w="55" w:type="dxa"/>
              <w:left w:w="55" w:type="dxa"/>
              <w:bottom w:w="55" w:type="dxa"/>
              <w:right w:w="55" w:type="dxa"/>
            </w:tcMar>
            <w:vAlign w:val="center"/>
          </w:tcPr>
          <w:p w14:paraId="41A4846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0.01</w:t>
            </w:r>
          </w:p>
        </w:tc>
        <w:tc>
          <w:tcPr>
            <w:tcW w:w="1286" w:type="pct"/>
            <w:tcBorders>
              <w:top w:val="nil"/>
              <w:left w:val="nil"/>
              <w:bottom w:val="nil"/>
              <w:right w:val="nil"/>
            </w:tcBorders>
            <w:shd w:val="clear" w:color="auto" w:fill="FFFFFF"/>
            <w:tcMar>
              <w:top w:w="55" w:type="dxa"/>
              <w:left w:w="55" w:type="dxa"/>
              <w:bottom w:w="55" w:type="dxa"/>
              <w:right w:w="55" w:type="dxa"/>
            </w:tcMar>
            <w:vAlign w:val="center"/>
          </w:tcPr>
          <w:p w14:paraId="5C406A4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0.504</w:t>
            </w:r>
          </w:p>
        </w:tc>
      </w:tr>
      <w:tr w14:paraId="308D166F">
        <w:trPr>
          <w:trHeight w:val="193" w:hRule="atLeast"/>
          <w:jc w:val="center"/>
        </w:trPr>
        <w:tc>
          <w:tcPr>
            <w:tcW w:w="2319" w:type="pct"/>
            <w:tcBorders>
              <w:top w:val="nil"/>
              <w:left w:val="nil"/>
              <w:bottom w:val="nil"/>
              <w:right w:val="nil"/>
            </w:tcBorders>
            <w:shd w:val="clear" w:color="auto" w:fill="FFFFFF"/>
            <w:tcMar>
              <w:top w:w="55" w:type="dxa"/>
              <w:left w:w="55" w:type="dxa"/>
              <w:bottom w:w="55" w:type="dxa"/>
              <w:right w:w="55" w:type="dxa"/>
            </w:tcMar>
            <w:vAlign w:val="center"/>
          </w:tcPr>
          <w:p w14:paraId="48E5BCD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sz w:val="16"/>
                <w:szCs w:val="22"/>
                <w:lang w:val="en-US" w:eastAsia="zh-CN"/>
              </w:rPr>
              <w:t>FEV₁</w:t>
            </w:r>
            <w:r>
              <w:rPr>
                <w:rFonts w:hint="default" w:ascii="Times New Roman" w:hAnsi="Times New Roman" w:eastAsia="Times New Roman" w:cs="Times New Roman Regular"/>
                <w:i w:val="0"/>
                <w:iCs w:val="0"/>
                <w:color w:val="000000"/>
                <w:kern w:val="0"/>
                <w:sz w:val="16"/>
                <w:szCs w:val="22"/>
                <w:u w:val="none"/>
                <w:lang w:val="en-US" w:eastAsia="zh-CN" w:bidi="ar"/>
              </w:rPr>
              <w:t xml:space="preserve"> autoregressive path (Wave 2 → Wave 4)</w:t>
            </w:r>
          </w:p>
        </w:tc>
        <w:tc>
          <w:tcPr>
            <w:tcW w:w="564" w:type="pct"/>
            <w:tcBorders>
              <w:top w:val="nil"/>
              <w:left w:val="nil"/>
              <w:bottom w:val="nil"/>
              <w:right w:val="nil"/>
            </w:tcBorders>
            <w:shd w:val="clear" w:color="auto" w:fill="FFFFFF"/>
            <w:tcMar>
              <w:top w:w="55" w:type="dxa"/>
              <w:left w:w="55" w:type="dxa"/>
              <w:bottom w:w="55" w:type="dxa"/>
              <w:right w:w="55" w:type="dxa"/>
            </w:tcMar>
            <w:vAlign w:val="center"/>
          </w:tcPr>
          <w:p w14:paraId="4219698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w:t>
            </w:r>
          </w:p>
        </w:tc>
        <w:tc>
          <w:tcPr>
            <w:tcW w:w="361" w:type="pct"/>
            <w:tcBorders>
              <w:top w:val="nil"/>
              <w:left w:val="nil"/>
              <w:bottom w:val="nil"/>
              <w:right w:val="nil"/>
            </w:tcBorders>
            <w:shd w:val="clear" w:color="auto" w:fill="FFFFFF"/>
            <w:tcMar>
              <w:top w:w="55" w:type="dxa"/>
              <w:left w:w="55" w:type="dxa"/>
              <w:bottom w:w="55" w:type="dxa"/>
              <w:right w:w="55" w:type="dxa"/>
            </w:tcMar>
            <w:vAlign w:val="center"/>
          </w:tcPr>
          <w:p w14:paraId="3681ED6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0.141</w:t>
            </w:r>
          </w:p>
        </w:tc>
        <w:tc>
          <w:tcPr>
            <w:tcW w:w="469" w:type="pct"/>
            <w:tcBorders>
              <w:top w:val="nil"/>
              <w:left w:val="nil"/>
              <w:bottom w:val="nil"/>
              <w:right w:val="nil"/>
            </w:tcBorders>
            <w:shd w:val="clear" w:color="auto" w:fill="FFFFFF"/>
            <w:tcMar>
              <w:top w:w="55" w:type="dxa"/>
              <w:left w:w="55" w:type="dxa"/>
              <w:bottom w:w="55" w:type="dxa"/>
              <w:right w:w="55" w:type="dxa"/>
            </w:tcMar>
            <w:vAlign w:val="center"/>
          </w:tcPr>
          <w:p w14:paraId="24CB083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0.997</w:t>
            </w:r>
          </w:p>
        </w:tc>
        <w:tc>
          <w:tcPr>
            <w:tcW w:w="1286" w:type="pct"/>
            <w:tcBorders>
              <w:top w:val="nil"/>
              <w:left w:val="nil"/>
              <w:bottom w:val="nil"/>
              <w:right w:val="nil"/>
            </w:tcBorders>
            <w:shd w:val="clear" w:color="auto" w:fill="FFFFFF"/>
            <w:tcMar>
              <w:top w:w="55" w:type="dxa"/>
              <w:left w:w="55" w:type="dxa"/>
              <w:bottom w:w="55" w:type="dxa"/>
              <w:right w:w="55" w:type="dxa"/>
            </w:tcMar>
            <w:vAlign w:val="center"/>
          </w:tcPr>
          <w:p w14:paraId="42C7E25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w:t>
            </w:r>
          </w:p>
        </w:tc>
      </w:tr>
      <w:tr w14:paraId="54100C8F">
        <w:trPr>
          <w:trHeight w:val="193" w:hRule="atLeast"/>
          <w:jc w:val="center"/>
        </w:trPr>
        <w:tc>
          <w:tcPr>
            <w:tcW w:w="2319" w:type="pct"/>
            <w:tcBorders>
              <w:top w:val="nil"/>
              <w:left w:val="nil"/>
              <w:bottom w:val="nil"/>
              <w:right w:val="nil"/>
            </w:tcBorders>
            <w:shd w:val="clear" w:color="auto" w:fill="FFFFFF"/>
            <w:tcMar>
              <w:top w:w="55" w:type="dxa"/>
              <w:left w:w="55" w:type="dxa"/>
              <w:bottom w:w="55" w:type="dxa"/>
              <w:right w:w="55" w:type="dxa"/>
            </w:tcMar>
            <w:vAlign w:val="center"/>
          </w:tcPr>
          <w:p w14:paraId="577F291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sz w:val="16"/>
                <w:szCs w:val="22"/>
                <w:lang w:val="en-US" w:eastAsia="zh-CN"/>
              </w:rPr>
              <w:t>FEV₁</w:t>
            </w:r>
            <w:r>
              <w:rPr>
                <w:rFonts w:hint="default" w:ascii="Times New Roman" w:hAnsi="Times New Roman" w:eastAsia="Times New Roman" w:cs="Times New Roman Regular"/>
                <w:i w:val="0"/>
                <w:iCs w:val="0"/>
                <w:color w:val="000000"/>
                <w:kern w:val="0"/>
                <w:sz w:val="16"/>
                <w:szCs w:val="22"/>
                <w:u w:val="none"/>
                <w:lang w:val="en-US" w:eastAsia="zh-CN" w:bidi="ar"/>
              </w:rPr>
              <w:t xml:space="preserve"> autoregressive path (Wave 4 → Wave 6)</w:t>
            </w:r>
          </w:p>
        </w:tc>
        <w:tc>
          <w:tcPr>
            <w:tcW w:w="564" w:type="pct"/>
            <w:tcBorders>
              <w:top w:val="nil"/>
              <w:left w:val="nil"/>
              <w:bottom w:val="nil"/>
              <w:right w:val="nil"/>
            </w:tcBorders>
            <w:shd w:val="clear" w:color="auto" w:fill="FFFFFF"/>
            <w:tcMar>
              <w:top w:w="55" w:type="dxa"/>
              <w:left w:w="55" w:type="dxa"/>
              <w:bottom w:w="55" w:type="dxa"/>
              <w:right w:w="55" w:type="dxa"/>
            </w:tcMar>
            <w:vAlign w:val="center"/>
          </w:tcPr>
          <w:p w14:paraId="5FDC17D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w:t>
            </w:r>
          </w:p>
        </w:tc>
        <w:tc>
          <w:tcPr>
            <w:tcW w:w="361" w:type="pct"/>
            <w:tcBorders>
              <w:top w:val="nil"/>
              <w:left w:val="nil"/>
              <w:bottom w:val="nil"/>
              <w:right w:val="nil"/>
            </w:tcBorders>
            <w:shd w:val="clear" w:color="auto" w:fill="FFFFFF"/>
            <w:tcMar>
              <w:top w:w="55" w:type="dxa"/>
              <w:left w:w="55" w:type="dxa"/>
              <w:bottom w:w="55" w:type="dxa"/>
              <w:right w:w="55" w:type="dxa"/>
            </w:tcMar>
            <w:vAlign w:val="center"/>
          </w:tcPr>
          <w:p w14:paraId="50617F4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0.141</w:t>
            </w:r>
          </w:p>
        </w:tc>
        <w:tc>
          <w:tcPr>
            <w:tcW w:w="469" w:type="pct"/>
            <w:tcBorders>
              <w:top w:val="nil"/>
              <w:left w:val="nil"/>
              <w:bottom w:val="nil"/>
              <w:right w:val="nil"/>
            </w:tcBorders>
            <w:shd w:val="clear" w:color="auto" w:fill="FFFFFF"/>
            <w:tcMar>
              <w:top w:w="55" w:type="dxa"/>
              <w:left w:w="55" w:type="dxa"/>
              <w:bottom w:w="55" w:type="dxa"/>
              <w:right w:w="55" w:type="dxa"/>
            </w:tcMar>
            <w:vAlign w:val="center"/>
          </w:tcPr>
          <w:p w14:paraId="4645C44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0.997</w:t>
            </w:r>
          </w:p>
        </w:tc>
        <w:tc>
          <w:tcPr>
            <w:tcW w:w="1286" w:type="pct"/>
            <w:tcBorders>
              <w:top w:val="nil"/>
              <w:left w:val="nil"/>
              <w:bottom w:val="nil"/>
              <w:right w:val="nil"/>
            </w:tcBorders>
            <w:shd w:val="clear" w:color="auto" w:fill="FFFFFF"/>
            <w:tcMar>
              <w:top w:w="55" w:type="dxa"/>
              <w:left w:w="55" w:type="dxa"/>
              <w:bottom w:w="55" w:type="dxa"/>
              <w:right w:w="55" w:type="dxa"/>
            </w:tcMar>
            <w:vAlign w:val="center"/>
          </w:tcPr>
          <w:p w14:paraId="08A409E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0.001</w:t>
            </w:r>
          </w:p>
        </w:tc>
      </w:tr>
      <w:tr w14:paraId="014A3041">
        <w:trPr>
          <w:trHeight w:val="193" w:hRule="atLeast"/>
          <w:jc w:val="center"/>
        </w:trPr>
        <w:tc>
          <w:tcPr>
            <w:tcW w:w="2319" w:type="pct"/>
            <w:tcBorders>
              <w:top w:val="nil"/>
              <w:left w:val="nil"/>
              <w:bottom w:val="nil"/>
              <w:right w:val="nil"/>
            </w:tcBorders>
            <w:shd w:val="clear" w:color="auto" w:fill="FFFFFF"/>
            <w:tcMar>
              <w:top w:w="55" w:type="dxa"/>
              <w:left w:w="55" w:type="dxa"/>
              <w:bottom w:w="55" w:type="dxa"/>
              <w:right w:w="55" w:type="dxa"/>
            </w:tcMar>
            <w:vAlign w:val="center"/>
          </w:tcPr>
          <w:p w14:paraId="63B8E44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xml:space="preserve">Ferritin → </w:t>
            </w:r>
            <w:r>
              <w:rPr>
                <w:rFonts w:hint="default" w:ascii="Times New Roman" w:hAnsi="Times New Roman" w:eastAsia="Times New Roman" w:cs="Times New Roman Regular"/>
                <w:sz w:val="16"/>
                <w:szCs w:val="22"/>
                <w:lang w:val="en-US" w:eastAsia="zh-CN"/>
              </w:rPr>
              <w:t>FEV₁</w:t>
            </w:r>
            <w:r>
              <w:rPr>
                <w:rFonts w:hint="default" w:ascii="Times New Roman" w:hAnsi="Times New Roman" w:eastAsia="Times New Roman" w:cs="Times New Roman Regular"/>
                <w:i w:val="0"/>
                <w:iCs w:val="0"/>
                <w:color w:val="000000"/>
                <w:kern w:val="0"/>
                <w:sz w:val="16"/>
                <w:szCs w:val="22"/>
                <w:u w:val="none"/>
                <w:lang w:val="en-US" w:eastAsia="zh-CN" w:bidi="ar"/>
              </w:rPr>
              <w:t xml:space="preserve"> cross-lagged path (Wave 2 → Wave 4)</w:t>
            </w:r>
          </w:p>
        </w:tc>
        <w:tc>
          <w:tcPr>
            <w:tcW w:w="564" w:type="pct"/>
            <w:tcBorders>
              <w:top w:val="nil"/>
              <w:left w:val="nil"/>
              <w:bottom w:val="nil"/>
              <w:right w:val="nil"/>
            </w:tcBorders>
            <w:shd w:val="clear" w:color="auto" w:fill="FFFFFF"/>
            <w:tcMar>
              <w:top w:w="55" w:type="dxa"/>
              <w:left w:w="55" w:type="dxa"/>
              <w:bottom w:w="55" w:type="dxa"/>
              <w:right w:w="55" w:type="dxa"/>
            </w:tcMar>
            <w:vAlign w:val="center"/>
          </w:tcPr>
          <w:p w14:paraId="78046DF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0.05</w:t>
            </w:r>
          </w:p>
        </w:tc>
        <w:tc>
          <w:tcPr>
            <w:tcW w:w="361" w:type="pct"/>
            <w:tcBorders>
              <w:top w:val="nil"/>
              <w:left w:val="nil"/>
              <w:bottom w:val="nil"/>
              <w:right w:val="nil"/>
            </w:tcBorders>
            <w:shd w:val="clear" w:color="auto" w:fill="FFFFFF"/>
            <w:tcMar>
              <w:top w:w="55" w:type="dxa"/>
              <w:left w:w="55" w:type="dxa"/>
              <w:bottom w:w="55" w:type="dxa"/>
              <w:right w:w="55" w:type="dxa"/>
            </w:tcMar>
            <w:vAlign w:val="center"/>
          </w:tcPr>
          <w:p w14:paraId="71422C6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0.053</w:t>
            </w:r>
          </w:p>
        </w:tc>
        <w:tc>
          <w:tcPr>
            <w:tcW w:w="469" w:type="pct"/>
            <w:tcBorders>
              <w:top w:val="nil"/>
              <w:left w:val="nil"/>
              <w:bottom w:val="nil"/>
              <w:right w:val="nil"/>
            </w:tcBorders>
            <w:shd w:val="clear" w:color="auto" w:fill="FFFFFF"/>
            <w:tcMar>
              <w:top w:w="55" w:type="dxa"/>
              <w:left w:w="55" w:type="dxa"/>
              <w:bottom w:w="55" w:type="dxa"/>
              <w:right w:w="55" w:type="dxa"/>
            </w:tcMar>
            <w:vAlign w:val="center"/>
          </w:tcPr>
          <w:p w14:paraId="6D2A0F5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0.347</w:t>
            </w:r>
          </w:p>
        </w:tc>
        <w:tc>
          <w:tcPr>
            <w:tcW w:w="1286" w:type="pct"/>
            <w:tcBorders>
              <w:top w:val="nil"/>
              <w:left w:val="nil"/>
              <w:bottom w:val="nil"/>
              <w:right w:val="nil"/>
            </w:tcBorders>
            <w:shd w:val="clear" w:color="auto" w:fill="FFFFFF"/>
            <w:tcMar>
              <w:top w:w="55" w:type="dxa"/>
              <w:left w:w="55" w:type="dxa"/>
              <w:bottom w:w="55" w:type="dxa"/>
              <w:right w:w="55" w:type="dxa"/>
            </w:tcMar>
            <w:vAlign w:val="center"/>
          </w:tcPr>
          <w:p w14:paraId="6B05AE0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0.095</w:t>
            </w:r>
          </w:p>
        </w:tc>
      </w:tr>
      <w:tr w14:paraId="79FBBA0B">
        <w:trPr>
          <w:trHeight w:val="193" w:hRule="atLeast"/>
          <w:jc w:val="center"/>
        </w:trPr>
        <w:tc>
          <w:tcPr>
            <w:tcW w:w="2319" w:type="pct"/>
            <w:tcBorders>
              <w:top w:val="nil"/>
              <w:left w:val="nil"/>
              <w:bottom w:val="nil"/>
              <w:right w:val="nil"/>
            </w:tcBorders>
            <w:shd w:val="clear" w:color="auto" w:fill="FFFFFF"/>
            <w:tcMar>
              <w:top w:w="55" w:type="dxa"/>
              <w:left w:w="55" w:type="dxa"/>
              <w:bottom w:w="55" w:type="dxa"/>
              <w:right w:w="55" w:type="dxa"/>
            </w:tcMar>
            <w:vAlign w:val="center"/>
          </w:tcPr>
          <w:p w14:paraId="62ACFE7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xml:space="preserve">Ferritin → </w:t>
            </w:r>
            <w:r>
              <w:rPr>
                <w:rFonts w:hint="default" w:ascii="Times New Roman" w:hAnsi="Times New Roman" w:eastAsia="Times New Roman" w:cs="Times New Roman Regular"/>
                <w:sz w:val="16"/>
                <w:szCs w:val="22"/>
                <w:lang w:val="en-US" w:eastAsia="zh-CN"/>
              </w:rPr>
              <w:t>FEV₁</w:t>
            </w:r>
            <w:r>
              <w:rPr>
                <w:rFonts w:hint="default" w:ascii="Times New Roman" w:hAnsi="Times New Roman" w:eastAsia="Times New Roman" w:cs="Times New Roman Regular"/>
                <w:i w:val="0"/>
                <w:iCs w:val="0"/>
                <w:color w:val="000000"/>
                <w:kern w:val="0"/>
                <w:sz w:val="16"/>
                <w:szCs w:val="22"/>
                <w:u w:val="none"/>
                <w:lang w:val="en-US" w:eastAsia="zh-CN" w:bidi="ar"/>
              </w:rPr>
              <w:t xml:space="preserve"> cross-lagged path (Wave 4 → Wave 6)</w:t>
            </w:r>
          </w:p>
        </w:tc>
        <w:tc>
          <w:tcPr>
            <w:tcW w:w="564" w:type="pct"/>
            <w:tcBorders>
              <w:top w:val="nil"/>
              <w:left w:val="nil"/>
              <w:bottom w:val="nil"/>
              <w:right w:val="nil"/>
            </w:tcBorders>
            <w:shd w:val="clear" w:color="auto" w:fill="FFFFFF"/>
            <w:tcMar>
              <w:top w:w="55" w:type="dxa"/>
              <w:left w:w="55" w:type="dxa"/>
              <w:bottom w:w="55" w:type="dxa"/>
              <w:right w:w="55" w:type="dxa"/>
            </w:tcMar>
            <w:vAlign w:val="center"/>
          </w:tcPr>
          <w:p w14:paraId="517691C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0.05</w:t>
            </w:r>
          </w:p>
        </w:tc>
        <w:tc>
          <w:tcPr>
            <w:tcW w:w="361" w:type="pct"/>
            <w:tcBorders>
              <w:top w:val="nil"/>
              <w:left w:val="nil"/>
              <w:bottom w:val="nil"/>
              <w:right w:val="nil"/>
            </w:tcBorders>
            <w:shd w:val="clear" w:color="auto" w:fill="FFFFFF"/>
            <w:tcMar>
              <w:top w:w="55" w:type="dxa"/>
              <w:left w:w="55" w:type="dxa"/>
              <w:bottom w:w="55" w:type="dxa"/>
              <w:right w:w="55" w:type="dxa"/>
            </w:tcMar>
            <w:vAlign w:val="center"/>
          </w:tcPr>
          <w:p w14:paraId="180EFDC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0.053</w:t>
            </w:r>
          </w:p>
        </w:tc>
        <w:tc>
          <w:tcPr>
            <w:tcW w:w="469" w:type="pct"/>
            <w:tcBorders>
              <w:top w:val="nil"/>
              <w:left w:val="nil"/>
              <w:bottom w:val="nil"/>
              <w:right w:val="nil"/>
            </w:tcBorders>
            <w:shd w:val="clear" w:color="auto" w:fill="FFFFFF"/>
            <w:tcMar>
              <w:top w:w="55" w:type="dxa"/>
              <w:left w:w="55" w:type="dxa"/>
              <w:bottom w:w="55" w:type="dxa"/>
              <w:right w:w="55" w:type="dxa"/>
            </w:tcMar>
            <w:vAlign w:val="center"/>
          </w:tcPr>
          <w:p w14:paraId="2CC28E4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0.347</w:t>
            </w:r>
          </w:p>
        </w:tc>
        <w:tc>
          <w:tcPr>
            <w:tcW w:w="1286" w:type="pct"/>
            <w:tcBorders>
              <w:top w:val="nil"/>
              <w:left w:val="nil"/>
              <w:bottom w:val="nil"/>
              <w:right w:val="nil"/>
            </w:tcBorders>
            <w:shd w:val="clear" w:color="auto" w:fill="FFFFFF"/>
            <w:tcMar>
              <w:top w:w="55" w:type="dxa"/>
              <w:left w:w="55" w:type="dxa"/>
              <w:bottom w:w="55" w:type="dxa"/>
              <w:right w:w="55" w:type="dxa"/>
            </w:tcMar>
            <w:vAlign w:val="center"/>
          </w:tcPr>
          <w:p w14:paraId="6DEAF50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0.157</w:t>
            </w:r>
          </w:p>
        </w:tc>
      </w:tr>
      <w:tr w14:paraId="578E2E40">
        <w:trPr>
          <w:trHeight w:val="193" w:hRule="atLeast"/>
          <w:jc w:val="center"/>
        </w:trPr>
        <w:tc>
          <w:tcPr>
            <w:tcW w:w="2319" w:type="pct"/>
            <w:tcBorders>
              <w:top w:val="nil"/>
              <w:left w:val="nil"/>
              <w:bottom w:val="nil"/>
              <w:right w:val="nil"/>
            </w:tcBorders>
            <w:shd w:val="clear" w:color="auto" w:fill="FFFFFF"/>
            <w:tcMar>
              <w:top w:w="55" w:type="dxa"/>
              <w:left w:w="55" w:type="dxa"/>
              <w:bottom w:w="55" w:type="dxa"/>
              <w:right w:w="55" w:type="dxa"/>
            </w:tcMar>
            <w:vAlign w:val="center"/>
          </w:tcPr>
          <w:p w14:paraId="192DEEA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sz w:val="16"/>
                <w:szCs w:val="22"/>
                <w:lang w:val="en-US" w:eastAsia="zh-CN"/>
              </w:rPr>
              <w:t>FEV₁</w:t>
            </w:r>
            <w:r>
              <w:rPr>
                <w:rFonts w:hint="default" w:ascii="Times New Roman" w:hAnsi="Times New Roman" w:eastAsia="Times New Roman" w:cs="Times New Roman Regular"/>
                <w:i w:val="0"/>
                <w:iCs w:val="0"/>
                <w:color w:val="000000"/>
                <w:kern w:val="0"/>
                <w:sz w:val="16"/>
                <w:szCs w:val="22"/>
                <w:u w:val="none"/>
                <w:lang w:val="en-US" w:eastAsia="zh-CN" w:bidi="ar"/>
              </w:rPr>
              <w:t xml:space="preserve"> → Ferritin cross-lagged path (Wave 2 → Wave 4)</w:t>
            </w:r>
          </w:p>
        </w:tc>
        <w:tc>
          <w:tcPr>
            <w:tcW w:w="564" w:type="pct"/>
            <w:tcBorders>
              <w:top w:val="nil"/>
              <w:left w:val="nil"/>
              <w:bottom w:val="nil"/>
              <w:right w:val="nil"/>
            </w:tcBorders>
            <w:shd w:val="clear" w:color="auto" w:fill="FFFFFF"/>
            <w:tcMar>
              <w:top w:w="55" w:type="dxa"/>
              <w:left w:w="55" w:type="dxa"/>
              <w:bottom w:w="55" w:type="dxa"/>
              <w:right w:w="55" w:type="dxa"/>
            </w:tcMar>
            <w:vAlign w:val="center"/>
          </w:tcPr>
          <w:p w14:paraId="06247A9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0.151</w:t>
            </w:r>
          </w:p>
        </w:tc>
        <w:tc>
          <w:tcPr>
            <w:tcW w:w="361" w:type="pct"/>
            <w:tcBorders>
              <w:top w:val="nil"/>
              <w:left w:val="nil"/>
              <w:bottom w:val="nil"/>
              <w:right w:val="nil"/>
            </w:tcBorders>
            <w:shd w:val="clear" w:color="auto" w:fill="FFFFFF"/>
            <w:tcMar>
              <w:top w:w="55" w:type="dxa"/>
              <w:left w:w="55" w:type="dxa"/>
              <w:bottom w:w="55" w:type="dxa"/>
              <w:right w:w="55" w:type="dxa"/>
            </w:tcMar>
            <w:vAlign w:val="center"/>
          </w:tcPr>
          <w:p w14:paraId="1BE7045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0.142</w:t>
            </w:r>
          </w:p>
        </w:tc>
        <w:tc>
          <w:tcPr>
            <w:tcW w:w="469" w:type="pct"/>
            <w:tcBorders>
              <w:top w:val="nil"/>
              <w:left w:val="nil"/>
              <w:bottom w:val="nil"/>
              <w:right w:val="nil"/>
            </w:tcBorders>
            <w:shd w:val="clear" w:color="auto" w:fill="FFFFFF"/>
            <w:tcMar>
              <w:top w:w="55" w:type="dxa"/>
              <w:left w:w="55" w:type="dxa"/>
              <w:bottom w:w="55" w:type="dxa"/>
              <w:right w:w="55" w:type="dxa"/>
            </w:tcMar>
            <w:vAlign w:val="center"/>
          </w:tcPr>
          <w:p w14:paraId="605C9E0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0.286</w:t>
            </w:r>
          </w:p>
        </w:tc>
        <w:tc>
          <w:tcPr>
            <w:tcW w:w="1286" w:type="pct"/>
            <w:tcBorders>
              <w:top w:val="nil"/>
              <w:left w:val="nil"/>
              <w:bottom w:val="nil"/>
              <w:right w:val="nil"/>
            </w:tcBorders>
            <w:shd w:val="clear" w:color="auto" w:fill="FFFFFF"/>
            <w:tcMar>
              <w:top w:w="55" w:type="dxa"/>
              <w:left w:w="55" w:type="dxa"/>
              <w:bottom w:w="55" w:type="dxa"/>
              <w:right w:w="55" w:type="dxa"/>
            </w:tcMar>
            <w:vAlign w:val="center"/>
          </w:tcPr>
          <w:p w14:paraId="0397AB3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0.058</w:t>
            </w:r>
          </w:p>
        </w:tc>
      </w:tr>
      <w:tr w14:paraId="04A4509B">
        <w:trPr>
          <w:trHeight w:val="193" w:hRule="atLeast"/>
          <w:jc w:val="center"/>
        </w:trPr>
        <w:tc>
          <w:tcPr>
            <w:tcW w:w="231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64A6D45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sz w:val="16"/>
                <w:szCs w:val="22"/>
                <w:lang w:val="en-US" w:eastAsia="zh-CN"/>
              </w:rPr>
              <w:t>FEV₁</w:t>
            </w:r>
            <w:r>
              <w:rPr>
                <w:rFonts w:hint="default" w:ascii="Times New Roman" w:hAnsi="Times New Roman" w:eastAsia="Times New Roman" w:cs="Times New Roman Regular"/>
                <w:i w:val="0"/>
                <w:iCs w:val="0"/>
                <w:color w:val="000000"/>
                <w:kern w:val="0"/>
                <w:sz w:val="16"/>
                <w:szCs w:val="22"/>
                <w:u w:val="none"/>
                <w:lang w:val="en-US" w:eastAsia="zh-CN" w:bidi="ar"/>
              </w:rPr>
              <w:t xml:space="preserve"> → Ferritin cross-lagged path (Wave 4 → Wave 6)</w:t>
            </w:r>
          </w:p>
        </w:tc>
        <w:tc>
          <w:tcPr>
            <w:tcW w:w="564"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223446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0.151</w:t>
            </w:r>
          </w:p>
        </w:tc>
        <w:tc>
          <w:tcPr>
            <w:tcW w:w="361"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85CE76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0.142</w:t>
            </w:r>
          </w:p>
        </w:tc>
        <w:tc>
          <w:tcPr>
            <w:tcW w:w="46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3A2FE2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0.286</w:t>
            </w:r>
          </w:p>
        </w:tc>
        <w:tc>
          <w:tcPr>
            <w:tcW w:w="1286"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43546A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0.079</w:t>
            </w:r>
          </w:p>
        </w:tc>
      </w:tr>
    </w:tbl>
    <w:p w14:paraId="18BC4A2B">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sz w:val="20"/>
          <w:szCs w:val="22"/>
          <w:lang w:val="en-US" w:eastAsia="zh-CN"/>
        </w:rPr>
        <w:t>Path estimates, standard errors, and P values are shown from the Hb-adjusted random-intercept cross-lagged panel model (RI-CLPM) examining directional relationships between ferritin and forced expiratory volume in 1 second (FEV₁). The reported parameters focus on the key autoregressive and cross-lagged paths after accounting for stable between-person differences. The adjusted RI-CLPM incorporated the prespecified covariate structure, including hemoglobin (Hb), as specified in the model. These analyses were used to assess whether a clear within-person directional relationship between ferritin and FEV₁ remained evident after separating stable trait-like differences from within-person fluctuations.</w:t>
      </w:r>
    </w:p>
    <w:p w14:paraId="5D95F16A">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0A8DADE3">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862CA86">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val="0"/>
          <w:bCs w:val="0"/>
          <w:color w:val="auto"/>
          <w:sz w:val="20"/>
          <w:szCs w:val="22"/>
          <w:lang w:val="en-US" w:eastAsia="zh-CN"/>
        </w:rPr>
        <w:t>FEV₁</w:t>
      </w:r>
    </w:p>
    <w:p w14:paraId="719C61DD">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A8715C8">
      <w:pPr>
        <w:spacing w:before="0" w:after="0" w:line="240" w:lineRule="auto"/>
        <w:rPr>
          <w:rFonts w:hint="default" w:ascii="Times New Roman Regular" w:hAnsi="Times New Roman Regular" w:cs="Times New Roman Regular"/>
          <w:b/>
          <w:bCs/>
          <w:sz w:val="22"/>
          <w:szCs w:val="22"/>
          <w:highlight w:val="none"/>
          <w:lang w:val="en-US" w:eastAsia="zh-CN"/>
        </w:rPr>
      </w:pPr>
      <w:r>
        <w:rPr>
          <w:rFonts w:hint="default" w:ascii="Times New Roman Regular" w:hAnsi="Times New Roman Regular" w:cs="Times New Roman Regular"/>
          <w:b/>
          <w:bCs/>
          <w:sz w:val="22"/>
          <w:szCs w:val="22"/>
          <w:highlight w:val="none"/>
          <w:lang w:val="en-US" w:eastAsia="zh-CN"/>
        </w:rPr>
        <w:br w:type="page"/>
      </w:r>
    </w:p>
    <w:p w14:paraId="3D420066">
      <w:pPr>
        <w:pStyle w:val="2"/>
        <w:keepNext/>
        <w:tabs>
          <w:tab w:val="left" w:pos="1206"/>
        </w:tabs>
        <w:bidi w:val="0"/>
        <w:spacing w:before="0" w:after="120" w:line="240" w:lineRule="auto"/>
        <w:jc w:val="left"/>
        <w:rPr>
          <w:rFonts w:hint="default" w:ascii="Times New Roman Regular" w:hAnsi="Times New Roman Regular" w:cs="Times New Roman Regular"/>
          <w:b/>
          <w:bCs/>
          <w:sz w:val="22"/>
          <w:szCs w:val="22"/>
          <w:highlight w:val="none"/>
          <w:lang w:val="en-US" w:eastAsia="zh-CN"/>
        </w:rPr>
      </w:pPr>
      <w:r>
        <w:rPr>
          <w:rFonts w:hint="default" w:ascii="Times New Roman" w:hAnsi="Times New Roman" w:eastAsia="Times New Roman" w:cs="Times New Roman Regular"/>
          <w:b/>
          <w:bCs/>
          <w:sz w:val="20"/>
          <w:szCs w:val="22"/>
          <w:highlight w:val="none"/>
          <w:lang w:val="en-US" w:eastAsia="zh-CN"/>
        </w:rPr>
        <w:t>Supplementary Table S46. Fit indices for CLPM and RI-CLPM models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81"/>
        <w:gridCol w:w="777"/>
        <w:gridCol w:w="1168"/>
        <w:gridCol w:w="619"/>
        <w:gridCol w:w="1189"/>
        <w:gridCol w:w="1010"/>
        <w:gridCol w:w="1010"/>
        <w:gridCol w:w="1387"/>
        <w:gridCol w:w="1177"/>
        <w:gridCol w:w="1324"/>
        <w:gridCol w:w="1324"/>
      </w:tblGrid>
      <w:tr w14:paraId="2BE49AF5">
        <w:trPr>
          <w:trHeight w:val="193" w:hRule="atLeast"/>
          <w:tblHeader/>
          <w:jc w:val="center"/>
        </w:trPr>
        <w:tc>
          <w:tcPr>
            <w:tcW w:w="1175"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0C21FB61">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Model</w:t>
            </w:r>
          </w:p>
        </w:tc>
        <w:tc>
          <w:tcPr>
            <w:tcW w:w="27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AC2D874">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N</w:t>
            </w:r>
          </w:p>
        </w:tc>
        <w:tc>
          <w:tcPr>
            <w:tcW w:w="406"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3D7552B2">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χ²</w:t>
            </w:r>
          </w:p>
        </w:tc>
        <w:tc>
          <w:tcPr>
            <w:tcW w:w="215"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58B9A3A">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df</w:t>
            </w:r>
          </w:p>
        </w:tc>
        <w:tc>
          <w:tcPr>
            <w:tcW w:w="413"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F3CB862">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P value</w:t>
            </w:r>
          </w:p>
        </w:tc>
        <w:tc>
          <w:tcPr>
            <w:tcW w:w="351"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D600C9B">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CFI</w:t>
            </w:r>
          </w:p>
        </w:tc>
        <w:tc>
          <w:tcPr>
            <w:tcW w:w="351"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32E8F572">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TLI</w:t>
            </w:r>
          </w:p>
        </w:tc>
        <w:tc>
          <w:tcPr>
            <w:tcW w:w="482"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180CE1E">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RMSEA</w:t>
            </w:r>
          </w:p>
        </w:tc>
        <w:tc>
          <w:tcPr>
            <w:tcW w:w="40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6297DE7">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SRMR</w:t>
            </w:r>
          </w:p>
        </w:tc>
        <w:tc>
          <w:tcPr>
            <w:tcW w:w="46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A078703">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AIC</w:t>
            </w:r>
          </w:p>
        </w:tc>
        <w:tc>
          <w:tcPr>
            <w:tcW w:w="46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92DA50F">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BIC</w:t>
            </w:r>
          </w:p>
        </w:tc>
      </w:tr>
      <w:tr w14:paraId="37CBA2F6">
        <w:trPr>
          <w:trHeight w:val="193" w:hRule="atLeast"/>
          <w:jc w:val="center"/>
        </w:trPr>
        <w:tc>
          <w:tcPr>
            <w:tcW w:w="1175"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65E42D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Traditional CLPM</w:t>
            </w:r>
          </w:p>
        </w:tc>
        <w:tc>
          <w:tcPr>
            <w:tcW w:w="27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5A6D60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212</w:t>
            </w:r>
          </w:p>
        </w:tc>
        <w:tc>
          <w:tcPr>
            <w:tcW w:w="406"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2FBF939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131.87</w:t>
            </w:r>
          </w:p>
        </w:tc>
        <w:tc>
          <w:tcPr>
            <w:tcW w:w="215"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0C5370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8</w:t>
            </w:r>
          </w:p>
        </w:tc>
        <w:tc>
          <w:tcPr>
            <w:tcW w:w="413"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C9D897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&lt;0.001</w:t>
            </w:r>
          </w:p>
        </w:tc>
        <w:tc>
          <w:tcPr>
            <w:tcW w:w="351"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1DC0752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0.863</w:t>
            </w:r>
          </w:p>
        </w:tc>
        <w:tc>
          <w:tcPr>
            <w:tcW w:w="351"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66855F8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0.744</w:t>
            </w:r>
          </w:p>
        </w:tc>
        <w:tc>
          <w:tcPr>
            <w:tcW w:w="482"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2B674BF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0.27</w:t>
            </w:r>
          </w:p>
        </w:tc>
        <w:tc>
          <w:tcPr>
            <w:tcW w:w="40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100DCE1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0.064</w:t>
            </w:r>
          </w:p>
        </w:tc>
        <w:tc>
          <w:tcPr>
            <w:tcW w:w="46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1AB3F95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2652.18</w:t>
            </w:r>
          </w:p>
        </w:tc>
        <w:tc>
          <w:tcPr>
            <w:tcW w:w="46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AAE58F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2715.95</w:t>
            </w:r>
          </w:p>
        </w:tc>
      </w:tr>
      <w:tr w14:paraId="3D560971">
        <w:trPr>
          <w:trHeight w:val="193" w:hRule="atLeast"/>
          <w:jc w:val="center"/>
        </w:trPr>
        <w:tc>
          <w:tcPr>
            <w:tcW w:w="1175" w:type="pct"/>
            <w:tcBorders>
              <w:top w:val="nil"/>
              <w:left w:val="nil"/>
              <w:bottom w:val="nil"/>
              <w:right w:val="nil"/>
            </w:tcBorders>
            <w:shd w:val="clear" w:color="auto" w:fill="FFFFFF"/>
            <w:tcMar>
              <w:top w:w="55" w:type="dxa"/>
              <w:left w:w="55" w:type="dxa"/>
              <w:bottom w:w="55" w:type="dxa"/>
              <w:right w:w="55" w:type="dxa"/>
            </w:tcMar>
            <w:vAlign w:val="center"/>
          </w:tcPr>
          <w:p w14:paraId="4C17C87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RI-CLPM</w:t>
            </w:r>
          </w:p>
        </w:tc>
        <w:tc>
          <w:tcPr>
            <w:tcW w:w="270" w:type="pct"/>
            <w:tcBorders>
              <w:top w:val="nil"/>
              <w:left w:val="nil"/>
              <w:bottom w:val="nil"/>
              <w:right w:val="nil"/>
            </w:tcBorders>
            <w:shd w:val="clear" w:color="auto" w:fill="FFFFFF"/>
            <w:tcMar>
              <w:top w:w="55" w:type="dxa"/>
              <w:left w:w="55" w:type="dxa"/>
              <w:bottom w:w="55" w:type="dxa"/>
              <w:right w:w="55" w:type="dxa"/>
            </w:tcMar>
            <w:vAlign w:val="center"/>
          </w:tcPr>
          <w:p w14:paraId="5C37C42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212</w:t>
            </w:r>
          </w:p>
        </w:tc>
        <w:tc>
          <w:tcPr>
            <w:tcW w:w="406" w:type="pct"/>
            <w:tcBorders>
              <w:top w:val="nil"/>
              <w:left w:val="nil"/>
              <w:bottom w:val="nil"/>
              <w:right w:val="nil"/>
            </w:tcBorders>
            <w:shd w:val="clear" w:color="auto" w:fill="FFFFFF"/>
            <w:tcMar>
              <w:top w:w="55" w:type="dxa"/>
              <w:left w:w="55" w:type="dxa"/>
              <w:bottom w:w="55" w:type="dxa"/>
              <w:right w:w="55" w:type="dxa"/>
            </w:tcMar>
            <w:vAlign w:val="center"/>
          </w:tcPr>
          <w:p w14:paraId="56C5BC0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2.04</w:t>
            </w:r>
          </w:p>
        </w:tc>
        <w:tc>
          <w:tcPr>
            <w:tcW w:w="215" w:type="pct"/>
            <w:tcBorders>
              <w:top w:val="nil"/>
              <w:left w:val="nil"/>
              <w:bottom w:val="nil"/>
              <w:right w:val="nil"/>
            </w:tcBorders>
            <w:shd w:val="clear" w:color="auto" w:fill="FFFFFF"/>
            <w:tcMar>
              <w:top w:w="55" w:type="dxa"/>
              <w:left w:w="55" w:type="dxa"/>
              <w:bottom w:w="55" w:type="dxa"/>
              <w:right w:w="55" w:type="dxa"/>
            </w:tcMar>
            <w:vAlign w:val="center"/>
          </w:tcPr>
          <w:p w14:paraId="62C2815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4</w:t>
            </w:r>
          </w:p>
        </w:tc>
        <w:tc>
          <w:tcPr>
            <w:tcW w:w="413" w:type="pct"/>
            <w:tcBorders>
              <w:top w:val="nil"/>
              <w:left w:val="nil"/>
              <w:bottom w:val="nil"/>
              <w:right w:val="nil"/>
            </w:tcBorders>
            <w:shd w:val="clear" w:color="auto" w:fill="FFFFFF"/>
            <w:tcMar>
              <w:top w:w="55" w:type="dxa"/>
              <w:left w:w="55" w:type="dxa"/>
              <w:bottom w:w="55" w:type="dxa"/>
              <w:right w:w="55" w:type="dxa"/>
            </w:tcMar>
            <w:vAlign w:val="center"/>
          </w:tcPr>
          <w:p w14:paraId="24F1889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0.73</w:t>
            </w:r>
          </w:p>
        </w:tc>
        <w:tc>
          <w:tcPr>
            <w:tcW w:w="351" w:type="pct"/>
            <w:tcBorders>
              <w:top w:val="nil"/>
              <w:left w:val="nil"/>
              <w:bottom w:val="nil"/>
              <w:right w:val="nil"/>
            </w:tcBorders>
            <w:shd w:val="clear" w:color="auto" w:fill="FFFFFF"/>
            <w:tcMar>
              <w:top w:w="55" w:type="dxa"/>
              <w:left w:w="55" w:type="dxa"/>
              <w:bottom w:w="55" w:type="dxa"/>
              <w:right w:w="55" w:type="dxa"/>
            </w:tcMar>
            <w:vAlign w:val="center"/>
          </w:tcPr>
          <w:p w14:paraId="0921C20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w:t>
            </w:r>
          </w:p>
        </w:tc>
        <w:tc>
          <w:tcPr>
            <w:tcW w:w="351" w:type="pct"/>
            <w:tcBorders>
              <w:top w:val="nil"/>
              <w:left w:val="nil"/>
              <w:bottom w:val="nil"/>
              <w:right w:val="nil"/>
            </w:tcBorders>
            <w:shd w:val="clear" w:color="auto" w:fill="FFFFFF"/>
            <w:tcMar>
              <w:top w:w="55" w:type="dxa"/>
              <w:left w:w="55" w:type="dxa"/>
              <w:bottom w:w="55" w:type="dxa"/>
              <w:right w:w="55" w:type="dxa"/>
            </w:tcMar>
            <w:vAlign w:val="center"/>
          </w:tcPr>
          <w:p w14:paraId="2C6D9F6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w:t>
            </w:r>
          </w:p>
        </w:tc>
        <w:tc>
          <w:tcPr>
            <w:tcW w:w="482" w:type="pct"/>
            <w:tcBorders>
              <w:top w:val="nil"/>
              <w:left w:val="nil"/>
              <w:bottom w:val="nil"/>
              <w:right w:val="nil"/>
            </w:tcBorders>
            <w:shd w:val="clear" w:color="auto" w:fill="FFFFFF"/>
            <w:tcMar>
              <w:top w:w="55" w:type="dxa"/>
              <w:left w:w="55" w:type="dxa"/>
              <w:bottom w:w="55" w:type="dxa"/>
              <w:right w:w="55" w:type="dxa"/>
            </w:tcMar>
            <w:vAlign w:val="center"/>
          </w:tcPr>
          <w:p w14:paraId="4C9E2D1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w:t>
            </w:r>
          </w:p>
        </w:tc>
        <w:tc>
          <w:tcPr>
            <w:tcW w:w="409" w:type="pct"/>
            <w:tcBorders>
              <w:top w:val="nil"/>
              <w:left w:val="nil"/>
              <w:bottom w:val="nil"/>
              <w:right w:val="nil"/>
            </w:tcBorders>
            <w:shd w:val="clear" w:color="auto" w:fill="FFFFFF"/>
            <w:tcMar>
              <w:top w:w="55" w:type="dxa"/>
              <w:left w:w="55" w:type="dxa"/>
              <w:bottom w:w="55" w:type="dxa"/>
              <w:right w:w="55" w:type="dxa"/>
            </w:tcMar>
            <w:vAlign w:val="center"/>
          </w:tcPr>
          <w:p w14:paraId="412653B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0.018</w:t>
            </w:r>
          </w:p>
        </w:tc>
        <w:tc>
          <w:tcPr>
            <w:tcW w:w="460" w:type="pct"/>
            <w:tcBorders>
              <w:top w:val="nil"/>
              <w:left w:val="nil"/>
              <w:bottom w:val="nil"/>
              <w:right w:val="nil"/>
            </w:tcBorders>
            <w:shd w:val="clear" w:color="auto" w:fill="FFFFFF"/>
            <w:tcMar>
              <w:top w:w="55" w:type="dxa"/>
              <w:left w:w="55" w:type="dxa"/>
              <w:bottom w:w="55" w:type="dxa"/>
              <w:right w:w="55" w:type="dxa"/>
            </w:tcMar>
            <w:vAlign w:val="center"/>
          </w:tcPr>
          <w:p w14:paraId="3EC9195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2530.35</w:t>
            </w:r>
          </w:p>
        </w:tc>
        <w:tc>
          <w:tcPr>
            <w:tcW w:w="460" w:type="pct"/>
            <w:tcBorders>
              <w:top w:val="nil"/>
              <w:left w:val="nil"/>
              <w:bottom w:val="nil"/>
              <w:right w:val="nil"/>
            </w:tcBorders>
            <w:shd w:val="clear" w:color="auto" w:fill="FFFFFF"/>
            <w:tcMar>
              <w:top w:w="55" w:type="dxa"/>
              <w:left w:w="55" w:type="dxa"/>
              <w:bottom w:w="55" w:type="dxa"/>
              <w:right w:w="55" w:type="dxa"/>
            </w:tcMar>
            <w:vAlign w:val="center"/>
          </w:tcPr>
          <w:p w14:paraId="600135B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2607.55</w:t>
            </w:r>
          </w:p>
        </w:tc>
      </w:tr>
      <w:tr w14:paraId="5E296728">
        <w:trPr>
          <w:trHeight w:val="193" w:hRule="atLeast"/>
          <w:jc w:val="center"/>
        </w:trPr>
        <w:tc>
          <w:tcPr>
            <w:tcW w:w="1175"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66C8D0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RI-CLPM with baseline covariates + Hb</w:t>
            </w:r>
          </w:p>
        </w:tc>
        <w:tc>
          <w:tcPr>
            <w:tcW w:w="27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45464C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207</w:t>
            </w:r>
          </w:p>
        </w:tc>
        <w:tc>
          <w:tcPr>
            <w:tcW w:w="406"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6960A25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39.5</w:t>
            </w:r>
          </w:p>
        </w:tc>
        <w:tc>
          <w:tcPr>
            <w:tcW w:w="215"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4C6749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28</w:t>
            </w:r>
          </w:p>
        </w:tc>
        <w:tc>
          <w:tcPr>
            <w:tcW w:w="413"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223B38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0.08</w:t>
            </w:r>
          </w:p>
        </w:tc>
        <w:tc>
          <w:tcPr>
            <w:tcW w:w="351"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F2B0E2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0.989</w:t>
            </w:r>
          </w:p>
        </w:tc>
        <w:tc>
          <w:tcPr>
            <w:tcW w:w="351"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34425A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0.955</w:t>
            </w:r>
          </w:p>
        </w:tc>
        <w:tc>
          <w:tcPr>
            <w:tcW w:w="482"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2ED46E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0.045</w:t>
            </w:r>
          </w:p>
        </w:tc>
        <w:tc>
          <w:tcPr>
            <w:tcW w:w="40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593EB4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0.031</w:t>
            </w:r>
          </w:p>
        </w:tc>
        <w:tc>
          <w:tcPr>
            <w:tcW w:w="46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85E393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2320.42</w:t>
            </w:r>
          </w:p>
        </w:tc>
        <w:tc>
          <w:tcPr>
            <w:tcW w:w="46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609AEE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2437.06</w:t>
            </w:r>
          </w:p>
        </w:tc>
      </w:tr>
    </w:tbl>
    <w:p w14:paraId="7B5ECA6A">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sz w:val="20"/>
          <w:szCs w:val="22"/>
          <w:lang w:val="en-US" w:eastAsia="zh-CN"/>
        </w:rPr>
        <w:t>Model-fit statistics are shown for the traditional cross-lagged panel model (CLPM), the random-intercept cross-lagged panel model (RI-CLPM), and the adjusted RI-CLPM, as applicable. Reported indices include χ², comparative fit index (CFI), Tucker–Lewis index (TLI), root mean square error of approximation (RMSEA), standardized root mean square residual (SRMR), Akaike information criterion (AIC), and Bayesian information criterion (BIC), as available for each model. These statistics were used to compare overall model fit and to support interpretation of the directional analyses.</w:t>
      </w:r>
    </w:p>
    <w:p w14:paraId="2E5CF464">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1C08CA7A">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E21CA32">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7DCF13F1">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BFD4532">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70B098C9">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03674089">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B55C77A">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176CB0CE">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EA77453">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8811BEA">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10F80D45">
      <w:pPr>
        <w:spacing w:before="0" w:after="0" w:line="240" w:lineRule="auto"/>
        <w:rPr>
          <w:rFonts w:hint="default" w:ascii="Times New Roman Regular" w:hAnsi="Times New Roman Regular" w:cs="Times New Roman Regular"/>
          <w:sz w:val="22"/>
          <w:szCs w:val="22"/>
          <w:lang w:val="en-US" w:eastAsia="zh-CN"/>
        </w:rPr>
      </w:pPr>
      <w:r>
        <w:rPr>
          <w:rFonts w:hint="default" w:ascii="Times New Roman Regular" w:hAnsi="Times New Roman Regular" w:cs="Times New Roman Regular"/>
          <w:sz w:val="22"/>
          <w:szCs w:val="22"/>
          <w:lang w:val="en-US" w:eastAsia="zh-CN"/>
        </w:rPr>
        <w:br w:type="page"/>
      </w:r>
    </w:p>
    <w:p w14:paraId="679C0101">
      <w:pPr>
        <w:pStyle w:val="2"/>
        <w:keepNext/>
        <w:tabs>
          <w:tab w:val="left" w:pos="1206"/>
        </w:tabs>
        <w:bidi w:val="0"/>
        <w:spacing w:before="0" w:after="120" w:line="240" w:lineRule="auto"/>
        <w:jc w:val="left"/>
        <w:rPr>
          <w:rFonts w:hint="default" w:ascii="Times New Roman Regular" w:hAnsi="Times New Roman Regular" w:cs="Times New Roman Regular"/>
          <w:b/>
          <w:bCs/>
          <w:sz w:val="22"/>
          <w:szCs w:val="22"/>
          <w:highlight w:val="none"/>
          <w:lang w:val="en-US" w:eastAsia="zh-CN"/>
        </w:rPr>
      </w:pPr>
      <w:r>
        <w:rPr>
          <w:rFonts w:hint="default" w:ascii="Times New Roman" w:hAnsi="Times New Roman" w:eastAsia="Times New Roman" w:cs="Times New Roman Regular"/>
          <w:b/>
          <w:bCs/>
          <w:sz w:val="20"/>
          <w:szCs w:val="22"/>
          <w:highlight w:val="none"/>
          <w:lang w:val="en-US" w:eastAsia="zh-CN"/>
        </w:rPr>
        <w:t>Supplementary Table S47. Fit indices for parallel-process growth models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99"/>
        <w:gridCol w:w="1026"/>
        <w:gridCol w:w="630"/>
        <w:gridCol w:w="1208"/>
        <w:gridCol w:w="1027"/>
        <w:gridCol w:w="1027"/>
        <w:gridCol w:w="1406"/>
        <w:gridCol w:w="1196"/>
        <w:gridCol w:w="1504"/>
        <w:gridCol w:w="1343"/>
      </w:tblGrid>
      <w:tr w14:paraId="35C74350">
        <w:trPr>
          <w:trHeight w:val="193" w:hRule="atLeast"/>
          <w:tblHeader/>
          <w:jc w:val="center"/>
        </w:trPr>
        <w:tc>
          <w:tcPr>
            <w:tcW w:w="1391"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AB345AA">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Model</w:t>
            </w:r>
          </w:p>
        </w:tc>
        <w:tc>
          <w:tcPr>
            <w:tcW w:w="357"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6D740EA2">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χ²</w:t>
            </w:r>
          </w:p>
        </w:tc>
        <w:tc>
          <w:tcPr>
            <w:tcW w:w="21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6C34BCAB">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df</w:t>
            </w:r>
          </w:p>
        </w:tc>
        <w:tc>
          <w:tcPr>
            <w:tcW w:w="42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F6A9AE4">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P value</w:t>
            </w:r>
          </w:p>
        </w:tc>
        <w:tc>
          <w:tcPr>
            <w:tcW w:w="357"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66703F73">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CFI</w:t>
            </w:r>
          </w:p>
        </w:tc>
        <w:tc>
          <w:tcPr>
            <w:tcW w:w="357"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01935D0D">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TLI</w:t>
            </w:r>
          </w:p>
        </w:tc>
        <w:tc>
          <w:tcPr>
            <w:tcW w:w="48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2B9C68A">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RMSEA</w:t>
            </w:r>
          </w:p>
        </w:tc>
        <w:tc>
          <w:tcPr>
            <w:tcW w:w="416"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41F1A33">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SRMR</w:t>
            </w:r>
          </w:p>
        </w:tc>
        <w:tc>
          <w:tcPr>
            <w:tcW w:w="523"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2DE75A5">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AIC</w:t>
            </w:r>
          </w:p>
        </w:tc>
        <w:tc>
          <w:tcPr>
            <w:tcW w:w="467"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0310C49D">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BIC</w:t>
            </w:r>
          </w:p>
        </w:tc>
      </w:tr>
      <w:tr w14:paraId="5A323E1B">
        <w:trPr>
          <w:trHeight w:val="193" w:hRule="atLeast"/>
          <w:jc w:val="center"/>
        </w:trPr>
        <w:tc>
          <w:tcPr>
            <w:tcW w:w="1391"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1FFC79C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xml:space="preserve">PPGM: log ferritin + </w:t>
            </w:r>
            <w:r>
              <w:rPr>
                <w:rFonts w:hint="default" w:ascii="Times New Roman" w:hAnsi="Times New Roman" w:eastAsia="Times New Roman" w:cs="Times New Roman Regular"/>
                <w:sz w:val="16"/>
                <w:szCs w:val="22"/>
                <w:lang w:val="en-US" w:eastAsia="zh-CN"/>
              </w:rPr>
              <w:t>FEV₁</w:t>
            </w:r>
          </w:p>
        </w:tc>
        <w:tc>
          <w:tcPr>
            <w:tcW w:w="357"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9E43AB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32.99</w:t>
            </w:r>
          </w:p>
        </w:tc>
        <w:tc>
          <w:tcPr>
            <w:tcW w:w="21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2341015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7</w:t>
            </w:r>
          </w:p>
        </w:tc>
        <w:tc>
          <w:tcPr>
            <w:tcW w:w="42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4A4F98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&lt;0.001</w:t>
            </w:r>
          </w:p>
        </w:tc>
        <w:tc>
          <w:tcPr>
            <w:tcW w:w="357"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455349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0.987</w:t>
            </w:r>
          </w:p>
        </w:tc>
        <w:tc>
          <w:tcPr>
            <w:tcW w:w="357"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B440E0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0.972</w:t>
            </w:r>
          </w:p>
        </w:tc>
        <w:tc>
          <w:tcPr>
            <w:tcW w:w="48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7443F5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0.064</w:t>
            </w:r>
          </w:p>
        </w:tc>
        <w:tc>
          <w:tcPr>
            <w:tcW w:w="416"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06F43F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0.031</w:t>
            </w:r>
          </w:p>
        </w:tc>
        <w:tc>
          <w:tcPr>
            <w:tcW w:w="523"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8EEBB4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7977.56</w:t>
            </w:r>
          </w:p>
        </w:tc>
        <w:tc>
          <w:tcPr>
            <w:tcW w:w="467"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B87360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8075.27</w:t>
            </w:r>
          </w:p>
        </w:tc>
      </w:tr>
      <w:tr w14:paraId="2872BBAF">
        <w:trPr>
          <w:trHeight w:val="193" w:hRule="atLeast"/>
          <w:jc w:val="center"/>
        </w:trPr>
        <w:tc>
          <w:tcPr>
            <w:tcW w:w="1391" w:type="pct"/>
            <w:tcBorders>
              <w:top w:val="nil"/>
              <w:left w:val="nil"/>
              <w:bottom w:val="nil"/>
              <w:right w:val="nil"/>
            </w:tcBorders>
            <w:shd w:val="clear" w:color="auto" w:fill="FFFFFF"/>
            <w:tcMar>
              <w:top w:w="55" w:type="dxa"/>
              <w:left w:w="55" w:type="dxa"/>
              <w:bottom w:w="55" w:type="dxa"/>
              <w:right w:w="55" w:type="dxa"/>
            </w:tcMar>
            <w:vAlign w:val="center"/>
          </w:tcPr>
          <w:p w14:paraId="2B979B9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xml:space="preserve">PPGM: log ferritin + </w:t>
            </w:r>
            <w:r>
              <w:rPr>
                <w:rFonts w:hint="default" w:ascii="Times New Roman" w:hAnsi="Times New Roman" w:eastAsia="Times New Roman" w:cs="Times New Roman Regular"/>
                <w:sz w:val="16"/>
                <w:szCs w:val="22"/>
                <w:lang w:val="en-US" w:eastAsia="zh-CN"/>
              </w:rPr>
              <w:t>FEV₁</w:t>
            </w:r>
            <w:r>
              <w:rPr>
                <w:rFonts w:hint="default" w:ascii="Times New Roman" w:hAnsi="Times New Roman" w:eastAsia="Times New Roman" w:cs="Times New Roman Regular"/>
                <w:i w:val="0"/>
                <w:iCs w:val="0"/>
                <w:color w:val="000000"/>
                <w:kern w:val="0"/>
                <w:sz w:val="16"/>
                <w:szCs w:val="22"/>
                <w:u w:val="none"/>
                <w:lang w:val="en-US" w:eastAsia="zh-CN" w:bidi="ar"/>
              </w:rPr>
              <w:t xml:space="preserve"> + baseline covariates + Hb</w:t>
            </w:r>
          </w:p>
        </w:tc>
        <w:tc>
          <w:tcPr>
            <w:tcW w:w="357" w:type="pct"/>
            <w:tcBorders>
              <w:top w:val="nil"/>
              <w:left w:val="nil"/>
              <w:bottom w:val="nil"/>
              <w:right w:val="nil"/>
            </w:tcBorders>
            <w:shd w:val="clear" w:color="auto" w:fill="FFFFFF"/>
            <w:tcMar>
              <w:top w:w="55" w:type="dxa"/>
              <w:left w:w="55" w:type="dxa"/>
              <w:bottom w:w="55" w:type="dxa"/>
              <w:right w:w="55" w:type="dxa"/>
            </w:tcMar>
            <w:vAlign w:val="center"/>
          </w:tcPr>
          <w:p w14:paraId="3CDAA3C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55.13</w:t>
            </w:r>
          </w:p>
        </w:tc>
        <w:tc>
          <w:tcPr>
            <w:tcW w:w="219" w:type="pct"/>
            <w:tcBorders>
              <w:top w:val="nil"/>
              <w:left w:val="nil"/>
              <w:bottom w:val="nil"/>
              <w:right w:val="nil"/>
            </w:tcBorders>
            <w:shd w:val="clear" w:color="auto" w:fill="FFFFFF"/>
            <w:tcMar>
              <w:top w:w="55" w:type="dxa"/>
              <w:left w:w="55" w:type="dxa"/>
              <w:bottom w:w="55" w:type="dxa"/>
              <w:right w:w="55" w:type="dxa"/>
            </w:tcMar>
            <w:vAlign w:val="center"/>
          </w:tcPr>
          <w:p w14:paraId="1778F20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19</w:t>
            </w:r>
          </w:p>
        </w:tc>
        <w:tc>
          <w:tcPr>
            <w:tcW w:w="420" w:type="pct"/>
            <w:tcBorders>
              <w:top w:val="nil"/>
              <w:left w:val="nil"/>
              <w:bottom w:val="nil"/>
              <w:right w:val="nil"/>
            </w:tcBorders>
            <w:shd w:val="clear" w:color="auto" w:fill="FFFFFF"/>
            <w:tcMar>
              <w:top w:w="55" w:type="dxa"/>
              <w:left w:w="55" w:type="dxa"/>
              <w:bottom w:w="55" w:type="dxa"/>
              <w:right w:w="55" w:type="dxa"/>
            </w:tcMar>
            <w:vAlign w:val="center"/>
          </w:tcPr>
          <w:p w14:paraId="3F822B4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&lt;0.001</w:t>
            </w:r>
          </w:p>
        </w:tc>
        <w:tc>
          <w:tcPr>
            <w:tcW w:w="357" w:type="pct"/>
            <w:tcBorders>
              <w:top w:val="nil"/>
              <w:left w:val="nil"/>
              <w:bottom w:val="nil"/>
              <w:right w:val="nil"/>
            </w:tcBorders>
            <w:shd w:val="clear" w:color="auto" w:fill="FFFFFF"/>
            <w:tcMar>
              <w:top w:w="55" w:type="dxa"/>
              <w:left w:w="55" w:type="dxa"/>
              <w:bottom w:w="55" w:type="dxa"/>
              <w:right w:w="55" w:type="dxa"/>
            </w:tcMar>
            <w:vAlign w:val="center"/>
          </w:tcPr>
          <w:p w14:paraId="0E1C30A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0.982</w:t>
            </w:r>
          </w:p>
        </w:tc>
        <w:tc>
          <w:tcPr>
            <w:tcW w:w="357" w:type="pct"/>
            <w:tcBorders>
              <w:top w:val="nil"/>
              <w:left w:val="nil"/>
              <w:bottom w:val="nil"/>
              <w:right w:val="nil"/>
            </w:tcBorders>
            <w:shd w:val="clear" w:color="auto" w:fill="FFFFFF"/>
            <w:tcMar>
              <w:top w:w="55" w:type="dxa"/>
              <w:left w:w="55" w:type="dxa"/>
              <w:bottom w:w="55" w:type="dxa"/>
              <w:right w:w="55" w:type="dxa"/>
            </w:tcMar>
            <w:vAlign w:val="center"/>
          </w:tcPr>
          <w:p w14:paraId="60AA2A5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0.952</w:t>
            </w:r>
          </w:p>
        </w:tc>
        <w:tc>
          <w:tcPr>
            <w:tcW w:w="489" w:type="pct"/>
            <w:tcBorders>
              <w:top w:val="nil"/>
              <w:left w:val="nil"/>
              <w:bottom w:val="nil"/>
              <w:right w:val="nil"/>
            </w:tcBorders>
            <w:shd w:val="clear" w:color="auto" w:fill="FFFFFF"/>
            <w:tcMar>
              <w:top w:w="55" w:type="dxa"/>
              <w:left w:w="55" w:type="dxa"/>
              <w:bottom w:w="55" w:type="dxa"/>
              <w:right w:w="55" w:type="dxa"/>
            </w:tcMar>
            <w:vAlign w:val="center"/>
          </w:tcPr>
          <w:p w14:paraId="1B3D098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0.051</w:t>
            </w:r>
          </w:p>
        </w:tc>
        <w:tc>
          <w:tcPr>
            <w:tcW w:w="416" w:type="pct"/>
            <w:tcBorders>
              <w:top w:val="nil"/>
              <w:left w:val="nil"/>
              <w:bottom w:val="nil"/>
              <w:right w:val="nil"/>
            </w:tcBorders>
            <w:shd w:val="clear" w:color="auto" w:fill="FFFFFF"/>
            <w:tcMar>
              <w:top w:w="55" w:type="dxa"/>
              <w:left w:w="55" w:type="dxa"/>
              <w:bottom w:w="55" w:type="dxa"/>
              <w:right w:w="55" w:type="dxa"/>
            </w:tcMar>
            <w:vAlign w:val="center"/>
          </w:tcPr>
          <w:p w14:paraId="492ECB3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0.024</w:t>
            </w:r>
          </w:p>
        </w:tc>
        <w:tc>
          <w:tcPr>
            <w:tcW w:w="523" w:type="pct"/>
            <w:tcBorders>
              <w:top w:val="nil"/>
              <w:left w:val="nil"/>
              <w:bottom w:val="nil"/>
              <w:right w:val="nil"/>
            </w:tcBorders>
            <w:shd w:val="clear" w:color="auto" w:fill="FFFFFF"/>
            <w:tcMar>
              <w:top w:w="55" w:type="dxa"/>
              <w:left w:w="55" w:type="dxa"/>
              <w:bottom w:w="55" w:type="dxa"/>
              <w:right w:w="55" w:type="dxa"/>
            </w:tcMar>
            <w:vAlign w:val="center"/>
          </w:tcPr>
          <w:p w14:paraId="5E803C0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5726.2</w:t>
            </w:r>
          </w:p>
        </w:tc>
        <w:tc>
          <w:tcPr>
            <w:tcW w:w="467" w:type="pct"/>
            <w:tcBorders>
              <w:top w:val="nil"/>
              <w:left w:val="nil"/>
              <w:bottom w:val="nil"/>
              <w:right w:val="nil"/>
            </w:tcBorders>
            <w:shd w:val="clear" w:color="auto" w:fill="FFFFFF"/>
            <w:tcMar>
              <w:top w:w="55" w:type="dxa"/>
              <w:left w:w="55" w:type="dxa"/>
              <w:bottom w:w="55" w:type="dxa"/>
              <w:right w:w="55" w:type="dxa"/>
            </w:tcMar>
            <w:vAlign w:val="center"/>
          </w:tcPr>
          <w:p w14:paraId="5CC0121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5924.72</w:t>
            </w:r>
          </w:p>
        </w:tc>
      </w:tr>
      <w:tr w14:paraId="1457B594">
        <w:trPr>
          <w:trHeight w:val="193" w:hRule="atLeast"/>
          <w:jc w:val="center"/>
        </w:trPr>
        <w:tc>
          <w:tcPr>
            <w:tcW w:w="1391" w:type="pct"/>
            <w:tcBorders>
              <w:top w:val="nil"/>
              <w:left w:val="nil"/>
              <w:bottom w:val="nil"/>
              <w:right w:val="nil"/>
            </w:tcBorders>
            <w:shd w:val="clear" w:color="auto" w:fill="FFFFFF"/>
            <w:tcMar>
              <w:top w:w="55" w:type="dxa"/>
              <w:left w:w="55" w:type="dxa"/>
              <w:bottom w:w="55" w:type="dxa"/>
              <w:right w:w="55" w:type="dxa"/>
            </w:tcMar>
            <w:vAlign w:val="center"/>
          </w:tcPr>
          <w:p w14:paraId="708888B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xml:space="preserve">PPGM: ferritin + </w:t>
            </w:r>
            <w:r>
              <w:rPr>
                <w:rFonts w:hint="default" w:ascii="Times New Roman" w:hAnsi="Times New Roman" w:eastAsia="Times New Roman" w:cs="Times New Roman Regular"/>
                <w:sz w:val="16"/>
                <w:szCs w:val="22"/>
                <w:lang w:val="en-US" w:eastAsia="zh-CN"/>
              </w:rPr>
              <w:t>FEV₁</w:t>
            </w:r>
          </w:p>
        </w:tc>
        <w:tc>
          <w:tcPr>
            <w:tcW w:w="357" w:type="pct"/>
            <w:tcBorders>
              <w:top w:val="nil"/>
              <w:left w:val="nil"/>
              <w:bottom w:val="nil"/>
              <w:right w:val="nil"/>
            </w:tcBorders>
            <w:shd w:val="clear" w:color="auto" w:fill="FFFFFF"/>
            <w:tcMar>
              <w:top w:w="55" w:type="dxa"/>
              <w:left w:w="55" w:type="dxa"/>
              <w:bottom w:w="55" w:type="dxa"/>
              <w:right w:w="55" w:type="dxa"/>
            </w:tcMar>
            <w:vAlign w:val="center"/>
          </w:tcPr>
          <w:p w14:paraId="0F186AC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52.52</w:t>
            </w:r>
          </w:p>
        </w:tc>
        <w:tc>
          <w:tcPr>
            <w:tcW w:w="219" w:type="pct"/>
            <w:tcBorders>
              <w:top w:val="nil"/>
              <w:left w:val="nil"/>
              <w:bottom w:val="nil"/>
              <w:right w:val="nil"/>
            </w:tcBorders>
            <w:shd w:val="clear" w:color="auto" w:fill="FFFFFF"/>
            <w:tcMar>
              <w:top w:w="55" w:type="dxa"/>
              <w:left w:w="55" w:type="dxa"/>
              <w:bottom w:w="55" w:type="dxa"/>
              <w:right w:w="55" w:type="dxa"/>
            </w:tcMar>
            <w:vAlign w:val="center"/>
          </w:tcPr>
          <w:p w14:paraId="58AA2AE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7</w:t>
            </w:r>
          </w:p>
        </w:tc>
        <w:tc>
          <w:tcPr>
            <w:tcW w:w="420" w:type="pct"/>
            <w:tcBorders>
              <w:top w:val="nil"/>
              <w:left w:val="nil"/>
              <w:bottom w:val="nil"/>
              <w:right w:val="nil"/>
            </w:tcBorders>
            <w:shd w:val="clear" w:color="auto" w:fill="FFFFFF"/>
            <w:tcMar>
              <w:top w:w="55" w:type="dxa"/>
              <w:left w:w="55" w:type="dxa"/>
              <w:bottom w:w="55" w:type="dxa"/>
              <w:right w:w="55" w:type="dxa"/>
            </w:tcMar>
            <w:vAlign w:val="center"/>
          </w:tcPr>
          <w:p w14:paraId="37495D2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&lt;0.001</w:t>
            </w:r>
          </w:p>
        </w:tc>
        <w:tc>
          <w:tcPr>
            <w:tcW w:w="357" w:type="pct"/>
            <w:tcBorders>
              <w:top w:val="nil"/>
              <w:left w:val="nil"/>
              <w:bottom w:val="nil"/>
              <w:right w:val="nil"/>
            </w:tcBorders>
            <w:shd w:val="clear" w:color="auto" w:fill="FFFFFF"/>
            <w:tcMar>
              <w:top w:w="55" w:type="dxa"/>
              <w:left w:w="55" w:type="dxa"/>
              <w:bottom w:w="55" w:type="dxa"/>
              <w:right w:w="55" w:type="dxa"/>
            </w:tcMar>
            <w:vAlign w:val="center"/>
          </w:tcPr>
          <w:p w14:paraId="6EE4001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0.977</w:t>
            </w:r>
          </w:p>
        </w:tc>
        <w:tc>
          <w:tcPr>
            <w:tcW w:w="357" w:type="pct"/>
            <w:tcBorders>
              <w:top w:val="nil"/>
              <w:left w:val="nil"/>
              <w:bottom w:val="nil"/>
              <w:right w:val="nil"/>
            </w:tcBorders>
            <w:shd w:val="clear" w:color="auto" w:fill="FFFFFF"/>
            <w:tcMar>
              <w:top w:w="55" w:type="dxa"/>
              <w:left w:w="55" w:type="dxa"/>
              <w:bottom w:w="55" w:type="dxa"/>
              <w:right w:w="55" w:type="dxa"/>
            </w:tcMar>
            <w:vAlign w:val="center"/>
          </w:tcPr>
          <w:p w14:paraId="337CE2C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0.955</w:t>
            </w:r>
          </w:p>
        </w:tc>
        <w:tc>
          <w:tcPr>
            <w:tcW w:w="489" w:type="pct"/>
            <w:tcBorders>
              <w:top w:val="nil"/>
              <w:left w:val="nil"/>
              <w:bottom w:val="nil"/>
              <w:right w:val="nil"/>
            </w:tcBorders>
            <w:shd w:val="clear" w:color="auto" w:fill="FFFFFF"/>
            <w:tcMar>
              <w:top w:w="55" w:type="dxa"/>
              <w:left w:w="55" w:type="dxa"/>
              <w:bottom w:w="55" w:type="dxa"/>
              <w:right w:w="55" w:type="dxa"/>
            </w:tcMar>
            <w:vAlign w:val="center"/>
          </w:tcPr>
          <w:p w14:paraId="267B107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0.078</w:t>
            </w:r>
          </w:p>
        </w:tc>
        <w:tc>
          <w:tcPr>
            <w:tcW w:w="416" w:type="pct"/>
            <w:tcBorders>
              <w:top w:val="nil"/>
              <w:left w:val="nil"/>
              <w:bottom w:val="nil"/>
              <w:right w:val="nil"/>
            </w:tcBorders>
            <w:shd w:val="clear" w:color="auto" w:fill="FFFFFF"/>
            <w:tcMar>
              <w:top w:w="55" w:type="dxa"/>
              <w:left w:w="55" w:type="dxa"/>
              <w:bottom w:w="55" w:type="dxa"/>
              <w:right w:w="55" w:type="dxa"/>
            </w:tcMar>
            <w:vAlign w:val="center"/>
          </w:tcPr>
          <w:p w14:paraId="057564C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0.041</w:t>
            </w:r>
          </w:p>
        </w:tc>
        <w:tc>
          <w:tcPr>
            <w:tcW w:w="523" w:type="pct"/>
            <w:tcBorders>
              <w:top w:val="nil"/>
              <w:left w:val="nil"/>
              <w:bottom w:val="nil"/>
              <w:right w:val="nil"/>
            </w:tcBorders>
            <w:shd w:val="clear" w:color="auto" w:fill="FFFFFF"/>
            <w:tcMar>
              <w:top w:w="55" w:type="dxa"/>
              <w:left w:w="55" w:type="dxa"/>
              <w:bottom w:w="55" w:type="dxa"/>
              <w:right w:w="55" w:type="dxa"/>
            </w:tcMar>
            <w:vAlign w:val="center"/>
          </w:tcPr>
          <w:p w14:paraId="70EF233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22647.09</w:t>
            </w:r>
          </w:p>
        </w:tc>
        <w:tc>
          <w:tcPr>
            <w:tcW w:w="467" w:type="pct"/>
            <w:tcBorders>
              <w:top w:val="nil"/>
              <w:left w:val="nil"/>
              <w:bottom w:val="nil"/>
              <w:right w:val="nil"/>
            </w:tcBorders>
            <w:shd w:val="clear" w:color="auto" w:fill="FFFFFF"/>
            <w:tcMar>
              <w:top w:w="55" w:type="dxa"/>
              <w:left w:w="55" w:type="dxa"/>
              <w:bottom w:w="55" w:type="dxa"/>
              <w:right w:w="55" w:type="dxa"/>
            </w:tcMar>
            <w:vAlign w:val="center"/>
          </w:tcPr>
          <w:p w14:paraId="1EBE0A4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22744.8</w:t>
            </w:r>
          </w:p>
        </w:tc>
      </w:tr>
      <w:tr w14:paraId="1A338DF8">
        <w:trPr>
          <w:trHeight w:val="193" w:hRule="atLeast"/>
          <w:jc w:val="center"/>
        </w:trPr>
        <w:tc>
          <w:tcPr>
            <w:tcW w:w="1391"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88CD46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xml:space="preserve">PPGM: low ferritin + </w:t>
            </w:r>
            <w:r>
              <w:rPr>
                <w:rFonts w:hint="default" w:ascii="Times New Roman" w:hAnsi="Times New Roman" w:eastAsia="Times New Roman" w:cs="Times New Roman Regular"/>
                <w:sz w:val="16"/>
                <w:szCs w:val="22"/>
                <w:lang w:val="en-US" w:eastAsia="zh-CN"/>
              </w:rPr>
              <w:t>FEV₁</w:t>
            </w:r>
          </w:p>
        </w:tc>
        <w:tc>
          <w:tcPr>
            <w:tcW w:w="35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ADD44A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11.38</w:t>
            </w:r>
          </w:p>
        </w:tc>
        <w:tc>
          <w:tcPr>
            <w:tcW w:w="21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4AB82C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7</w:t>
            </w:r>
          </w:p>
        </w:tc>
        <w:tc>
          <w:tcPr>
            <w:tcW w:w="42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686B18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0.123</w:t>
            </w:r>
          </w:p>
        </w:tc>
        <w:tc>
          <w:tcPr>
            <w:tcW w:w="35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9AED16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0.998</w:t>
            </w:r>
          </w:p>
        </w:tc>
        <w:tc>
          <w:tcPr>
            <w:tcW w:w="35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CD5304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0.993</w:t>
            </w:r>
          </w:p>
        </w:tc>
        <w:tc>
          <w:tcPr>
            <w:tcW w:w="48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B9F596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0.021</w:t>
            </w:r>
          </w:p>
        </w:tc>
        <w:tc>
          <w:tcPr>
            <w:tcW w:w="416"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061195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0.012</w:t>
            </w:r>
          </w:p>
        </w:tc>
        <w:tc>
          <w:tcPr>
            <w:tcW w:w="523"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A9E226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3246.18</w:t>
            </w:r>
          </w:p>
        </w:tc>
        <w:tc>
          <w:tcPr>
            <w:tcW w:w="46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6A64910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3347.01</w:t>
            </w:r>
          </w:p>
        </w:tc>
      </w:tr>
    </w:tbl>
    <w:p w14:paraId="20FDB405">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sz w:val="20"/>
          <w:szCs w:val="22"/>
          <w:lang w:val="en-US" w:eastAsia="zh-CN"/>
        </w:rPr>
        <w:t>Model-fit statistics are shown for the parallel-process growth models examining coordinated longitudinal change in ferritin and forced expiratory volume in 1 second (FEV₁). Reported indices include χ², comparative fit index (CFI), Tucker–Lewis index (TLI), root mean square error of approximation (RMSEA), standardized root mean square residual (SRMR), Akaike information criterion (AIC), and Bayesian information criterion (BIC), as available for each model. These statistics were used to evaluate whether the growth-model framework provided an adequate representation of the joint ferritin–FEV₁ trajectory structure.</w:t>
      </w:r>
    </w:p>
    <w:p w14:paraId="4ADBF019">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E19900E">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7EA3748">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46B84C3">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0A30D829">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744066F7">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0980D1F4">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01C34F8">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214032D">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1A04E073">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29B14A3">
      <w:pPr>
        <w:spacing w:before="0" w:after="0" w:line="240" w:lineRule="auto"/>
        <w:rPr>
          <w:rFonts w:hint="default" w:ascii="Times New Roman Regular" w:hAnsi="Times New Roman Regular" w:cs="Times New Roman Regular"/>
          <w:b/>
          <w:bCs/>
          <w:sz w:val="22"/>
          <w:szCs w:val="22"/>
          <w:highlight w:val="none"/>
          <w:lang w:val="en-US" w:eastAsia="zh-CN"/>
        </w:rPr>
      </w:pPr>
      <w:r>
        <w:rPr>
          <w:rFonts w:hint="default" w:ascii="Times New Roman Regular" w:hAnsi="Times New Roman Regular" w:cs="Times New Roman Regular"/>
          <w:b/>
          <w:bCs/>
          <w:sz w:val="22"/>
          <w:szCs w:val="22"/>
          <w:highlight w:val="none"/>
          <w:lang w:val="en-US" w:eastAsia="zh-CN"/>
        </w:rPr>
        <w:br w:type="page"/>
      </w:r>
    </w:p>
    <w:p w14:paraId="0C1F67FF">
      <w:pPr>
        <w:pStyle w:val="2"/>
        <w:keepNext/>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highlight w:val="none"/>
          <w:lang w:val="en-US" w:eastAsia="zh-CN"/>
        </w:rPr>
        <w:t xml:space="preserve">Supplementary Table S48. Growth-factor covariances from parallel-process </w:t>
      </w:r>
      <w:r>
        <w:rPr>
          <w:rFonts w:hint="default" w:ascii="Times New Roman" w:hAnsi="Times New Roman" w:eastAsia="Times New Roman" w:cs="Times New Roman Regular"/>
          <w:b/>
          <w:bCs/>
          <w:sz w:val="20"/>
          <w:szCs w:val="22"/>
          <w:lang w:val="en-US" w:eastAsia="zh-CN"/>
        </w:rPr>
        <w:t>growth models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36"/>
        <w:gridCol w:w="1981"/>
        <w:gridCol w:w="1389"/>
        <w:gridCol w:w="1536"/>
        <w:gridCol w:w="1961"/>
        <w:gridCol w:w="2263"/>
      </w:tblGrid>
      <w:tr w14:paraId="7B819AF4">
        <w:trPr>
          <w:trHeight w:val="193" w:hRule="atLeast"/>
          <w:tblHeader/>
          <w:jc w:val="center"/>
        </w:trPr>
        <w:tc>
          <w:tcPr>
            <w:tcW w:w="1821" w:type="pct"/>
            <w:tcBorders>
              <w:top w:val="single" w:color="000000" w:sz="12" w:space="0"/>
              <w:left w:val="nil"/>
              <w:bottom w:val="single" w:color="000000" w:sz="4" w:space="0"/>
              <w:right w:val="nil"/>
              <w:tl2br w:val="nil"/>
            </w:tcBorders>
            <w:shd w:val="clear" w:color="auto" w:fill="EAF2F8"/>
            <w:noWrap/>
            <w:tcMar>
              <w:top w:w="55" w:type="dxa"/>
              <w:left w:w="55" w:type="dxa"/>
              <w:bottom w:w="55" w:type="dxa"/>
              <w:right w:w="55" w:type="dxa"/>
            </w:tcMar>
            <w:vAlign w:val="center"/>
          </w:tcPr>
          <w:p w14:paraId="6AE13247">
            <w:pPr>
              <w:keepNext w:val="0"/>
              <w:keepLines w:val="0"/>
              <w:widowControl/>
              <w:suppressLineNumbers w:val="0"/>
              <w:spacing w:before="0" w:after="0" w:line="240" w:lineRule="auto"/>
              <w:jc w:val="center"/>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Relationship</w:t>
            </w:r>
          </w:p>
        </w:tc>
        <w:tc>
          <w:tcPr>
            <w:tcW w:w="689" w:type="pct"/>
            <w:tcBorders>
              <w:top w:val="single" w:color="000000" w:sz="12" w:space="0"/>
              <w:left w:val="nil"/>
              <w:bottom w:val="single" w:color="000000" w:sz="4" w:space="0"/>
              <w:right w:val="nil"/>
            </w:tcBorders>
            <w:shd w:val="clear" w:color="auto" w:fill="EAF2F8"/>
            <w:noWrap/>
            <w:tcMar>
              <w:top w:w="55" w:type="dxa"/>
              <w:left w:w="55" w:type="dxa"/>
              <w:bottom w:w="55" w:type="dxa"/>
              <w:right w:w="55" w:type="dxa"/>
            </w:tcMar>
            <w:vAlign w:val="center"/>
          </w:tcPr>
          <w:p w14:paraId="5AAB5CBB">
            <w:pPr>
              <w:keepNext w:val="0"/>
              <w:keepLines w:val="0"/>
              <w:widowControl/>
              <w:suppressLineNumbers w:val="0"/>
              <w:spacing w:before="0" w:after="0" w:line="240" w:lineRule="auto"/>
              <w:jc w:val="center"/>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Estimate</w:t>
            </w:r>
          </w:p>
        </w:tc>
        <w:tc>
          <w:tcPr>
            <w:tcW w:w="483" w:type="pct"/>
            <w:tcBorders>
              <w:top w:val="single" w:color="000000" w:sz="12" w:space="0"/>
              <w:left w:val="nil"/>
              <w:bottom w:val="single" w:color="000000" w:sz="4" w:space="0"/>
              <w:right w:val="nil"/>
            </w:tcBorders>
            <w:shd w:val="clear" w:color="auto" w:fill="EAF2F8"/>
            <w:noWrap/>
            <w:tcMar>
              <w:top w:w="55" w:type="dxa"/>
              <w:left w:w="55" w:type="dxa"/>
              <w:bottom w:w="55" w:type="dxa"/>
              <w:right w:w="55" w:type="dxa"/>
            </w:tcMar>
            <w:vAlign w:val="center"/>
          </w:tcPr>
          <w:p w14:paraId="6C605D03">
            <w:pPr>
              <w:keepNext w:val="0"/>
              <w:keepLines w:val="0"/>
              <w:widowControl/>
              <w:suppressLineNumbers w:val="0"/>
              <w:spacing w:before="0" w:after="0" w:line="240" w:lineRule="auto"/>
              <w:jc w:val="center"/>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SE</w:t>
            </w:r>
          </w:p>
        </w:tc>
        <w:tc>
          <w:tcPr>
            <w:tcW w:w="534" w:type="pct"/>
            <w:tcBorders>
              <w:top w:val="single" w:color="000000" w:sz="12" w:space="0"/>
              <w:left w:val="nil"/>
              <w:bottom w:val="single" w:color="000000" w:sz="4" w:space="0"/>
              <w:right w:val="nil"/>
            </w:tcBorders>
            <w:shd w:val="clear" w:color="auto" w:fill="EAF2F8"/>
            <w:noWrap/>
            <w:tcMar>
              <w:top w:w="55" w:type="dxa"/>
              <w:left w:w="55" w:type="dxa"/>
              <w:bottom w:w="55" w:type="dxa"/>
              <w:right w:w="55" w:type="dxa"/>
            </w:tcMar>
            <w:vAlign w:val="center"/>
          </w:tcPr>
          <w:p w14:paraId="76F0B04C">
            <w:pPr>
              <w:keepNext w:val="0"/>
              <w:keepLines w:val="0"/>
              <w:widowControl/>
              <w:suppressLineNumbers w:val="0"/>
              <w:spacing w:before="0" w:after="0" w:line="240" w:lineRule="auto"/>
              <w:jc w:val="center"/>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Z</w:t>
            </w:r>
          </w:p>
        </w:tc>
        <w:tc>
          <w:tcPr>
            <w:tcW w:w="682" w:type="pct"/>
            <w:tcBorders>
              <w:top w:val="single" w:color="000000" w:sz="12" w:space="0"/>
              <w:left w:val="nil"/>
              <w:bottom w:val="single" w:color="000000" w:sz="4" w:space="0"/>
              <w:right w:val="nil"/>
            </w:tcBorders>
            <w:shd w:val="clear" w:color="auto" w:fill="EAF2F8"/>
            <w:noWrap/>
            <w:tcMar>
              <w:top w:w="55" w:type="dxa"/>
              <w:left w:w="55" w:type="dxa"/>
              <w:bottom w:w="55" w:type="dxa"/>
              <w:right w:w="55" w:type="dxa"/>
            </w:tcMar>
            <w:vAlign w:val="center"/>
          </w:tcPr>
          <w:p w14:paraId="02ED7E78">
            <w:pPr>
              <w:keepNext w:val="0"/>
              <w:keepLines w:val="0"/>
              <w:widowControl/>
              <w:suppressLineNumbers w:val="0"/>
              <w:spacing w:before="0" w:after="0" w:line="240" w:lineRule="auto"/>
              <w:jc w:val="center"/>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P value</w:t>
            </w:r>
          </w:p>
        </w:tc>
        <w:tc>
          <w:tcPr>
            <w:tcW w:w="787" w:type="pct"/>
            <w:tcBorders>
              <w:top w:val="single" w:color="000000" w:sz="12" w:space="0"/>
              <w:left w:val="nil"/>
              <w:bottom w:val="single" w:color="000000" w:sz="4" w:space="0"/>
              <w:right w:val="nil"/>
            </w:tcBorders>
            <w:shd w:val="clear" w:color="auto" w:fill="EAF2F8"/>
            <w:noWrap/>
            <w:tcMar>
              <w:top w:w="55" w:type="dxa"/>
              <w:left w:w="55" w:type="dxa"/>
              <w:bottom w:w="55" w:type="dxa"/>
              <w:right w:w="55" w:type="dxa"/>
            </w:tcMar>
            <w:vAlign w:val="center"/>
          </w:tcPr>
          <w:p w14:paraId="7C380486">
            <w:pPr>
              <w:keepNext w:val="0"/>
              <w:keepLines w:val="0"/>
              <w:widowControl/>
              <w:suppressLineNumbers w:val="0"/>
              <w:spacing w:before="0" w:after="0" w:line="240" w:lineRule="auto"/>
              <w:jc w:val="center"/>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Std. coeff</w:t>
            </w:r>
          </w:p>
        </w:tc>
      </w:tr>
      <w:tr w14:paraId="2BCB9C65">
        <w:trPr>
          <w:trHeight w:val="193" w:hRule="atLeast"/>
          <w:jc w:val="center"/>
        </w:trPr>
        <w:tc>
          <w:tcPr>
            <w:tcW w:w="1821" w:type="pct"/>
            <w:tcBorders>
              <w:top w:val="single" w:color="000000" w:sz="4" w:space="0"/>
              <w:left w:val="nil"/>
              <w:bottom w:val="nil"/>
              <w:right w:val="nil"/>
            </w:tcBorders>
            <w:shd w:val="clear" w:color="auto" w:fill="FFFFFF"/>
            <w:noWrap/>
            <w:tcMar>
              <w:top w:w="55" w:type="dxa"/>
              <w:left w:w="55" w:type="dxa"/>
              <w:bottom w:w="55" w:type="dxa"/>
              <w:right w:w="55" w:type="dxa"/>
            </w:tcMar>
            <w:vAlign w:val="center"/>
          </w:tcPr>
          <w:p w14:paraId="73242AEF">
            <w:pPr>
              <w:keepNext w:val="0"/>
              <w:keepLines w:val="0"/>
              <w:widowControl/>
              <w:suppressLineNumbers w:val="0"/>
              <w:spacing w:before="0" w:after="0" w:line="240" w:lineRule="auto"/>
              <w:jc w:val="center"/>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Ferritin intercept ~~ FEV intercept</w:t>
            </w:r>
          </w:p>
        </w:tc>
        <w:tc>
          <w:tcPr>
            <w:tcW w:w="689" w:type="pct"/>
            <w:tcBorders>
              <w:top w:val="single" w:color="000000" w:sz="4" w:space="0"/>
              <w:left w:val="nil"/>
              <w:bottom w:val="nil"/>
              <w:right w:val="nil"/>
            </w:tcBorders>
            <w:shd w:val="clear" w:color="auto" w:fill="FFFFFF"/>
            <w:noWrap/>
            <w:tcMar>
              <w:top w:w="55" w:type="dxa"/>
              <w:left w:w="55" w:type="dxa"/>
              <w:bottom w:w="55" w:type="dxa"/>
              <w:right w:w="55" w:type="dxa"/>
            </w:tcMar>
            <w:vAlign w:val="center"/>
          </w:tcPr>
          <w:p w14:paraId="172CF675">
            <w:pPr>
              <w:keepNext w:val="0"/>
              <w:keepLines w:val="0"/>
              <w:widowControl/>
              <w:suppressLineNumbers w:val="0"/>
              <w:spacing w:before="0" w:after="0" w:line="240" w:lineRule="auto"/>
              <w:jc w:val="center"/>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0.03</w:t>
            </w:r>
          </w:p>
        </w:tc>
        <w:tc>
          <w:tcPr>
            <w:tcW w:w="483" w:type="pct"/>
            <w:tcBorders>
              <w:top w:val="single" w:color="000000" w:sz="4" w:space="0"/>
              <w:left w:val="nil"/>
              <w:bottom w:val="nil"/>
              <w:right w:val="nil"/>
            </w:tcBorders>
            <w:shd w:val="clear" w:color="auto" w:fill="FFFFFF"/>
            <w:noWrap/>
            <w:tcMar>
              <w:top w:w="55" w:type="dxa"/>
              <w:left w:w="55" w:type="dxa"/>
              <w:bottom w:w="55" w:type="dxa"/>
              <w:right w:w="55" w:type="dxa"/>
            </w:tcMar>
            <w:vAlign w:val="center"/>
          </w:tcPr>
          <w:p w14:paraId="3F1BD2B5">
            <w:pPr>
              <w:keepNext w:val="0"/>
              <w:keepLines w:val="0"/>
              <w:widowControl/>
              <w:suppressLineNumbers w:val="0"/>
              <w:spacing w:before="0" w:after="0" w:line="240" w:lineRule="auto"/>
              <w:jc w:val="center"/>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0.03</w:t>
            </w:r>
          </w:p>
        </w:tc>
        <w:tc>
          <w:tcPr>
            <w:tcW w:w="534" w:type="pct"/>
            <w:tcBorders>
              <w:top w:val="single" w:color="000000" w:sz="4" w:space="0"/>
              <w:left w:val="nil"/>
              <w:bottom w:val="nil"/>
              <w:right w:val="nil"/>
            </w:tcBorders>
            <w:shd w:val="clear" w:color="auto" w:fill="FFFFFF"/>
            <w:noWrap/>
            <w:tcMar>
              <w:top w:w="55" w:type="dxa"/>
              <w:left w:w="55" w:type="dxa"/>
              <w:bottom w:w="55" w:type="dxa"/>
              <w:right w:w="55" w:type="dxa"/>
            </w:tcMar>
            <w:vAlign w:val="center"/>
          </w:tcPr>
          <w:p w14:paraId="4802780D">
            <w:pPr>
              <w:keepNext w:val="0"/>
              <w:keepLines w:val="0"/>
              <w:widowControl/>
              <w:suppressLineNumbers w:val="0"/>
              <w:spacing w:before="0" w:after="0" w:line="240" w:lineRule="auto"/>
              <w:jc w:val="center"/>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0.94</w:t>
            </w:r>
          </w:p>
        </w:tc>
        <w:tc>
          <w:tcPr>
            <w:tcW w:w="682" w:type="pct"/>
            <w:tcBorders>
              <w:top w:val="single" w:color="000000" w:sz="4" w:space="0"/>
              <w:left w:val="nil"/>
              <w:bottom w:val="nil"/>
              <w:right w:val="nil"/>
            </w:tcBorders>
            <w:shd w:val="clear" w:color="auto" w:fill="FFFFFF"/>
            <w:noWrap/>
            <w:tcMar>
              <w:top w:w="55" w:type="dxa"/>
              <w:left w:w="55" w:type="dxa"/>
              <w:bottom w:w="55" w:type="dxa"/>
              <w:right w:w="55" w:type="dxa"/>
            </w:tcMar>
            <w:vAlign w:val="center"/>
          </w:tcPr>
          <w:p w14:paraId="6E06763E">
            <w:pPr>
              <w:keepNext w:val="0"/>
              <w:keepLines w:val="0"/>
              <w:widowControl/>
              <w:suppressLineNumbers w:val="0"/>
              <w:spacing w:before="0" w:after="0" w:line="240" w:lineRule="auto"/>
              <w:jc w:val="center"/>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0.35</w:t>
            </w:r>
          </w:p>
        </w:tc>
        <w:tc>
          <w:tcPr>
            <w:tcW w:w="787" w:type="pct"/>
            <w:tcBorders>
              <w:top w:val="single" w:color="000000" w:sz="4" w:space="0"/>
              <w:left w:val="nil"/>
              <w:bottom w:val="nil"/>
              <w:right w:val="nil"/>
            </w:tcBorders>
            <w:shd w:val="clear" w:color="auto" w:fill="FFFFFF"/>
            <w:noWrap/>
            <w:tcMar>
              <w:top w:w="55" w:type="dxa"/>
              <w:left w:w="55" w:type="dxa"/>
              <w:bottom w:w="55" w:type="dxa"/>
              <w:right w:w="55" w:type="dxa"/>
            </w:tcMar>
            <w:vAlign w:val="center"/>
          </w:tcPr>
          <w:p w14:paraId="6FE631E7">
            <w:pPr>
              <w:keepNext w:val="0"/>
              <w:keepLines w:val="0"/>
              <w:widowControl/>
              <w:suppressLineNumbers w:val="0"/>
              <w:spacing w:before="0" w:after="0" w:line="240" w:lineRule="auto"/>
              <w:jc w:val="center"/>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0.05</w:t>
            </w:r>
          </w:p>
        </w:tc>
      </w:tr>
      <w:tr w14:paraId="0DE73AFD">
        <w:trPr>
          <w:trHeight w:val="193" w:hRule="atLeast"/>
          <w:jc w:val="center"/>
        </w:trPr>
        <w:tc>
          <w:tcPr>
            <w:tcW w:w="1821" w:type="pct"/>
            <w:tcBorders>
              <w:top w:val="nil"/>
              <w:left w:val="nil"/>
              <w:bottom w:val="nil"/>
              <w:right w:val="nil"/>
            </w:tcBorders>
            <w:shd w:val="clear" w:color="auto" w:fill="FFFFFF"/>
            <w:noWrap/>
            <w:tcMar>
              <w:top w:w="55" w:type="dxa"/>
              <w:left w:w="55" w:type="dxa"/>
              <w:bottom w:w="55" w:type="dxa"/>
              <w:right w:w="55" w:type="dxa"/>
            </w:tcMar>
            <w:vAlign w:val="center"/>
          </w:tcPr>
          <w:p w14:paraId="11A2AA4A">
            <w:pPr>
              <w:keepNext w:val="0"/>
              <w:keepLines w:val="0"/>
              <w:widowControl/>
              <w:suppressLineNumbers w:val="0"/>
              <w:spacing w:before="0" w:after="0" w:line="240" w:lineRule="auto"/>
              <w:jc w:val="center"/>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Ferritin slope ~~ FEV slope</w:t>
            </w:r>
          </w:p>
        </w:tc>
        <w:tc>
          <w:tcPr>
            <w:tcW w:w="689" w:type="pct"/>
            <w:tcBorders>
              <w:top w:val="nil"/>
              <w:left w:val="nil"/>
              <w:bottom w:val="nil"/>
              <w:right w:val="nil"/>
            </w:tcBorders>
            <w:shd w:val="clear" w:color="auto" w:fill="FFFFFF"/>
            <w:noWrap/>
            <w:tcMar>
              <w:top w:w="55" w:type="dxa"/>
              <w:left w:w="55" w:type="dxa"/>
              <w:bottom w:w="55" w:type="dxa"/>
              <w:right w:w="55" w:type="dxa"/>
            </w:tcMar>
            <w:vAlign w:val="center"/>
          </w:tcPr>
          <w:p w14:paraId="3A943A3E">
            <w:pPr>
              <w:keepNext w:val="0"/>
              <w:keepLines w:val="0"/>
              <w:widowControl/>
              <w:suppressLineNumbers w:val="0"/>
              <w:spacing w:before="0" w:after="0" w:line="240" w:lineRule="auto"/>
              <w:jc w:val="center"/>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w:t>
            </w:r>
          </w:p>
        </w:tc>
        <w:tc>
          <w:tcPr>
            <w:tcW w:w="483" w:type="pct"/>
            <w:tcBorders>
              <w:top w:val="nil"/>
              <w:left w:val="nil"/>
              <w:bottom w:val="nil"/>
              <w:right w:val="nil"/>
            </w:tcBorders>
            <w:shd w:val="clear" w:color="auto" w:fill="FFFFFF"/>
            <w:noWrap/>
            <w:tcMar>
              <w:top w:w="55" w:type="dxa"/>
              <w:left w:w="55" w:type="dxa"/>
              <w:bottom w:w="55" w:type="dxa"/>
              <w:right w:w="55" w:type="dxa"/>
            </w:tcMar>
            <w:vAlign w:val="center"/>
          </w:tcPr>
          <w:p w14:paraId="54B58686">
            <w:pPr>
              <w:keepNext w:val="0"/>
              <w:keepLines w:val="0"/>
              <w:widowControl/>
              <w:suppressLineNumbers w:val="0"/>
              <w:spacing w:before="0" w:after="0" w:line="240" w:lineRule="auto"/>
              <w:jc w:val="center"/>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0.01</w:t>
            </w:r>
          </w:p>
        </w:tc>
        <w:tc>
          <w:tcPr>
            <w:tcW w:w="534" w:type="pct"/>
            <w:tcBorders>
              <w:top w:val="nil"/>
              <w:left w:val="nil"/>
              <w:bottom w:val="nil"/>
              <w:right w:val="nil"/>
            </w:tcBorders>
            <w:shd w:val="clear" w:color="auto" w:fill="FFFFFF"/>
            <w:noWrap/>
            <w:tcMar>
              <w:top w:w="55" w:type="dxa"/>
              <w:left w:w="55" w:type="dxa"/>
              <w:bottom w:w="55" w:type="dxa"/>
              <w:right w:w="55" w:type="dxa"/>
            </w:tcMar>
            <w:vAlign w:val="center"/>
          </w:tcPr>
          <w:p w14:paraId="2C41E960">
            <w:pPr>
              <w:keepNext w:val="0"/>
              <w:keepLines w:val="0"/>
              <w:widowControl/>
              <w:suppressLineNumbers w:val="0"/>
              <w:spacing w:before="0" w:after="0" w:line="240" w:lineRule="auto"/>
              <w:jc w:val="center"/>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0.05</w:t>
            </w:r>
          </w:p>
        </w:tc>
        <w:tc>
          <w:tcPr>
            <w:tcW w:w="682" w:type="pct"/>
            <w:tcBorders>
              <w:top w:val="nil"/>
              <w:left w:val="nil"/>
              <w:bottom w:val="nil"/>
              <w:right w:val="nil"/>
            </w:tcBorders>
            <w:shd w:val="clear" w:color="auto" w:fill="FFFFFF"/>
            <w:noWrap/>
            <w:tcMar>
              <w:top w:w="55" w:type="dxa"/>
              <w:left w:w="55" w:type="dxa"/>
              <w:bottom w:w="55" w:type="dxa"/>
              <w:right w:w="55" w:type="dxa"/>
            </w:tcMar>
            <w:vAlign w:val="center"/>
          </w:tcPr>
          <w:p w14:paraId="7F05F7C3">
            <w:pPr>
              <w:keepNext w:val="0"/>
              <w:keepLines w:val="0"/>
              <w:widowControl/>
              <w:suppressLineNumbers w:val="0"/>
              <w:spacing w:before="0" w:after="0" w:line="240" w:lineRule="auto"/>
              <w:jc w:val="center"/>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0.96</w:t>
            </w:r>
          </w:p>
        </w:tc>
        <w:tc>
          <w:tcPr>
            <w:tcW w:w="787" w:type="pct"/>
            <w:tcBorders>
              <w:top w:val="nil"/>
              <w:left w:val="nil"/>
              <w:bottom w:val="nil"/>
              <w:right w:val="nil"/>
            </w:tcBorders>
            <w:shd w:val="clear" w:color="auto" w:fill="FFFFFF"/>
            <w:noWrap/>
            <w:tcMar>
              <w:top w:w="55" w:type="dxa"/>
              <w:left w:w="55" w:type="dxa"/>
              <w:bottom w:w="55" w:type="dxa"/>
              <w:right w:w="55" w:type="dxa"/>
            </w:tcMar>
            <w:vAlign w:val="center"/>
          </w:tcPr>
          <w:p w14:paraId="456C4D11">
            <w:pPr>
              <w:keepNext w:val="0"/>
              <w:keepLines w:val="0"/>
              <w:widowControl/>
              <w:suppressLineNumbers w:val="0"/>
              <w:spacing w:before="0" w:after="0" w:line="240" w:lineRule="auto"/>
              <w:jc w:val="center"/>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0.01</w:t>
            </w:r>
          </w:p>
        </w:tc>
      </w:tr>
      <w:tr w14:paraId="776325DA">
        <w:trPr>
          <w:trHeight w:val="193" w:hRule="atLeast"/>
          <w:jc w:val="center"/>
        </w:trPr>
        <w:tc>
          <w:tcPr>
            <w:tcW w:w="1821" w:type="pct"/>
            <w:tcBorders>
              <w:top w:val="nil"/>
              <w:left w:val="nil"/>
              <w:bottom w:val="nil"/>
              <w:right w:val="nil"/>
            </w:tcBorders>
            <w:shd w:val="clear" w:color="auto" w:fill="FFFFFF"/>
            <w:noWrap/>
            <w:tcMar>
              <w:top w:w="55" w:type="dxa"/>
              <w:left w:w="55" w:type="dxa"/>
              <w:bottom w:w="55" w:type="dxa"/>
              <w:right w:w="55" w:type="dxa"/>
            </w:tcMar>
            <w:vAlign w:val="center"/>
          </w:tcPr>
          <w:p w14:paraId="123D64AB">
            <w:pPr>
              <w:keepNext w:val="0"/>
              <w:keepLines w:val="0"/>
              <w:widowControl/>
              <w:suppressLineNumbers w:val="0"/>
              <w:spacing w:before="0" w:after="0" w:line="240" w:lineRule="auto"/>
              <w:jc w:val="center"/>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Ferritin intercept ~~ FEV slope</w:t>
            </w:r>
          </w:p>
        </w:tc>
        <w:tc>
          <w:tcPr>
            <w:tcW w:w="689" w:type="pct"/>
            <w:tcBorders>
              <w:top w:val="nil"/>
              <w:left w:val="nil"/>
              <w:bottom w:val="nil"/>
              <w:right w:val="nil"/>
            </w:tcBorders>
            <w:shd w:val="clear" w:color="auto" w:fill="FFFFFF"/>
            <w:noWrap/>
            <w:tcMar>
              <w:top w:w="55" w:type="dxa"/>
              <w:left w:w="55" w:type="dxa"/>
              <w:bottom w:w="55" w:type="dxa"/>
              <w:right w:w="55" w:type="dxa"/>
            </w:tcMar>
            <w:vAlign w:val="center"/>
          </w:tcPr>
          <w:p w14:paraId="655A2D77">
            <w:pPr>
              <w:keepNext w:val="0"/>
              <w:keepLines w:val="0"/>
              <w:widowControl/>
              <w:suppressLineNumbers w:val="0"/>
              <w:spacing w:before="0" w:after="0" w:line="240" w:lineRule="auto"/>
              <w:jc w:val="center"/>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w:t>
            </w:r>
          </w:p>
        </w:tc>
        <w:tc>
          <w:tcPr>
            <w:tcW w:w="483" w:type="pct"/>
            <w:tcBorders>
              <w:top w:val="nil"/>
              <w:left w:val="nil"/>
              <w:bottom w:val="nil"/>
              <w:right w:val="nil"/>
            </w:tcBorders>
            <w:shd w:val="clear" w:color="auto" w:fill="FFFFFF"/>
            <w:noWrap/>
            <w:tcMar>
              <w:top w:w="55" w:type="dxa"/>
              <w:left w:w="55" w:type="dxa"/>
              <w:bottom w:w="55" w:type="dxa"/>
              <w:right w:w="55" w:type="dxa"/>
            </w:tcMar>
            <w:vAlign w:val="center"/>
          </w:tcPr>
          <w:p w14:paraId="172246C2">
            <w:pPr>
              <w:keepNext w:val="0"/>
              <w:keepLines w:val="0"/>
              <w:widowControl/>
              <w:suppressLineNumbers w:val="0"/>
              <w:spacing w:before="0" w:after="0" w:line="240" w:lineRule="auto"/>
              <w:jc w:val="center"/>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0.01</w:t>
            </w:r>
          </w:p>
        </w:tc>
        <w:tc>
          <w:tcPr>
            <w:tcW w:w="534" w:type="pct"/>
            <w:tcBorders>
              <w:top w:val="nil"/>
              <w:left w:val="nil"/>
              <w:bottom w:val="nil"/>
              <w:right w:val="nil"/>
            </w:tcBorders>
            <w:shd w:val="clear" w:color="auto" w:fill="FFFFFF"/>
            <w:noWrap/>
            <w:tcMar>
              <w:top w:w="55" w:type="dxa"/>
              <w:left w:w="55" w:type="dxa"/>
              <w:bottom w:w="55" w:type="dxa"/>
              <w:right w:w="55" w:type="dxa"/>
            </w:tcMar>
            <w:vAlign w:val="center"/>
          </w:tcPr>
          <w:p w14:paraId="67A41675">
            <w:pPr>
              <w:keepNext w:val="0"/>
              <w:keepLines w:val="0"/>
              <w:widowControl/>
              <w:suppressLineNumbers w:val="0"/>
              <w:spacing w:before="0" w:after="0" w:line="240" w:lineRule="auto"/>
              <w:jc w:val="center"/>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0.25</w:t>
            </w:r>
          </w:p>
        </w:tc>
        <w:tc>
          <w:tcPr>
            <w:tcW w:w="682" w:type="pct"/>
            <w:tcBorders>
              <w:top w:val="nil"/>
              <w:left w:val="nil"/>
              <w:bottom w:val="nil"/>
              <w:right w:val="nil"/>
            </w:tcBorders>
            <w:shd w:val="clear" w:color="auto" w:fill="FFFFFF"/>
            <w:noWrap/>
            <w:tcMar>
              <w:top w:w="55" w:type="dxa"/>
              <w:left w:w="55" w:type="dxa"/>
              <w:bottom w:w="55" w:type="dxa"/>
              <w:right w:w="55" w:type="dxa"/>
            </w:tcMar>
            <w:vAlign w:val="center"/>
          </w:tcPr>
          <w:p w14:paraId="408C3510">
            <w:pPr>
              <w:keepNext w:val="0"/>
              <w:keepLines w:val="0"/>
              <w:widowControl/>
              <w:suppressLineNumbers w:val="0"/>
              <w:spacing w:before="0" w:after="0" w:line="240" w:lineRule="auto"/>
              <w:jc w:val="center"/>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0.8</w:t>
            </w:r>
          </w:p>
        </w:tc>
        <w:tc>
          <w:tcPr>
            <w:tcW w:w="787" w:type="pct"/>
            <w:tcBorders>
              <w:top w:val="nil"/>
              <w:left w:val="nil"/>
              <w:bottom w:val="nil"/>
              <w:right w:val="nil"/>
            </w:tcBorders>
            <w:shd w:val="clear" w:color="auto" w:fill="FFFFFF"/>
            <w:noWrap/>
            <w:tcMar>
              <w:top w:w="55" w:type="dxa"/>
              <w:left w:w="55" w:type="dxa"/>
              <w:bottom w:w="55" w:type="dxa"/>
              <w:right w:w="55" w:type="dxa"/>
            </w:tcMar>
            <w:vAlign w:val="center"/>
          </w:tcPr>
          <w:p w14:paraId="11025BC9">
            <w:pPr>
              <w:keepNext w:val="0"/>
              <w:keepLines w:val="0"/>
              <w:widowControl/>
              <w:suppressLineNumbers w:val="0"/>
              <w:spacing w:before="0" w:after="0" w:line="240" w:lineRule="auto"/>
              <w:jc w:val="center"/>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0.03</w:t>
            </w:r>
          </w:p>
        </w:tc>
      </w:tr>
      <w:tr w14:paraId="7A74F139">
        <w:trPr>
          <w:trHeight w:val="193" w:hRule="atLeast"/>
          <w:jc w:val="center"/>
        </w:trPr>
        <w:tc>
          <w:tcPr>
            <w:tcW w:w="1821"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26A73249">
            <w:pPr>
              <w:keepNext w:val="0"/>
              <w:keepLines w:val="0"/>
              <w:widowControl/>
              <w:suppressLineNumbers w:val="0"/>
              <w:spacing w:before="0" w:after="0" w:line="240" w:lineRule="auto"/>
              <w:jc w:val="center"/>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Ferritin slope ~~ FEV intercept</w:t>
            </w:r>
          </w:p>
        </w:tc>
        <w:tc>
          <w:tcPr>
            <w:tcW w:w="689"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53A02134">
            <w:pPr>
              <w:keepNext w:val="0"/>
              <w:keepLines w:val="0"/>
              <w:widowControl/>
              <w:suppressLineNumbers w:val="0"/>
              <w:spacing w:before="0" w:after="0" w:line="240" w:lineRule="auto"/>
              <w:jc w:val="center"/>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w:t>
            </w:r>
          </w:p>
        </w:tc>
        <w:tc>
          <w:tcPr>
            <w:tcW w:w="483"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5132093F">
            <w:pPr>
              <w:keepNext w:val="0"/>
              <w:keepLines w:val="0"/>
              <w:widowControl/>
              <w:suppressLineNumbers w:val="0"/>
              <w:spacing w:before="0" w:after="0" w:line="240" w:lineRule="auto"/>
              <w:jc w:val="center"/>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0.02</w:t>
            </w:r>
          </w:p>
        </w:tc>
        <w:tc>
          <w:tcPr>
            <w:tcW w:w="534"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036B5874">
            <w:pPr>
              <w:keepNext w:val="0"/>
              <w:keepLines w:val="0"/>
              <w:widowControl/>
              <w:suppressLineNumbers w:val="0"/>
              <w:spacing w:before="0" w:after="0" w:line="240" w:lineRule="auto"/>
              <w:jc w:val="center"/>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-0.14</w:t>
            </w:r>
          </w:p>
        </w:tc>
        <w:tc>
          <w:tcPr>
            <w:tcW w:w="682"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2B8286AE">
            <w:pPr>
              <w:keepNext w:val="0"/>
              <w:keepLines w:val="0"/>
              <w:widowControl/>
              <w:suppressLineNumbers w:val="0"/>
              <w:spacing w:before="0" w:after="0" w:line="240" w:lineRule="auto"/>
              <w:jc w:val="center"/>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0.89</w:t>
            </w:r>
          </w:p>
        </w:tc>
        <w:tc>
          <w:tcPr>
            <w:tcW w:w="787"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06EDB8E9">
            <w:pPr>
              <w:keepNext w:val="0"/>
              <w:keepLines w:val="0"/>
              <w:widowControl/>
              <w:suppressLineNumbers w:val="0"/>
              <w:spacing w:before="0" w:after="0" w:line="240" w:lineRule="auto"/>
              <w:jc w:val="center"/>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-0.01</w:t>
            </w:r>
          </w:p>
        </w:tc>
      </w:tr>
    </w:tbl>
    <w:p w14:paraId="1C40D622">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sz w:val="20"/>
          <w:szCs w:val="22"/>
          <w:lang w:val="en-US" w:eastAsia="zh-CN"/>
        </w:rPr>
        <w:t>This table presents growth-factor covariances from the parallel-process growth models, including intercept–intercept, slope–slope, and intercept–slope covariances between ferritin and forced expiratory volume in 1 second (FEV₁), as specified in the table. Estimates, standard errors, and P values are shown as available. These analyses were used as supplementary evidence to assess whether ferritin and FEV₁ trajectories showed coordinated long-term change.</w:t>
      </w:r>
    </w:p>
    <w:p w14:paraId="32DABFFB">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41BE5AE">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C4A010A">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6B62DE8">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9ADBE44">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1194B6D">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CA7651A">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8FC58ED">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58AEFCC">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702835C">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6DC0EBC">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4B3F32A">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129E25A">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776658B">
      <w:pPr>
        <w:spacing w:before="0" w:after="0" w:line="240" w:lineRule="auto"/>
        <w:rPr>
          <w:rFonts w:hint="default" w:ascii="Times New Roman Regular" w:hAnsi="Times New Roman Regular" w:cs="Times New Roman Regular"/>
          <w:b/>
          <w:bCs/>
          <w:sz w:val="22"/>
          <w:szCs w:val="22"/>
          <w:lang w:val="en-US" w:eastAsia="zh-CN"/>
        </w:rPr>
      </w:pPr>
      <w:r>
        <w:rPr>
          <w:rFonts w:hint="default" w:ascii="Times New Roman Regular" w:hAnsi="Times New Roman Regular" w:cs="Times New Roman Regular"/>
          <w:b/>
          <w:bCs/>
          <w:sz w:val="22"/>
          <w:szCs w:val="22"/>
          <w:lang w:val="en-US" w:eastAsia="zh-CN"/>
        </w:rPr>
        <w:br w:type="page"/>
      </w:r>
    </w:p>
    <w:p w14:paraId="4030FE0C">
      <w:pPr>
        <w:pStyle w:val="2"/>
        <w:keepNext/>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S49. Growth-factor means from parallel-process growth models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60"/>
        <w:gridCol w:w="2438"/>
        <w:gridCol w:w="1745"/>
        <w:gridCol w:w="2018"/>
        <w:gridCol w:w="2105"/>
      </w:tblGrid>
      <w:tr w14:paraId="754BC52A">
        <w:trPr>
          <w:trHeight w:val="193" w:hRule="atLeast"/>
          <w:tblHeader/>
          <w:jc w:val="center"/>
        </w:trPr>
        <w:tc>
          <w:tcPr>
            <w:tcW w:w="2108" w:type="pct"/>
            <w:tcBorders>
              <w:top w:val="single" w:color="000000" w:sz="12" w:space="0"/>
              <w:left w:val="nil"/>
              <w:bottom w:val="single" w:color="000000" w:sz="4" w:space="0"/>
              <w:right w:val="nil"/>
              <w:tl2br w:val="nil"/>
            </w:tcBorders>
            <w:shd w:val="clear" w:color="auto" w:fill="EAF2F8"/>
            <w:noWrap/>
            <w:tcMar>
              <w:top w:w="55" w:type="dxa"/>
              <w:left w:w="55" w:type="dxa"/>
              <w:bottom w:w="55" w:type="dxa"/>
              <w:right w:w="55" w:type="dxa"/>
            </w:tcMar>
            <w:vAlign w:val="center"/>
          </w:tcPr>
          <w:p w14:paraId="1FEB7B7A">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Parameter</w:t>
            </w:r>
          </w:p>
        </w:tc>
        <w:tc>
          <w:tcPr>
            <w:tcW w:w="848" w:type="pct"/>
            <w:tcBorders>
              <w:top w:val="single" w:color="000000" w:sz="12" w:space="0"/>
              <w:left w:val="nil"/>
              <w:bottom w:val="single" w:color="000000" w:sz="4" w:space="0"/>
              <w:right w:val="nil"/>
            </w:tcBorders>
            <w:shd w:val="clear" w:color="auto" w:fill="EAF2F8"/>
            <w:noWrap/>
            <w:tcMar>
              <w:top w:w="55" w:type="dxa"/>
              <w:left w:w="55" w:type="dxa"/>
              <w:bottom w:w="55" w:type="dxa"/>
              <w:right w:w="55" w:type="dxa"/>
            </w:tcMar>
            <w:vAlign w:val="center"/>
          </w:tcPr>
          <w:p w14:paraId="50388C9D">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Estimate</w:t>
            </w:r>
          </w:p>
        </w:tc>
        <w:tc>
          <w:tcPr>
            <w:tcW w:w="607" w:type="pct"/>
            <w:tcBorders>
              <w:top w:val="single" w:color="000000" w:sz="12" w:space="0"/>
              <w:left w:val="nil"/>
              <w:bottom w:val="single" w:color="000000" w:sz="4" w:space="0"/>
              <w:right w:val="nil"/>
            </w:tcBorders>
            <w:shd w:val="clear" w:color="auto" w:fill="EAF2F8"/>
            <w:noWrap/>
            <w:tcMar>
              <w:top w:w="55" w:type="dxa"/>
              <w:left w:w="55" w:type="dxa"/>
              <w:bottom w:w="55" w:type="dxa"/>
              <w:right w:w="55" w:type="dxa"/>
            </w:tcMar>
            <w:vAlign w:val="center"/>
          </w:tcPr>
          <w:p w14:paraId="40A3462C">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SE</w:t>
            </w:r>
          </w:p>
        </w:tc>
        <w:tc>
          <w:tcPr>
            <w:tcW w:w="702" w:type="pct"/>
            <w:tcBorders>
              <w:top w:val="single" w:color="000000" w:sz="12" w:space="0"/>
              <w:left w:val="nil"/>
              <w:bottom w:val="single" w:color="000000" w:sz="4" w:space="0"/>
              <w:right w:val="nil"/>
            </w:tcBorders>
            <w:shd w:val="clear" w:color="auto" w:fill="EAF2F8"/>
            <w:noWrap/>
            <w:tcMar>
              <w:top w:w="55" w:type="dxa"/>
              <w:left w:w="55" w:type="dxa"/>
              <w:bottom w:w="55" w:type="dxa"/>
              <w:right w:w="55" w:type="dxa"/>
            </w:tcMar>
            <w:vAlign w:val="center"/>
          </w:tcPr>
          <w:p w14:paraId="288D23A2">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Z</w:t>
            </w:r>
          </w:p>
        </w:tc>
        <w:tc>
          <w:tcPr>
            <w:tcW w:w="732" w:type="pct"/>
            <w:tcBorders>
              <w:top w:val="single" w:color="000000" w:sz="12" w:space="0"/>
              <w:left w:val="nil"/>
              <w:bottom w:val="single" w:color="000000" w:sz="4" w:space="0"/>
              <w:right w:val="nil"/>
            </w:tcBorders>
            <w:shd w:val="clear" w:color="auto" w:fill="EAF2F8"/>
            <w:noWrap/>
            <w:tcMar>
              <w:top w:w="55" w:type="dxa"/>
              <w:left w:w="55" w:type="dxa"/>
              <w:bottom w:w="55" w:type="dxa"/>
              <w:right w:w="55" w:type="dxa"/>
            </w:tcMar>
            <w:vAlign w:val="center"/>
          </w:tcPr>
          <w:p w14:paraId="1B961076">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P value</w:t>
            </w:r>
          </w:p>
        </w:tc>
      </w:tr>
      <w:tr w14:paraId="7B327145">
        <w:trPr>
          <w:trHeight w:val="193" w:hRule="atLeast"/>
          <w:jc w:val="center"/>
        </w:trPr>
        <w:tc>
          <w:tcPr>
            <w:tcW w:w="2108" w:type="pct"/>
            <w:tcBorders>
              <w:top w:val="single" w:color="000000" w:sz="4" w:space="0"/>
              <w:left w:val="nil"/>
              <w:bottom w:val="nil"/>
              <w:right w:val="nil"/>
            </w:tcBorders>
            <w:shd w:val="clear" w:color="auto" w:fill="FFFFFF"/>
            <w:noWrap/>
            <w:tcMar>
              <w:top w:w="55" w:type="dxa"/>
              <w:left w:w="55" w:type="dxa"/>
              <w:bottom w:w="55" w:type="dxa"/>
              <w:right w:w="55" w:type="dxa"/>
            </w:tcMar>
            <w:vAlign w:val="center"/>
          </w:tcPr>
          <w:p w14:paraId="27359C32">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Ferritin intercept mean</w:t>
            </w:r>
          </w:p>
        </w:tc>
        <w:tc>
          <w:tcPr>
            <w:tcW w:w="848" w:type="pct"/>
            <w:tcBorders>
              <w:top w:val="single" w:color="000000" w:sz="4" w:space="0"/>
              <w:left w:val="nil"/>
              <w:bottom w:val="nil"/>
              <w:right w:val="nil"/>
            </w:tcBorders>
            <w:shd w:val="clear" w:color="auto" w:fill="FFFFFF"/>
            <w:noWrap/>
            <w:tcMar>
              <w:top w:w="55" w:type="dxa"/>
              <w:left w:w="55" w:type="dxa"/>
              <w:bottom w:w="55" w:type="dxa"/>
              <w:right w:w="55" w:type="dxa"/>
            </w:tcMar>
            <w:vAlign w:val="center"/>
          </w:tcPr>
          <w:p w14:paraId="14376AA3">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4.508</w:t>
            </w:r>
          </w:p>
        </w:tc>
        <w:tc>
          <w:tcPr>
            <w:tcW w:w="607" w:type="pct"/>
            <w:tcBorders>
              <w:top w:val="single" w:color="000000" w:sz="4" w:space="0"/>
              <w:left w:val="nil"/>
              <w:bottom w:val="nil"/>
              <w:right w:val="nil"/>
            </w:tcBorders>
            <w:shd w:val="clear" w:color="auto" w:fill="FFFFFF"/>
            <w:noWrap/>
            <w:tcMar>
              <w:top w:w="55" w:type="dxa"/>
              <w:left w:w="55" w:type="dxa"/>
              <w:bottom w:w="55" w:type="dxa"/>
              <w:right w:w="55" w:type="dxa"/>
            </w:tcMar>
            <w:vAlign w:val="center"/>
          </w:tcPr>
          <w:p w14:paraId="5E35CB39">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0.899</w:t>
            </w:r>
          </w:p>
        </w:tc>
        <w:tc>
          <w:tcPr>
            <w:tcW w:w="702" w:type="pct"/>
            <w:tcBorders>
              <w:top w:val="single" w:color="000000" w:sz="4" w:space="0"/>
              <w:left w:val="nil"/>
              <w:bottom w:val="nil"/>
              <w:right w:val="nil"/>
            </w:tcBorders>
            <w:shd w:val="clear" w:color="auto" w:fill="FFFFFF"/>
            <w:noWrap/>
            <w:tcMar>
              <w:top w:w="55" w:type="dxa"/>
              <w:left w:w="55" w:type="dxa"/>
              <w:bottom w:w="55" w:type="dxa"/>
              <w:right w:w="55" w:type="dxa"/>
            </w:tcMar>
            <w:vAlign w:val="center"/>
          </w:tcPr>
          <w:p w14:paraId="3F8823DC">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5.014</w:t>
            </w:r>
          </w:p>
        </w:tc>
        <w:tc>
          <w:tcPr>
            <w:tcW w:w="732" w:type="pct"/>
            <w:tcBorders>
              <w:top w:val="single" w:color="000000" w:sz="4" w:space="0"/>
              <w:left w:val="nil"/>
              <w:bottom w:val="nil"/>
              <w:right w:val="nil"/>
            </w:tcBorders>
            <w:shd w:val="clear" w:color="auto" w:fill="FFFFFF"/>
            <w:noWrap/>
            <w:tcMar>
              <w:top w:w="55" w:type="dxa"/>
              <w:left w:w="55" w:type="dxa"/>
              <w:bottom w:w="55" w:type="dxa"/>
              <w:right w:w="55" w:type="dxa"/>
            </w:tcMar>
            <w:vAlign w:val="center"/>
          </w:tcPr>
          <w:p w14:paraId="4E8F53F3">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&lt;0.001</w:t>
            </w:r>
          </w:p>
        </w:tc>
      </w:tr>
      <w:tr w14:paraId="5B7995DA">
        <w:trPr>
          <w:trHeight w:val="193" w:hRule="atLeast"/>
          <w:jc w:val="center"/>
        </w:trPr>
        <w:tc>
          <w:tcPr>
            <w:tcW w:w="2108" w:type="pct"/>
            <w:tcBorders>
              <w:top w:val="nil"/>
              <w:left w:val="nil"/>
              <w:bottom w:val="nil"/>
              <w:right w:val="nil"/>
            </w:tcBorders>
            <w:shd w:val="clear" w:color="auto" w:fill="FFFFFF"/>
            <w:noWrap/>
            <w:tcMar>
              <w:top w:w="55" w:type="dxa"/>
              <w:left w:w="55" w:type="dxa"/>
              <w:bottom w:w="55" w:type="dxa"/>
              <w:right w:w="55" w:type="dxa"/>
            </w:tcMar>
            <w:vAlign w:val="center"/>
          </w:tcPr>
          <w:p w14:paraId="10E107F7">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Ferritin slope mean</w:t>
            </w:r>
          </w:p>
        </w:tc>
        <w:tc>
          <w:tcPr>
            <w:tcW w:w="848" w:type="pct"/>
            <w:tcBorders>
              <w:top w:val="nil"/>
              <w:left w:val="nil"/>
              <w:bottom w:val="nil"/>
              <w:right w:val="nil"/>
            </w:tcBorders>
            <w:shd w:val="clear" w:color="auto" w:fill="FFFFFF"/>
            <w:noWrap/>
            <w:tcMar>
              <w:top w:w="55" w:type="dxa"/>
              <w:left w:w="55" w:type="dxa"/>
              <w:bottom w:w="55" w:type="dxa"/>
              <w:right w:w="55" w:type="dxa"/>
            </w:tcMar>
            <w:vAlign w:val="center"/>
          </w:tcPr>
          <w:p w14:paraId="0C1C400C">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1.296</w:t>
            </w:r>
          </w:p>
        </w:tc>
        <w:tc>
          <w:tcPr>
            <w:tcW w:w="607" w:type="pct"/>
            <w:tcBorders>
              <w:top w:val="nil"/>
              <w:left w:val="nil"/>
              <w:bottom w:val="nil"/>
              <w:right w:val="nil"/>
            </w:tcBorders>
            <w:shd w:val="clear" w:color="auto" w:fill="FFFFFF"/>
            <w:noWrap/>
            <w:tcMar>
              <w:top w:w="55" w:type="dxa"/>
              <w:left w:w="55" w:type="dxa"/>
              <w:bottom w:w="55" w:type="dxa"/>
              <w:right w:w="55" w:type="dxa"/>
            </w:tcMar>
            <w:vAlign w:val="center"/>
          </w:tcPr>
          <w:p w14:paraId="1919196C">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0.467</w:t>
            </w:r>
          </w:p>
        </w:tc>
        <w:tc>
          <w:tcPr>
            <w:tcW w:w="702" w:type="pct"/>
            <w:tcBorders>
              <w:top w:val="nil"/>
              <w:left w:val="nil"/>
              <w:bottom w:val="nil"/>
              <w:right w:val="nil"/>
            </w:tcBorders>
            <w:shd w:val="clear" w:color="auto" w:fill="FFFFFF"/>
            <w:noWrap/>
            <w:tcMar>
              <w:top w:w="55" w:type="dxa"/>
              <w:left w:w="55" w:type="dxa"/>
              <w:bottom w:w="55" w:type="dxa"/>
              <w:right w:w="55" w:type="dxa"/>
            </w:tcMar>
            <w:vAlign w:val="center"/>
          </w:tcPr>
          <w:p w14:paraId="61621840">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2.773</w:t>
            </w:r>
          </w:p>
        </w:tc>
        <w:tc>
          <w:tcPr>
            <w:tcW w:w="732" w:type="pct"/>
            <w:tcBorders>
              <w:top w:val="nil"/>
              <w:left w:val="nil"/>
              <w:bottom w:val="nil"/>
              <w:right w:val="nil"/>
            </w:tcBorders>
            <w:shd w:val="clear" w:color="auto" w:fill="FFFFFF"/>
            <w:noWrap/>
            <w:tcMar>
              <w:top w:w="55" w:type="dxa"/>
              <w:left w:w="55" w:type="dxa"/>
              <w:bottom w:w="55" w:type="dxa"/>
              <w:right w:w="55" w:type="dxa"/>
            </w:tcMar>
            <w:vAlign w:val="center"/>
          </w:tcPr>
          <w:p w14:paraId="4C7EF38D">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0.006</w:t>
            </w:r>
          </w:p>
        </w:tc>
      </w:tr>
      <w:tr w14:paraId="55C41F4E">
        <w:trPr>
          <w:trHeight w:val="193" w:hRule="atLeast"/>
          <w:jc w:val="center"/>
        </w:trPr>
        <w:tc>
          <w:tcPr>
            <w:tcW w:w="2108" w:type="pct"/>
            <w:tcBorders>
              <w:top w:val="nil"/>
              <w:left w:val="nil"/>
              <w:bottom w:val="nil"/>
              <w:right w:val="nil"/>
            </w:tcBorders>
            <w:shd w:val="clear" w:color="auto" w:fill="FFFFFF"/>
            <w:noWrap/>
            <w:tcMar>
              <w:top w:w="55" w:type="dxa"/>
              <w:left w:w="55" w:type="dxa"/>
              <w:bottom w:w="55" w:type="dxa"/>
              <w:right w:w="55" w:type="dxa"/>
            </w:tcMar>
            <w:vAlign w:val="center"/>
          </w:tcPr>
          <w:p w14:paraId="5BBBF903">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FEV intercept mean</w:t>
            </w:r>
          </w:p>
        </w:tc>
        <w:tc>
          <w:tcPr>
            <w:tcW w:w="848" w:type="pct"/>
            <w:tcBorders>
              <w:top w:val="nil"/>
              <w:left w:val="nil"/>
              <w:bottom w:val="nil"/>
              <w:right w:val="nil"/>
            </w:tcBorders>
            <w:shd w:val="clear" w:color="auto" w:fill="FFFFFF"/>
            <w:noWrap/>
            <w:tcMar>
              <w:top w:w="55" w:type="dxa"/>
              <w:left w:w="55" w:type="dxa"/>
              <w:bottom w:w="55" w:type="dxa"/>
              <w:right w:w="55" w:type="dxa"/>
            </w:tcMar>
            <w:vAlign w:val="center"/>
          </w:tcPr>
          <w:p w14:paraId="3AC6DBD7">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5.901</w:t>
            </w:r>
          </w:p>
        </w:tc>
        <w:tc>
          <w:tcPr>
            <w:tcW w:w="607" w:type="pct"/>
            <w:tcBorders>
              <w:top w:val="nil"/>
              <w:left w:val="nil"/>
              <w:bottom w:val="nil"/>
              <w:right w:val="nil"/>
            </w:tcBorders>
            <w:shd w:val="clear" w:color="auto" w:fill="FFFFFF"/>
            <w:noWrap/>
            <w:tcMar>
              <w:top w:w="55" w:type="dxa"/>
              <w:left w:w="55" w:type="dxa"/>
              <w:bottom w:w="55" w:type="dxa"/>
              <w:right w:w="55" w:type="dxa"/>
            </w:tcMar>
            <w:vAlign w:val="center"/>
          </w:tcPr>
          <w:p w14:paraId="377C9A51">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0.387</w:t>
            </w:r>
          </w:p>
        </w:tc>
        <w:tc>
          <w:tcPr>
            <w:tcW w:w="702" w:type="pct"/>
            <w:tcBorders>
              <w:top w:val="nil"/>
              <w:left w:val="nil"/>
              <w:bottom w:val="nil"/>
              <w:right w:val="nil"/>
            </w:tcBorders>
            <w:shd w:val="clear" w:color="auto" w:fill="FFFFFF"/>
            <w:noWrap/>
            <w:tcMar>
              <w:top w:w="55" w:type="dxa"/>
              <w:left w:w="55" w:type="dxa"/>
              <w:bottom w:w="55" w:type="dxa"/>
              <w:right w:w="55" w:type="dxa"/>
            </w:tcMar>
            <w:vAlign w:val="center"/>
          </w:tcPr>
          <w:p w14:paraId="2A57D340">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15.254</w:t>
            </w:r>
          </w:p>
        </w:tc>
        <w:tc>
          <w:tcPr>
            <w:tcW w:w="732" w:type="pct"/>
            <w:tcBorders>
              <w:top w:val="nil"/>
              <w:left w:val="nil"/>
              <w:bottom w:val="nil"/>
              <w:right w:val="nil"/>
            </w:tcBorders>
            <w:shd w:val="clear" w:color="auto" w:fill="FFFFFF"/>
            <w:noWrap/>
            <w:tcMar>
              <w:top w:w="55" w:type="dxa"/>
              <w:left w:w="55" w:type="dxa"/>
              <w:bottom w:w="55" w:type="dxa"/>
              <w:right w:w="55" w:type="dxa"/>
            </w:tcMar>
            <w:vAlign w:val="center"/>
          </w:tcPr>
          <w:p w14:paraId="007CDD57">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&lt;0.001</w:t>
            </w:r>
          </w:p>
        </w:tc>
      </w:tr>
      <w:tr w14:paraId="5C12E4A1">
        <w:trPr>
          <w:trHeight w:val="193" w:hRule="atLeast"/>
          <w:jc w:val="center"/>
        </w:trPr>
        <w:tc>
          <w:tcPr>
            <w:tcW w:w="2108"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59FA059C">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FEV slope mean</w:t>
            </w:r>
          </w:p>
        </w:tc>
        <w:tc>
          <w:tcPr>
            <w:tcW w:w="848"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32F8C2D2">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-0.465</w:t>
            </w:r>
          </w:p>
        </w:tc>
        <w:tc>
          <w:tcPr>
            <w:tcW w:w="607"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1EFF671A">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0.195</w:t>
            </w:r>
          </w:p>
        </w:tc>
        <w:tc>
          <w:tcPr>
            <w:tcW w:w="702"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7CB25840">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-2.388</w:t>
            </w:r>
          </w:p>
        </w:tc>
        <w:tc>
          <w:tcPr>
            <w:tcW w:w="732"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6C7037F9">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0.017</w:t>
            </w:r>
          </w:p>
        </w:tc>
      </w:tr>
    </w:tbl>
    <w:p w14:paraId="588053DC">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sz w:val="20"/>
          <w:szCs w:val="22"/>
          <w:lang w:val="en-US" w:eastAsia="zh-CN"/>
        </w:rPr>
        <w:t>This table presents estimated growth-factor means from the parallel-process growth models, including intercept and slope factors for ferritin and forced expiratory volume in 1 second (FEV₁), as specified in the table. Estimates, standard errors, and P values are shown as available. These results are provided as supportive summaries of the overall ferritin and FEV₁ trajectory patterns and are not intended as primary directional evidence.</w:t>
      </w:r>
    </w:p>
    <w:p w14:paraId="646A6F37">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136377BB">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CDD33BD">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778B1F2D">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77BE18B9">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9C338C8">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B7FC89B">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700CD0BB">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247105D">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8464E01">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0976B4AC">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E1C19BF">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8D8549B">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F3496D5">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617ACC1">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1738F57">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49F0555">
      <w:pPr>
        <w:spacing w:before="0" w:after="0" w:line="240" w:lineRule="auto"/>
        <w:rPr>
          <w:rFonts w:hint="default" w:ascii="Times New Roman Regular" w:hAnsi="Times New Roman Regular" w:cs="Times New Roman Regular"/>
          <w:b/>
          <w:bCs/>
          <w:sz w:val="22"/>
          <w:szCs w:val="22"/>
          <w:lang w:val="en-US" w:eastAsia="zh-CN"/>
        </w:rPr>
      </w:pPr>
      <w:r>
        <w:rPr>
          <w:rFonts w:hint="default" w:ascii="Times New Roman Regular" w:hAnsi="Times New Roman Regular" w:cs="Times New Roman Regular"/>
          <w:b/>
          <w:bCs/>
          <w:sz w:val="22"/>
          <w:szCs w:val="22"/>
          <w:lang w:val="en-US" w:eastAsia="zh-CN"/>
        </w:rPr>
        <w:br w:type="page"/>
      </w:r>
    </w:p>
    <w:p w14:paraId="45B21038">
      <w:pPr>
        <w:pStyle w:val="2"/>
        <w:keepNext/>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S50. Robustness of alternative IFI constructions in repeated FEV₁ models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67"/>
        <w:gridCol w:w="6007"/>
        <w:gridCol w:w="2492"/>
      </w:tblGrid>
      <w:tr w14:paraId="1C12B63B">
        <w:trPr>
          <w:trHeight w:val="193" w:hRule="atLeast"/>
          <w:tblHeader/>
          <w:jc w:val="center"/>
        </w:trPr>
        <w:tc>
          <w:tcPr>
            <w:tcW w:w="2041"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30029976">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IFI construction</w:t>
            </w:r>
          </w:p>
        </w:tc>
        <w:tc>
          <w:tcPr>
            <w:tcW w:w="209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E0C5AEE">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β (95% CI)</w:t>
            </w:r>
          </w:p>
        </w:tc>
        <w:tc>
          <w:tcPr>
            <w:tcW w:w="867"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D711A1C">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6CAB9876">
        <w:trPr>
          <w:trHeight w:val="193" w:hRule="atLeast"/>
          <w:jc w:val="center"/>
        </w:trPr>
        <w:tc>
          <w:tcPr>
            <w:tcW w:w="2041"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216BD7A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Equal-weight IFI</w:t>
            </w:r>
          </w:p>
        </w:tc>
        <w:tc>
          <w:tcPr>
            <w:tcW w:w="209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47AE4A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-0.03 (-0.05, -0.00)</w:t>
            </w:r>
          </w:p>
        </w:tc>
        <w:tc>
          <w:tcPr>
            <w:tcW w:w="867"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63CC2D2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0.035</w:t>
            </w:r>
          </w:p>
        </w:tc>
      </w:tr>
      <w:tr w14:paraId="3E620FF8">
        <w:trPr>
          <w:trHeight w:val="193" w:hRule="atLeast"/>
          <w:jc w:val="center"/>
        </w:trPr>
        <w:tc>
          <w:tcPr>
            <w:tcW w:w="2041" w:type="pct"/>
            <w:tcBorders>
              <w:top w:val="nil"/>
              <w:left w:val="nil"/>
              <w:bottom w:val="nil"/>
              <w:right w:val="nil"/>
            </w:tcBorders>
            <w:shd w:val="clear" w:color="auto" w:fill="FFFFFF"/>
            <w:tcMar>
              <w:top w:w="55" w:type="dxa"/>
              <w:left w:w="55" w:type="dxa"/>
              <w:bottom w:w="55" w:type="dxa"/>
              <w:right w:w="55" w:type="dxa"/>
            </w:tcMar>
            <w:vAlign w:val="center"/>
          </w:tcPr>
          <w:p w14:paraId="12A446D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PCA-weighted IFI</w:t>
            </w:r>
          </w:p>
        </w:tc>
        <w:tc>
          <w:tcPr>
            <w:tcW w:w="2090" w:type="pct"/>
            <w:tcBorders>
              <w:top w:val="nil"/>
              <w:left w:val="nil"/>
              <w:bottom w:val="nil"/>
              <w:right w:val="nil"/>
            </w:tcBorders>
            <w:shd w:val="clear" w:color="auto" w:fill="FFFFFF"/>
            <w:tcMar>
              <w:top w:w="55" w:type="dxa"/>
              <w:left w:w="55" w:type="dxa"/>
              <w:bottom w:w="55" w:type="dxa"/>
              <w:right w:w="55" w:type="dxa"/>
            </w:tcMar>
            <w:vAlign w:val="center"/>
          </w:tcPr>
          <w:p w14:paraId="73800BC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-0.03 (-0.06, -0.00)</w:t>
            </w:r>
          </w:p>
        </w:tc>
        <w:tc>
          <w:tcPr>
            <w:tcW w:w="867" w:type="pct"/>
            <w:tcBorders>
              <w:top w:val="nil"/>
              <w:left w:val="nil"/>
              <w:bottom w:val="nil"/>
              <w:right w:val="nil"/>
            </w:tcBorders>
            <w:shd w:val="clear" w:color="auto" w:fill="FFFFFF"/>
            <w:tcMar>
              <w:top w:w="55" w:type="dxa"/>
              <w:left w:w="55" w:type="dxa"/>
              <w:bottom w:w="55" w:type="dxa"/>
              <w:right w:w="55" w:type="dxa"/>
            </w:tcMar>
            <w:vAlign w:val="center"/>
          </w:tcPr>
          <w:p w14:paraId="7348BD0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0.036</w:t>
            </w:r>
          </w:p>
        </w:tc>
      </w:tr>
      <w:tr w14:paraId="12B6608D">
        <w:trPr>
          <w:trHeight w:val="193" w:hRule="atLeast"/>
          <w:jc w:val="center"/>
        </w:trPr>
        <w:tc>
          <w:tcPr>
            <w:tcW w:w="2041" w:type="pct"/>
            <w:tcBorders>
              <w:top w:val="nil"/>
              <w:left w:val="nil"/>
              <w:bottom w:val="nil"/>
              <w:right w:val="nil"/>
            </w:tcBorders>
            <w:shd w:val="clear" w:color="auto" w:fill="FFFFFF"/>
            <w:tcMar>
              <w:top w:w="55" w:type="dxa"/>
              <w:left w:w="55" w:type="dxa"/>
              <w:bottom w:w="55" w:type="dxa"/>
              <w:right w:w="55" w:type="dxa"/>
            </w:tcMar>
            <w:vAlign w:val="center"/>
          </w:tcPr>
          <w:p w14:paraId="286AB56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Leave-one-out IFI</w:t>
            </w:r>
          </w:p>
        </w:tc>
        <w:tc>
          <w:tcPr>
            <w:tcW w:w="2090" w:type="pct"/>
            <w:tcBorders>
              <w:top w:val="nil"/>
              <w:left w:val="nil"/>
              <w:bottom w:val="nil"/>
              <w:right w:val="nil"/>
            </w:tcBorders>
            <w:shd w:val="clear" w:color="auto" w:fill="FFFFFF"/>
            <w:tcMar>
              <w:top w:w="55" w:type="dxa"/>
              <w:left w:w="55" w:type="dxa"/>
              <w:bottom w:w="55" w:type="dxa"/>
              <w:right w:w="55" w:type="dxa"/>
            </w:tcMar>
            <w:vAlign w:val="center"/>
          </w:tcPr>
          <w:p w14:paraId="366F362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-0.03 (-0.05, -0.00)</w:t>
            </w:r>
          </w:p>
        </w:tc>
        <w:tc>
          <w:tcPr>
            <w:tcW w:w="867" w:type="pct"/>
            <w:tcBorders>
              <w:top w:val="nil"/>
              <w:left w:val="nil"/>
              <w:bottom w:val="nil"/>
              <w:right w:val="nil"/>
            </w:tcBorders>
            <w:shd w:val="clear" w:color="auto" w:fill="FFFFFF"/>
            <w:tcMar>
              <w:top w:w="55" w:type="dxa"/>
              <w:left w:w="55" w:type="dxa"/>
              <w:bottom w:w="55" w:type="dxa"/>
              <w:right w:w="55" w:type="dxa"/>
            </w:tcMar>
            <w:vAlign w:val="center"/>
          </w:tcPr>
          <w:p w14:paraId="300DDDA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0.037</w:t>
            </w:r>
          </w:p>
        </w:tc>
      </w:tr>
      <w:tr w14:paraId="370D2CD2">
        <w:trPr>
          <w:trHeight w:val="193" w:hRule="atLeast"/>
          <w:jc w:val="center"/>
        </w:trPr>
        <w:tc>
          <w:tcPr>
            <w:tcW w:w="2041"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DC4C78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β-weighted IFI</w:t>
            </w:r>
          </w:p>
        </w:tc>
        <w:tc>
          <w:tcPr>
            <w:tcW w:w="209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683960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-0.04 (-0.08, -0.00)</w:t>
            </w:r>
          </w:p>
        </w:tc>
        <w:tc>
          <w:tcPr>
            <w:tcW w:w="86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D01D8F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0.032</w:t>
            </w:r>
          </w:p>
        </w:tc>
      </w:tr>
    </w:tbl>
    <w:p w14:paraId="71CA0016">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sz w:val="20"/>
          <w:szCs w:val="22"/>
          <w:lang w:val="en-US" w:eastAsia="zh-CN"/>
        </w:rPr>
        <w:t>Regression coefficients (β), 95% confidence intervals (CIs), and P values are shown from repeated forced expiratory volume in 1 second (FEV₁) models evaluating alternative constructions of the iron fragility index (IFI). Alternative IFI variants included the equal-weight IFI, PCA-weighted IFI, leave-one-out IFI, and β-weighted IFI, as specified in the table. Each IFI variant was re-standardized before analysis and entered into the same model framework as the primary IFI analysis. These analyses were used to assess whether the association between IFI and repeated FEV₁ was robust to alternative weighting schemes.</w:t>
      </w:r>
    </w:p>
    <w:p w14:paraId="11231F1C">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416EAC1">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1FB39E3A">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3A459C6">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A78E923">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9E129EB">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0F6E88E2">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5A2CA54A">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303CC64B">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433235B1">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30C91E8B">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0CDAF208">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62EA3893">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208A4778">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091B29EF">
      <w:pPr>
        <w:spacing w:before="0" w:after="0" w:line="240" w:lineRule="auto"/>
        <w:rPr>
          <w:rFonts w:hint="default" w:ascii="Times New Roman Regular" w:hAnsi="Times New Roman Regular" w:cs="Times New Roman Regular"/>
          <w:b/>
          <w:bCs/>
          <w:sz w:val="22"/>
          <w:szCs w:val="22"/>
          <w:lang w:val="en-US" w:eastAsia="zh-CN"/>
        </w:rPr>
      </w:pPr>
      <w:r>
        <w:rPr>
          <w:rFonts w:hint="default" w:ascii="Times New Roman Regular" w:hAnsi="Times New Roman Regular" w:cs="Times New Roman Regular"/>
          <w:b/>
          <w:bCs/>
          <w:sz w:val="22"/>
          <w:szCs w:val="22"/>
          <w:lang w:val="en-US" w:eastAsia="zh-CN"/>
        </w:rPr>
        <w:br w:type="page"/>
      </w:r>
    </w:p>
    <w:p w14:paraId="5EEC522B">
      <w:pPr>
        <w:pStyle w:val="2"/>
        <w:keepNext/>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S51. Robustness of alternative IFI constructions in any asthma-like symptom models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85"/>
        <w:gridCol w:w="3538"/>
        <w:gridCol w:w="3443"/>
      </w:tblGrid>
      <w:tr w14:paraId="17B4D80E">
        <w:trPr>
          <w:trHeight w:val="193" w:hRule="atLeast"/>
          <w:tblHeader/>
          <w:jc w:val="center"/>
        </w:trPr>
        <w:tc>
          <w:tcPr>
            <w:tcW w:w="257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9EB232C">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IFI construction</w:t>
            </w:r>
          </w:p>
        </w:tc>
        <w:tc>
          <w:tcPr>
            <w:tcW w:w="1231"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3EE469D5">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OR (95% CI)</w:t>
            </w:r>
          </w:p>
        </w:tc>
        <w:tc>
          <w:tcPr>
            <w:tcW w:w="1198"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C903CC7">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43210D05">
        <w:trPr>
          <w:trHeight w:val="193" w:hRule="atLeast"/>
          <w:jc w:val="center"/>
        </w:trPr>
        <w:tc>
          <w:tcPr>
            <w:tcW w:w="257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99D8EA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Equal-weight IFI</w:t>
            </w:r>
          </w:p>
        </w:tc>
        <w:tc>
          <w:tcPr>
            <w:tcW w:w="1231"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63BFDC9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1.01 (0.98, 1.11)</w:t>
            </w:r>
          </w:p>
        </w:tc>
        <w:tc>
          <w:tcPr>
            <w:tcW w:w="1198"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BC3E56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0.524</w:t>
            </w:r>
          </w:p>
        </w:tc>
      </w:tr>
      <w:tr w14:paraId="57144EEF">
        <w:trPr>
          <w:trHeight w:val="193" w:hRule="atLeast"/>
          <w:jc w:val="center"/>
        </w:trPr>
        <w:tc>
          <w:tcPr>
            <w:tcW w:w="2570" w:type="pct"/>
            <w:tcBorders>
              <w:top w:val="nil"/>
              <w:left w:val="nil"/>
              <w:bottom w:val="nil"/>
              <w:right w:val="nil"/>
            </w:tcBorders>
            <w:shd w:val="clear" w:color="auto" w:fill="FFFFFF"/>
            <w:tcMar>
              <w:top w:w="55" w:type="dxa"/>
              <w:left w:w="55" w:type="dxa"/>
              <w:bottom w:w="55" w:type="dxa"/>
              <w:right w:w="55" w:type="dxa"/>
            </w:tcMar>
            <w:vAlign w:val="center"/>
          </w:tcPr>
          <w:p w14:paraId="17FF464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PCA-weighted IFI</w:t>
            </w:r>
          </w:p>
        </w:tc>
        <w:tc>
          <w:tcPr>
            <w:tcW w:w="1231" w:type="pct"/>
            <w:tcBorders>
              <w:top w:val="nil"/>
              <w:left w:val="nil"/>
              <w:bottom w:val="nil"/>
              <w:right w:val="nil"/>
            </w:tcBorders>
            <w:shd w:val="clear" w:color="auto" w:fill="FFFFFF"/>
            <w:tcMar>
              <w:top w:w="55" w:type="dxa"/>
              <w:left w:w="55" w:type="dxa"/>
              <w:bottom w:w="55" w:type="dxa"/>
              <w:right w:w="55" w:type="dxa"/>
            </w:tcMar>
            <w:vAlign w:val="center"/>
          </w:tcPr>
          <w:p w14:paraId="2A2A48E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1.02 (0.98, 1.11)</w:t>
            </w:r>
          </w:p>
        </w:tc>
        <w:tc>
          <w:tcPr>
            <w:tcW w:w="1198" w:type="pct"/>
            <w:tcBorders>
              <w:top w:val="nil"/>
              <w:left w:val="nil"/>
              <w:bottom w:val="nil"/>
              <w:right w:val="nil"/>
            </w:tcBorders>
            <w:shd w:val="clear" w:color="auto" w:fill="FFFFFF"/>
            <w:tcMar>
              <w:top w:w="55" w:type="dxa"/>
              <w:left w:w="55" w:type="dxa"/>
              <w:bottom w:w="55" w:type="dxa"/>
              <w:right w:w="55" w:type="dxa"/>
            </w:tcMar>
            <w:vAlign w:val="center"/>
          </w:tcPr>
          <w:p w14:paraId="15068EF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0.46</w:t>
            </w:r>
          </w:p>
        </w:tc>
      </w:tr>
      <w:tr w14:paraId="117377E5">
        <w:trPr>
          <w:trHeight w:val="193" w:hRule="atLeast"/>
          <w:jc w:val="center"/>
        </w:trPr>
        <w:tc>
          <w:tcPr>
            <w:tcW w:w="2570" w:type="pct"/>
            <w:tcBorders>
              <w:top w:val="nil"/>
              <w:left w:val="nil"/>
              <w:bottom w:val="nil"/>
              <w:right w:val="nil"/>
            </w:tcBorders>
            <w:shd w:val="clear" w:color="auto" w:fill="FFFFFF"/>
            <w:tcMar>
              <w:top w:w="55" w:type="dxa"/>
              <w:left w:w="55" w:type="dxa"/>
              <w:bottom w:w="55" w:type="dxa"/>
              <w:right w:w="55" w:type="dxa"/>
            </w:tcMar>
            <w:vAlign w:val="center"/>
          </w:tcPr>
          <w:p w14:paraId="3E562E4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Leave-one-out IFI</w:t>
            </w:r>
          </w:p>
        </w:tc>
        <w:tc>
          <w:tcPr>
            <w:tcW w:w="1231" w:type="pct"/>
            <w:tcBorders>
              <w:top w:val="nil"/>
              <w:left w:val="nil"/>
              <w:bottom w:val="nil"/>
              <w:right w:val="nil"/>
            </w:tcBorders>
            <w:shd w:val="clear" w:color="auto" w:fill="FFFFFF"/>
            <w:tcMar>
              <w:top w:w="55" w:type="dxa"/>
              <w:left w:w="55" w:type="dxa"/>
              <w:bottom w:w="55" w:type="dxa"/>
              <w:right w:w="55" w:type="dxa"/>
            </w:tcMar>
            <w:vAlign w:val="center"/>
          </w:tcPr>
          <w:p w14:paraId="494640F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1.01 (0.98, 1.11)</w:t>
            </w:r>
          </w:p>
        </w:tc>
        <w:tc>
          <w:tcPr>
            <w:tcW w:w="1198" w:type="pct"/>
            <w:tcBorders>
              <w:top w:val="nil"/>
              <w:left w:val="nil"/>
              <w:bottom w:val="nil"/>
              <w:right w:val="nil"/>
            </w:tcBorders>
            <w:shd w:val="clear" w:color="auto" w:fill="FFFFFF"/>
            <w:tcMar>
              <w:top w:w="55" w:type="dxa"/>
              <w:left w:w="55" w:type="dxa"/>
              <w:bottom w:w="55" w:type="dxa"/>
              <w:right w:w="55" w:type="dxa"/>
            </w:tcMar>
            <w:vAlign w:val="center"/>
          </w:tcPr>
          <w:p w14:paraId="5945DFF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0.529</w:t>
            </w:r>
          </w:p>
        </w:tc>
      </w:tr>
      <w:tr w14:paraId="0AA7FA4C">
        <w:trPr>
          <w:trHeight w:val="193" w:hRule="atLeast"/>
          <w:jc w:val="center"/>
        </w:trPr>
        <w:tc>
          <w:tcPr>
            <w:tcW w:w="257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4C7439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β-weighted IFI</w:t>
            </w:r>
          </w:p>
        </w:tc>
        <w:tc>
          <w:tcPr>
            <w:tcW w:w="1231"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A92C4E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1.02 (0.98, 1.11)</w:t>
            </w:r>
          </w:p>
        </w:tc>
        <w:tc>
          <w:tcPr>
            <w:tcW w:w="1198"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72F2AC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0.416</w:t>
            </w:r>
          </w:p>
        </w:tc>
      </w:tr>
    </w:tbl>
    <w:p w14:paraId="7398F5C6">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sz w:val="20"/>
          <w:szCs w:val="22"/>
          <w:lang w:val="en-US" w:eastAsia="zh-CN"/>
        </w:rPr>
        <w:t>Odds ratios (ORs), 95% confidence intervals (CIs), and P values are shown from models evaluating alternative constructions of the iron fragility index (IFI) in relation to any asthma-like symptom. Alternative IFI variants included the equal-weight IFI, PCA-weighted IFI, leave-one-out IFI, and β-weighted IFI, as specified in the table. Each IFI variant was re-standardized before analysis and entered into the same model framework as the primary IFI symptom analysis. These analyses were used to assess whether the symptom-related findings were materially affected by the choice of IFI weighting scheme.</w:t>
      </w:r>
    </w:p>
    <w:p w14:paraId="78F95C19">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FC0C746">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83E4AD7">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A3F1D14">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7693ECD">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19AA083">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25DF94F">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0CDF9DD2">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746ED00">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C33DE57">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A2BFC47">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CEF7C82">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0C72700">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4574031">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25B824FB">
      <w:pPr>
        <w:spacing w:before="0" w:after="0" w:line="240" w:lineRule="auto"/>
        <w:rPr>
          <w:rFonts w:hint="default" w:ascii="Times New Roman Regular" w:hAnsi="Times New Roman Regular" w:cs="Times New Roman Regular"/>
          <w:b/>
          <w:bCs/>
          <w:sz w:val="22"/>
          <w:szCs w:val="22"/>
          <w:lang w:val="en-US" w:eastAsia="zh-CN"/>
        </w:rPr>
      </w:pPr>
      <w:r>
        <w:rPr>
          <w:rFonts w:hint="default" w:ascii="Times New Roman Regular" w:hAnsi="Times New Roman Regular" w:cs="Times New Roman Regular"/>
          <w:b/>
          <w:bCs/>
          <w:sz w:val="22"/>
          <w:szCs w:val="22"/>
          <w:lang w:val="en-US" w:eastAsia="zh-CN"/>
        </w:rPr>
        <w:br w:type="page"/>
      </w:r>
    </w:p>
    <w:p w14:paraId="63BB5893">
      <w:pPr>
        <w:pStyle w:val="2"/>
        <w:keepNext/>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S52. Baseline comparison of included versus excluded participants in the primary complete-case analyses</w:t>
      </w:r>
    </w:p>
    <w:p w14:paraId="3BEDD246">
      <w:pPr>
        <w:tabs>
          <w:tab w:val="left" w:pos="1206"/>
        </w:tabs>
        <w:bidi w:val="0"/>
        <w:spacing w:before="0" w:after="120" w:line="240" w:lineRule="auto"/>
        <w:jc w:val="left"/>
        <w:rPr>
          <w:rFonts w:hint="default" w:ascii="Times New Roman Regular" w:hAnsi="Times New Roman Regular" w:eastAsia="宋体" w:cs="Times New Roman Regular"/>
          <w:b/>
          <w:bCs/>
          <w:kern w:val="0"/>
          <w:sz w:val="22"/>
          <w:szCs w:val="22"/>
          <w:lang w:val="en-US" w:eastAsia="zh-CN" w:bidi="ar"/>
        </w:rPr>
      </w:pPr>
      <w:r>
        <w:rPr>
          <w:rFonts w:hint="default" w:ascii="Times New Roman" w:hAnsi="Times New Roman" w:eastAsia="Times New Roman" w:cs="Times New Roman Regular"/>
          <w:b/>
          <w:bCs/>
          <w:sz w:val="20"/>
          <w:szCs w:val="22"/>
          <w:lang w:val="en-US" w:eastAsia="zh-CN"/>
        </w:rPr>
        <w:t xml:space="preserve">Panel A. IFI → </w:t>
      </w:r>
      <w:r>
        <w:rPr>
          <w:rFonts w:hint="default" w:ascii="Times New Roman" w:hAnsi="Times New Roman" w:eastAsia="Times New Roman" w:cs="Times New Roman Regular"/>
          <w:sz w:val="20"/>
          <w:szCs w:val="22"/>
          <w:lang w:val="en-US" w:eastAsia="zh-CN"/>
        </w:rPr>
        <w:t>FEV₁</w:t>
      </w:r>
      <w:r>
        <w:rPr>
          <w:rFonts w:hint="default" w:ascii="Times New Roman" w:hAnsi="Times New Roman" w:eastAsia="Times New Roman" w:cs="Times New Roman Regular"/>
          <w:b/>
          <w:bCs/>
          <w:sz w:val="20"/>
          <w:szCs w:val="22"/>
          <w:lang w:val="en-US" w:eastAsia="zh-CN"/>
        </w:rPr>
        <w:t xml:space="preserve"> and ferritin CV → </w:t>
      </w:r>
      <w:r>
        <w:rPr>
          <w:rFonts w:hint="default" w:ascii="Times New Roman" w:hAnsi="Times New Roman" w:eastAsia="Times New Roman" w:cs="Times New Roman Regular"/>
          <w:sz w:val="20"/>
          <w:szCs w:val="22"/>
          <w:lang w:val="en-US" w:eastAsia="zh-CN"/>
        </w:rPr>
        <w:t>FEV₁</w:t>
      </w:r>
      <w:r>
        <w:rPr>
          <w:rFonts w:hint="default" w:ascii="Times New Roman" w:hAnsi="Times New Roman" w:eastAsia="Times New Roman" w:cs="Times New Roman Regular"/>
          <w:b/>
          <w:bCs/>
          <w:sz w:val="20"/>
          <w:szCs w:val="22"/>
          <w:lang w:val="en-US" w:eastAsia="zh-CN"/>
        </w:rPr>
        <w:t xml:space="preserve"> analyses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18"/>
        <w:gridCol w:w="3596"/>
        <w:gridCol w:w="3383"/>
        <w:gridCol w:w="2869"/>
      </w:tblGrid>
      <w:tr w14:paraId="5304BE84">
        <w:trPr>
          <w:trHeight w:val="193" w:hRule="atLeast"/>
          <w:tblHeader/>
          <w:jc w:val="center"/>
        </w:trPr>
        <w:tc>
          <w:tcPr>
            <w:tcW w:w="1572"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39124815">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Variable</w:t>
            </w:r>
          </w:p>
        </w:tc>
        <w:tc>
          <w:tcPr>
            <w:tcW w:w="1251"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698DBF9B">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Excluded</w:t>
            </w:r>
          </w:p>
        </w:tc>
        <w:tc>
          <w:tcPr>
            <w:tcW w:w="1177"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66E2E515">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Included</w:t>
            </w:r>
          </w:p>
        </w:tc>
        <w:tc>
          <w:tcPr>
            <w:tcW w:w="998"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B116467">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400725BF">
        <w:trPr>
          <w:trHeight w:val="193" w:hRule="atLeast"/>
          <w:jc w:val="center"/>
        </w:trPr>
        <w:tc>
          <w:tcPr>
            <w:tcW w:w="1572"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A50E96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Age</w:t>
            </w:r>
          </w:p>
        </w:tc>
        <w:tc>
          <w:tcPr>
            <w:tcW w:w="1251"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6730C8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66.04 (11.41)</w:t>
            </w:r>
          </w:p>
        </w:tc>
        <w:tc>
          <w:tcPr>
            <w:tcW w:w="1177"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187B3A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64.09 (8.53)</w:t>
            </w:r>
          </w:p>
        </w:tc>
        <w:tc>
          <w:tcPr>
            <w:tcW w:w="998"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6BDD74E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0.001</w:t>
            </w:r>
          </w:p>
        </w:tc>
      </w:tr>
      <w:tr w14:paraId="03C2F68E">
        <w:trPr>
          <w:trHeight w:val="193" w:hRule="atLeast"/>
          <w:jc w:val="center"/>
        </w:trPr>
        <w:tc>
          <w:tcPr>
            <w:tcW w:w="1572" w:type="pct"/>
            <w:tcBorders>
              <w:top w:val="nil"/>
              <w:left w:val="nil"/>
              <w:bottom w:val="nil"/>
              <w:right w:val="nil"/>
            </w:tcBorders>
            <w:shd w:val="clear" w:color="auto" w:fill="FFFFFF"/>
            <w:tcMar>
              <w:top w:w="55" w:type="dxa"/>
              <w:left w:w="55" w:type="dxa"/>
              <w:bottom w:w="55" w:type="dxa"/>
              <w:right w:w="55" w:type="dxa"/>
            </w:tcMar>
            <w:vAlign w:val="center"/>
          </w:tcPr>
          <w:p w14:paraId="1B499D8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Body mass index (BMI)</w:t>
            </w:r>
          </w:p>
        </w:tc>
        <w:tc>
          <w:tcPr>
            <w:tcW w:w="1251" w:type="pct"/>
            <w:tcBorders>
              <w:top w:val="nil"/>
              <w:left w:val="nil"/>
              <w:bottom w:val="nil"/>
              <w:right w:val="nil"/>
            </w:tcBorders>
            <w:shd w:val="clear" w:color="auto" w:fill="FFFFFF"/>
            <w:tcMar>
              <w:top w:w="55" w:type="dxa"/>
              <w:left w:w="55" w:type="dxa"/>
              <w:bottom w:w="55" w:type="dxa"/>
              <w:right w:w="55" w:type="dxa"/>
            </w:tcMar>
            <w:vAlign w:val="center"/>
          </w:tcPr>
          <w:p w14:paraId="755D5D4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28.73 (5.56)</w:t>
            </w:r>
          </w:p>
        </w:tc>
        <w:tc>
          <w:tcPr>
            <w:tcW w:w="1177" w:type="pct"/>
            <w:tcBorders>
              <w:top w:val="nil"/>
              <w:left w:val="nil"/>
              <w:bottom w:val="nil"/>
              <w:right w:val="nil"/>
            </w:tcBorders>
            <w:shd w:val="clear" w:color="auto" w:fill="FFFFFF"/>
            <w:tcMar>
              <w:top w:w="55" w:type="dxa"/>
              <w:left w:w="55" w:type="dxa"/>
              <w:bottom w:w="55" w:type="dxa"/>
              <w:right w:w="55" w:type="dxa"/>
            </w:tcMar>
            <w:vAlign w:val="center"/>
          </w:tcPr>
          <w:p w14:paraId="6743A5E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28.35 (5.31)</w:t>
            </w:r>
          </w:p>
        </w:tc>
        <w:tc>
          <w:tcPr>
            <w:tcW w:w="998" w:type="pct"/>
            <w:tcBorders>
              <w:top w:val="nil"/>
              <w:left w:val="nil"/>
              <w:bottom w:val="nil"/>
              <w:right w:val="nil"/>
            </w:tcBorders>
            <w:shd w:val="clear" w:color="auto" w:fill="FFFFFF"/>
            <w:tcMar>
              <w:top w:w="55" w:type="dxa"/>
              <w:left w:w="55" w:type="dxa"/>
              <w:bottom w:w="55" w:type="dxa"/>
              <w:right w:w="55" w:type="dxa"/>
            </w:tcMar>
            <w:vAlign w:val="center"/>
          </w:tcPr>
          <w:p w14:paraId="04508A1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0.311</w:t>
            </w:r>
          </w:p>
        </w:tc>
      </w:tr>
      <w:tr w14:paraId="406C5D87">
        <w:trPr>
          <w:trHeight w:val="193" w:hRule="atLeast"/>
          <w:jc w:val="center"/>
        </w:trPr>
        <w:tc>
          <w:tcPr>
            <w:tcW w:w="1572" w:type="pct"/>
            <w:tcBorders>
              <w:top w:val="nil"/>
              <w:left w:val="nil"/>
              <w:bottom w:val="nil"/>
              <w:right w:val="nil"/>
            </w:tcBorders>
            <w:shd w:val="clear" w:color="auto" w:fill="FFFFFF"/>
            <w:tcMar>
              <w:top w:w="55" w:type="dxa"/>
              <w:left w:w="55" w:type="dxa"/>
              <w:bottom w:w="55" w:type="dxa"/>
              <w:right w:w="55" w:type="dxa"/>
            </w:tcMar>
            <w:vAlign w:val="center"/>
          </w:tcPr>
          <w:p w14:paraId="77B349E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log(CRP)</w:t>
            </w:r>
          </w:p>
        </w:tc>
        <w:tc>
          <w:tcPr>
            <w:tcW w:w="1251" w:type="pct"/>
            <w:tcBorders>
              <w:top w:val="nil"/>
              <w:left w:val="nil"/>
              <w:bottom w:val="nil"/>
              <w:right w:val="nil"/>
            </w:tcBorders>
            <w:shd w:val="clear" w:color="auto" w:fill="FFFFFF"/>
            <w:tcMar>
              <w:top w:w="55" w:type="dxa"/>
              <w:left w:w="55" w:type="dxa"/>
              <w:bottom w:w="55" w:type="dxa"/>
              <w:right w:w="55" w:type="dxa"/>
            </w:tcMar>
            <w:vAlign w:val="center"/>
          </w:tcPr>
          <w:p w14:paraId="37B1675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1.67 (1.67)</w:t>
            </w:r>
          </w:p>
        </w:tc>
        <w:tc>
          <w:tcPr>
            <w:tcW w:w="1177" w:type="pct"/>
            <w:tcBorders>
              <w:top w:val="nil"/>
              <w:left w:val="nil"/>
              <w:bottom w:val="nil"/>
              <w:right w:val="nil"/>
            </w:tcBorders>
            <w:shd w:val="clear" w:color="auto" w:fill="FFFFFF"/>
            <w:tcMar>
              <w:top w:w="55" w:type="dxa"/>
              <w:left w:w="55" w:type="dxa"/>
              <w:bottom w:w="55" w:type="dxa"/>
              <w:right w:w="55" w:type="dxa"/>
            </w:tcMar>
            <w:vAlign w:val="center"/>
          </w:tcPr>
          <w:p w14:paraId="63363E7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1.30 (1.57)</w:t>
            </w:r>
          </w:p>
        </w:tc>
        <w:tc>
          <w:tcPr>
            <w:tcW w:w="998" w:type="pct"/>
            <w:tcBorders>
              <w:top w:val="nil"/>
              <w:left w:val="nil"/>
              <w:bottom w:val="nil"/>
              <w:right w:val="nil"/>
            </w:tcBorders>
            <w:shd w:val="clear" w:color="auto" w:fill="FFFFFF"/>
            <w:tcMar>
              <w:top w:w="55" w:type="dxa"/>
              <w:left w:w="55" w:type="dxa"/>
              <w:bottom w:w="55" w:type="dxa"/>
              <w:right w:w="55" w:type="dxa"/>
            </w:tcMar>
            <w:vAlign w:val="center"/>
          </w:tcPr>
          <w:p w14:paraId="430E0D9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0.004</w:t>
            </w:r>
          </w:p>
        </w:tc>
      </w:tr>
      <w:tr w14:paraId="1B14C628">
        <w:trPr>
          <w:trHeight w:val="193" w:hRule="atLeast"/>
          <w:jc w:val="center"/>
        </w:trPr>
        <w:tc>
          <w:tcPr>
            <w:tcW w:w="1572" w:type="pct"/>
            <w:tcBorders>
              <w:top w:val="nil"/>
              <w:left w:val="nil"/>
              <w:bottom w:val="nil"/>
              <w:right w:val="nil"/>
            </w:tcBorders>
            <w:shd w:val="clear" w:color="auto" w:fill="FFFFFF"/>
            <w:tcMar>
              <w:top w:w="55" w:type="dxa"/>
              <w:left w:w="55" w:type="dxa"/>
              <w:bottom w:w="55" w:type="dxa"/>
              <w:right w:w="55" w:type="dxa"/>
            </w:tcMar>
            <w:vAlign w:val="center"/>
          </w:tcPr>
          <w:p w14:paraId="2EBA433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Hemoglobin</w:t>
            </w:r>
          </w:p>
        </w:tc>
        <w:tc>
          <w:tcPr>
            <w:tcW w:w="1251" w:type="pct"/>
            <w:tcBorders>
              <w:top w:val="nil"/>
              <w:left w:val="nil"/>
              <w:bottom w:val="nil"/>
              <w:right w:val="nil"/>
            </w:tcBorders>
            <w:shd w:val="clear" w:color="auto" w:fill="FFFFFF"/>
            <w:tcMar>
              <w:top w:w="55" w:type="dxa"/>
              <w:left w:w="55" w:type="dxa"/>
              <w:bottom w:w="55" w:type="dxa"/>
              <w:right w:w="55" w:type="dxa"/>
            </w:tcMar>
            <w:vAlign w:val="center"/>
          </w:tcPr>
          <w:p w14:paraId="617D260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14.11 (1.47)</w:t>
            </w:r>
          </w:p>
        </w:tc>
        <w:tc>
          <w:tcPr>
            <w:tcW w:w="1177" w:type="pct"/>
            <w:tcBorders>
              <w:top w:val="nil"/>
              <w:left w:val="nil"/>
              <w:bottom w:val="nil"/>
              <w:right w:val="nil"/>
            </w:tcBorders>
            <w:shd w:val="clear" w:color="auto" w:fill="FFFFFF"/>
            <w:tcMar>
              <w:top w:w="55" w:type="dxa"/>
              <w:left w:w="55" w:type="dxa"/>
              <w:bottom w:w="55" w:type="dxa"/>
              <w:right w:w="55" w:type="dxa"/>
            </w:tcMar>
            <w:vAlign w:val="center"/>
          </w:tcPr>
          <w:p w14:paraId="2DB67D3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14.32 (1.29)</w:t>
            </w:r>
          </w:p>
        </w:tc>
        <w:tc>
          <w:tcPr>
            <w:tcW w:w="998" w:type="pct"/>
            <w:tcBorders>
              <w:top w:val="nil"/>
              <w:left w:val="nil"/>
              <w:bottom w:val="nil"/>
              <w:right w:val="nil"/>
            </w:tcBorders>
            <w:shd w:val="clear" w:color="auto" w:fill="FFFFFF"/>
            <w:tcMar>
              <w:top w:w="55" w:type="dxa"/>
              <w:left w:w="55" w:type="dxa"/>
              <w:bottom w:w="55" w:type="dxa"/>
              <w:right w:w="55" w:type="dxa"/>
            </w:tcMar>
            <w:vAlign w:val="center"/>
          </w:tcPr>
          <w:p w14:paraId="7DB5022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0.053</w:t>
            </w:r>
          </w:p>
        </w:tc>
      </w:tr>
      <w:tr w14:paraId="485C1230">
        <w:trPr>
          <w:trHeight w:val="193" w:hRule="atLeast"/>
          <w:jc w:val="center"/>
        </w:trPr>
        <w:tc>
          <w:tcPr>
            <w:tcW w:w="1572" w:type="pct"/>
            <w:tcBorders>
              <w:top w:val="nil"/>
              <w:left w:val="nil"/>
              <w:bottom w:val="nil"/>
              <w:right w:val="nil"/>
            </w:tcBorders>
            <w:shd w:val="clear" w:color="auto" w:fill="FFFFFF"/>
            <w:tcMar>
              <w:top w:w="55" w:type="dxa"/>
              <w:left w:w="55" w:type="dxa"/>
              <w:bottom w:w="55" w:type="dxa"/>
              <w:right w:w="55" w:type="dxa"/>
            </w:tcMar>
            <w:vAlign w:val="center"/>
          </w:tcPr>
          <w:p w14:paraId="18E0B28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Baseline </w:t>
            </w:r>
            <w:r>
              <w:rPr>
                <w:rFonts w:hint="default" w:ascii="Times New Roman" w:hAnsi="Times New Roman" w:eastAsia="Times New Roman" w:cs="Times New Roman Regular"/>
                <w:sz w:val="17"/>
                <w:szCs w:val="22"/>
                <w:lang w:val="en-US" w:eastAsia="zh-CN"/>
              </w:rPr>
              <w:t>FEV₁</w:t>
            </w:r>
          </w:p>
        </w:tc>
        <w:tc>
          <w:tcPr>
            <w:tcW w:w="1251" w:type="pct"/>
            <w:tcBorders>
              <w:top w:val="nil"/>
              <w:left w:val="nil"/>
              <w:bottom w:val="nil"/>
              <w:right w:val="nil"/>
            </w:tcBorders>
            <w:shd w:val="clear" w:color="auto" w:fill="FFFFFF"/>
            <w:tcMar>
              <w:top w:w="55" w:type="dxa"/>
              <w:left w:w="55" w:type="dxa"/>
              <w:bottom w:w="55" w:type="dxa"/>
              <w:right w:w="55" w:type="dxa"/>
            </w:tcMar>
            <w:vAlign w:val="center"/>
          </w:tcPr>
          <w:p w14:paraId="4C685CA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1.82 (0.83)</w:t>
            </w:r>
          </w:p>
        </w:tc>
        <w:tc>
          <w:tcPr>
            <w:tcW w:w="1177" w:type="pct"/>
            <w:tcBorders>
              <w:top w:val="nil"/>
              <w:left w:val="nil"/>
              <w:bottom w:val="nil"/>
              <w:right w:val="nil"/>
            </w:tcBorders>
            <w:shd w:val="clear" w:color="auto" w:fill="FFFFFF"/>
            <w:tcMar>
              <w:top w:w="55" w:type="dxa"/>
              <w:left w:w="55" w:type="dxa"/>
              <w:bottom w:w="55" w:type="dxa"/>
              <w:right w:w="55" w:type="dxa"/>
            </w:tcMar>
            <w:vAlign w:val="center"/>
          </w:tcPr>
          <w:p w14:paraId="05E7B46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2.08 (0.77)</w:t>
            </w:r>
          </w:p>
        </w:tc>
        <w:tc>
          <w:tcPr>
            <w:tcW w:w="998" w:type="pct"/>
            <w:tcBorders>
              <w:top w:val="nil"/>
              <w:left w:val="nil"/>
              <w:bottom w:val="nil"/>
              <w:right w:val="nil"/>
            </w:tcBorders>
            <w:shd w:val="clear" w:color="auto" w:fill="FFFFFF"/>
            <w:tcMar>
              <w:top w:w="55" w:type="dxa"/>
              <w:left w:w="55" w:type="dxa"/>
              <w:bottom w:w="55" w:type="dxa"/>
              <w:right w:w="55" w:type="dxa"/>
            </w:tcMar>
            <w:vAlign w:val="center"/>
          </w:tcPr>
          <w:p w14:paraId="5E3DF1D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&lt;0.001</w:t>
            </w:r>
          </w:p>
        </w:tc>
      </w:tr>
      <w:tr w14:paraId="61132DF4">
        <w:trPr>
          <w:trHeight w:val="193" w:hRule="atLeast"/>
          <w:jc w:val="center"/>
        </w:trPr>
        <w:tc>
          <w:tcPr>
            <w:tcW w:w="1572" w:type="pct"/>
            <w:tcBorders>
              <w:top w:val="nil"/>
              <w:left w:val="nil"/>
              <w:bottom w:val="nil"/>
              <w:right w:val="nil"/>
            </w:tcBorders>
            <w:shd w:val="clear" w:color="auto" w:fill="FFFFFF"/>
            <w:tcMar>
              <w:top w:w="55" w:type="dxa"/>
              <w:left w:w="55" w:type="dxa"/>
              <w:bottom w:w="55" w:type="dxa"/>
              <w:right w:w="55" w:type="dxa"/>
            </w:tcMar>
            <w:vAlign w:val="center"/>
          </w:tcPr>
          <w:p w14:paraId="7DD7A14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w:t>
            </w:r>
          </w:p>
        </w:tc>
        <w:tc>
          <w:tcPr>
            <w:tcW w:w="1251" w:type="pct"/>
            <w:tcBorders>
              <w:top w:val="nil"/>
              <w:left w:val="nil"/>
              <w:bottom w:val="nil"/>
              <w:right w:val="nil"/>
            </w:tcBorders>
            <w:shd w:val="clear" w:color="auto" w:fill="FFFFFF"/>
            <w:tcMar>
              <w:top w:w="55" w:type="dxa"/>
              <w:left w:w="55" w:type="dxa"/>
              <w:bottom w:w="55" w:type="dxa"/>
              <w:right w:w="55" w:type="dxa"/>
            </w:tcMar>
            <w:vAlign w:val="center"/>
          </w:tcPr>
          <w:p w14:paraId="426DF8D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108.99 (97.57)</w:t>
            </w:r>
          </w:p>
        </w:tc>
        <w:tc>
          <w:tcPr>
            <w:tcW w:w="1177" w:type="pct"/>
            <w:tcBorders>
              <w:top w:val="nil"/>
              <w:left w:val="nil"/>
              <w:bottom w:val="nil"/>
              <w:right w:val="nil"/>
            </w:tcBorders>
            <w:shd w:val="clear" w:color="auto" w:fill="FFFFFF"/>
            <w:tcMar>
              <w:top w:w="55" w:type="dxa"/>
              <w:left w:w="55" w:type="dxa"/>
              <w:bottom w:w="55" w:type="dxa"/>
              <w:right w:w="55" w:type="dxa"/>
            </w:tcMar>
            <w:vAlign w:val="center"/>
          </w:tcPr>
          <w:p w14:paraId="467A768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105.72 (87.64)</w:t>
            </w:r>
          </w:p>
        </w:tc>
        <w:tc>
          <w:tcPr>
            <w:tcW w:w="998" w:type="pct"/>
            <w:tcBorders>
              <w:top w:val="nil"/>
              <w:left w:val="nil"/>
              <w:bottom w:val="nil"/>
              <w:right w:val="nil"/>
            </w:tcBorders>
            <w:shd w:val="clear" w:color="auto" w:fill="FFFFFF"/>
            <w:tcMar>
              <w:top w:w="55" w:type="dxa"/>
              <w:left w:w="55" w:type="dxa"/>
              <w:bottom w:w="55" w:type="dxa"/>
              <w:right w:w="55" w:type="dxa"/>
            </w:tcMar>
            <w:vAlign w:val="center"/>
          </w:tcPr>
          <w:p w14:paraId="066B5ED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0.645</w:t>
            </w:r>
          </w:p>
        </w:tc>
      </w:tr>
      <w:tr w14:paraId="0E631AEB">
        <w:trPr>
          <w:trHeight w:val="193" w:hRule="atLeast"/>
          <w:jc w:val="center"/>
        </w:trPr>
        <w:tc>
          <w:tcPr>
            <w:tcW w:w="1572" w:type="pct"/>
            <w:tcBorders>
              <w:top w:val="nil"/>
              <w:left w:val="nil"/>
              <w:bottom w:val="nil"/>
              <w:right w:val="nil"/>
            </w:tcBorders>
            <w:shd w:val="clear" w:color="auto" w:fill="FFFFFF"/>
            <w:tcMar>
              <w:top w:w="55" w:type="dxa"/>
              <w:left w:w="55" w:type="dxa"/>
              <w:bottom w:w="55" w:type="dxa"/>
              <w:right w:w="55" w:type="dxa"/>
            </w:tcMar>
            <w:vAlign w:val="center"/>
          </w:tcPr>
          <w:p w14:paraId="20CB86E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Iron fragility index</w:t>
            </w:r>
          </w:p>
        </w:tc>
        <w:tc>
          <w:tcPr>
            <w:tcW w:w="1251" w:type="pct"/>
            <w:tcBorders>
              <w:top w:val="nil"/>
              <w:left w:val="nil"/>
              <w:bottom w:val="nil"/>
              <w:right w:val="nil"/>
            </w:tcBorders>
            <w:shd w:val="clear" w:color="auto" w:fill="FFFFFF"/>
            <w:tcMar>
              <w:top w:w="55" w:type="dxa"/>
              <w:left w:w="55" w:type="dxa"/>
              <w:bottom w:w="55" w:type="dxa"/>
              <w:right w:w="55" w:type="dxa"/>
            </w:tcMar>
            <w:vAlign w:val="center"/>
          </w:tcPr>
          <w:p w14:paraId="5B5CAEA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0.32 (1.39)</w:t>
            </w:r>
          </w:p>
        </w:tc>
        <w:tc>
          <w:tcPr>
            <w:tcW w:w="1177" w:type="pct"/>
            <w:tcBorders>
              <w:top w:val="nil"/>
              <w:left w:val="nil"/>
              <w:bottom w:val="nil"/>
              <w:right w:val="nil"/>
            </w:tcBorders>
            <w:shd w:val="clear" w:color="auto" w:fill="FFFFFF"/>
            <w:tcMar>
              <w:top w:w="55" w:type="dxa"/>
              <w:left w:w="55" w:type="dxa"/>
              <w:bottom w:w="55" w:type="dxa"/>
              <w:right w:w="55" w:type="dxa"/>
            </w:tcMar>
            <w:vAlign w:val="center"/>
          </w:tcPr>
          <w:p w14:paraId="473C57C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0.12 (2.04)</w:t>
            </w:r>
          </w:p>
        </w:tc>
        <w:tc>
          <w:tcPr>
            <w:tcW w:w="998" w:type="pct"/>
            <w:tcBorders>
              <w:top w:val="nil"/>
              <w:left w:val="nil"/>
              <w:bottom w:val="nil"/>
              <w:right w:val="nil"/>
            </w:tcBorders>
            <w:shd w:val="clear" w:color="auto" w:fill="FFFFFF"/>
            <w:tcMar>
              <w:top w:w="55" w:type="dxa"/>
              <w:left w:w="55" w:type="dxa"/>
              <w:bottom w:w="55" w:type="dxa"/>
              <w:right w:w="55" w:type="dxa"/>
            </w:tcMar>
            <w:vAlign w:val="center"/>
          </w:tcPr>
          <w:p w14:paraId="4AA2F15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0.785</w:t>
            </w:r>
          </w:p>
        </w:tc>
      </w:tr>
      <w:tr w14:paraId="701B0C1E">
        <w:trPr>
          <w:trHeight w:val="193" w:hRule="atLeast"/>
          <w:jc w:val="center"/>
        </w:trPr>
        <w:tc>
          <w:tcPr>
            <w:tcW w:w="1572" w:type="pct"/>
            <w:tcBorders>
              <w:top w:val="nil"/>
              <w:left w:val="nil"/>
              <w:bottom w:val="nil"/>
              <w:right w:val="nil"/>
            </w:tcBorders>
            <w:shd w:val="clear" w:color="auto" w:fill="FFFFFF"/>
            <w:tcMar>
              <w:top w:w="55" w:type="dxa"/>
              <w:left w:w="55" w:type="dxa"/>
              <w:bottom w:w="55" w:type="dxa"/>
              <w:right w:w="55" w:type="dxa"/>
            </w:tcMar>
            <w:vAlign w:val="center"/>
          </w:tcPr>
          <w:p w14:paraId="3F4F264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251" w:type="pct"/>
            <w:tcBorders>
              <w:top w:val="nil"/>
              <w:left w:val="nil"/>
              <w:bottom w:val="nil"/>
              <w:right w:val="nil"/>
            </w:tcBorders>
            <w:shd w:val="clear" w:color="auto" w:fill="FFFFFF"/>
            <w:tcMar>
              <w:top w:w="55" w:type="dxa"/>
              <w:left w:w="55" w:type="dxa"/>
              <w:bottom w:w="55" w:type="dxa"/>
              <w:right w:w="55" w:type="dxa"/>
            </w:tcMar>
            <w:vAlign w:val="center"/>
          </w:tcPr>
          <w:p w14:paraId="78515DC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0.32 (0.20)</w:t>
            </w:r>
          </w:p>
        </w:tc>
        <w:tc>
          <w:tcPr>
            <w:tcW w:w="1177" w:type="pct"/>
            <w:tcBorders>
              <w:top w:val="nil"/>
              <w:left w:val="nil"/>
              <w:bottom w:val="nil"/>
              <w:right w:val="nil"/>
            </w:tcBorders>
            <w:shd w:val="clear" w:color="auto" w:fill="FFFFFF"/>
            <w:tcMar>
              <w:top w:w="55" w:type="dxa"/>
              <w:left w:w="55" w:type="dxa"/>
              <w:bottom w:w="55" w:type="dxa"/>
              <w:right w:w="55" w:type="dxa"/>
            </w:tcMar>
            <w:vAlign w:val="center"/>
          </w:tcPr>
          <w:p w14:paraId="3B38883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0.35 (0.24)</w:t>
            </w:r>
          </w:p>
        </w:tc>
        <w:tc>
          <w:tcPr>
            <w:tcW w:w="998" w:type="pct"/>
            <w:tcBorders>
              <w:top w:val="nil"/>
              <w:left w:val="nil"/>
              <w:bottom w:val="nil"/>
              <w:right w:val="nil"/>
            </w:tcBorders>
            <w:shd w:val="clear" w:color="auto" w:fill="FFFFFF"/>
            <w:tcMar>
              <w:top w:w="55" w:type="dxa"/>
              <w:left w:w="55" w:type="dxa"/>
              <w:bottom w:w="55" w:type="dxa"/>
              <w:right w:w="55" w:type="dxa"/>
            </w:tcMar>
            <w:vAlign w:val="center"/>
          </w:tcPr>
          <w:p w14:paraId="0854A0F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0.651</w:t>
            </w:r>
          </w:p>
        </w:tc>
      </w:tr>
      <w:tr w14:paraId="27275DB0">
        <w:trPr>
          <w:trHeight w:val="193" w:hRule="atLeast"/>
          <w:jc w:val="center"/>
        </w:trPr>
        <w:tc>
          <w:tcPr>
            <w:tcW w:w="1572" w:type="pct"/>
            <w:tcBorders>
              <w:top w:val="nil"/>
              <w:left w:val="nil"/>
              <w:bottom w:val="nil"/>
              <w:right w:val="nil"/>
            </w:tcBorders>
            <w:shd w:val="clear" w:color="auto" w:fill="FFFFFF"/>
            <w:tcMar>
              <w:top w:w="55" w:type="dxa"/>
              <w:left w:w="55" w:type="dxa"/>
              <w:bottom w:w="55" w:type="dxa"/>
              <w:right w:w="55" w:type="dxa"/>
            </w:tcMar>
            <w:vAlign w:val="center"/>
          </w:tcPr>
          <w:p w14:paraId="09D3588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Female sex</w:t>
            </w:r>
          </w:p>
        </w:tc>
        <w:tc>
          <w:tcPr>
            <w:tcW w:w="1251" w:type="pct"/>
            <w:tcBorders>
              <w:top w:val="nil"/>
              <w:left w:val="nil"/>
              <w:bottom w:val="nil"/>
              <w:right w:val="nil"/>
            </w:tcBorders>
            <w:shd w:val="clear" w:color="auto" w:fill="FFFFFF"/>
            <w:tcMar>
              <w:top w:w="55" w:type="dxa"/>
              <w:left w:w="55" w:type="dxa"/>
              <w:bottom w:w="55" w:type="dxa"/>
              <w:right w:w="55" w:type="dxa"/>
            </w:tcMar>
            <w:vAlign w:val="center"/>
          </w:tcPr>
          <w:p w14:paraId="21371F1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377 (61.7%)</w:t>
            </w:r>
          </w:p>
        </w:tc>
        <w:tc>
          <w:tcPr>
            <w:tcW w:w="1177" w:type="pct"/>
            <w:tcBorders>
              <w:top w:val="nil"/>
              <w:left w:val="nil"/>
              <w:bottom w:val="nil"/>
              <w:right w:val="nil"/>
            </w:tcBorders>
            <w:shd w:val="clear" w:color="auto" w:fill="FFFFFF"/>
            <w:tcMar>
              <w:top w:w="55" w:type="dxa"/>
              <w:left w:w="55" w:type="dxa"/>
              <w:bottom w:w="55" w:type="dxa"/>
              <w:right w:w="55" w:type="dxa"/>
            </w:tcMar>
            <w:vAlign w:val="center"/>
          </w:tcPr>
          <w:p w14:paraId="6DEA75D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327 (61.5%)</w:t>
            </w:r>
          </w:p>
        </w:tc>
        <w:tc>
          <w:tcPr>
            <w:tcW w:w="998" w:type="pct"/>
            <w:tcBorders>
              <w:top w:val="nil"/>
              <w:left w:val="nil"/>
              <w:bottom w:val="nil"/>
              <w:right w:val="nil"/>
            </w:tcBorders>
            <w:shd w:val="clear" w:color="auto" w:fill="FFFFFF"/>
            <w:tcMar>
              <w:top w:w="55" w:type="dxa"/>
              <w:left w:w="55" w:type="dxa"/>
              <w:bottom w:w="55" w:type="dxa"/>
              <w:right w:w="55" w:type="dxa"/>
            </w:tcMar>
            <w:vAlign w:val="center"/>
          </w:tcPr>
          <w:p w14:paraId="17F66B6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0.983</w:t>
            </w:r>
          </w:p>
        </w:tc>
      </w:tr>
      <w:tr w14:paraId="348C0772">
        <w:trPr>
          <w:trHeight w:val="193" w:hRule="atLeast"/>
          <w:jc w:val="center"/>
        </w:trPr>
        <w:tc>
          <w:tcPr>
            <w:tcW w:w="1572" w:type="pct"/>
            <w:tcBorders>
              <w:top w:val="nil"/>
              <w:left w:val="nil"/>
              <w:bottom w:val="nil"/>
              <w:right w:val="nil"/>
            </w:tcBorders>
            <w:shd w:val="clear" w:color="auto" w:fill="FFFFFF"/>
            <w:tcMar>
              <w:top w:w="55" w:type="dxa"/>
              <w:left w:w="55" w:type="dxa"/>
              <w:bottom w:w="55" w:type="dxa"/>
              <w:right w:w="55" w:type="dxa"/>
            </w:tcMar>
            <w:vAlign w:val="center"/>
          </w:tcPr>
          <w:p w14:paraId="0E065CE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Current smoking</w:t>
            </w:r>
          </w:p>
        </w:tc>
        <w:tc>
          <w:tcPr>
            <w:tcW w:w="1251" w:type="pct"/>
            <w:tcBorders>
              <w:top w:val="nil"/>
              <w:left w:val="nil"/>
              <w:bottom w:val="nil"/>
              <w:right w:val="nil"/>
            </w:tcBorders>
            <w:shd w:val="clear" w:color="auto" w:fill="FFFFFF"/>
            <w:tcMar>
              <w:top w:w="55" w:type="dxa"/>
              <w:left w:w="55" w:type="dxa"/>
              <w:bottom w:w="55" w:type="dxa"/>
              <w:right w:w="55" w:type="dxa"/>
            </w:tcMar>
            <w:vAlign w:val="center"/>
          </w:tcPr>
          <w:p w14:paraId="533FFB2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413 (67.6%)</w:t>
            </w:r>
          </w:p>
        </w:tc>
        <w:tc>
          <w:tcPr>
            <w:tcW w:w="1177" w:type="pct"/>
            <w:tcBorders>
              <w:top w:val="nil"/>
              <w:left w:val="nil"/>
              <w:bottom w:val="nil"/>
              <w:right w:val="nil"/>
            </w:tcBorders>
            <w:shd w:val="clear" w:color="auto" w:fill="FFFFFF"/>
            <w:tcMar>
              <w:top w:w="55" w:type="dxa"/>
              <w:left w:w="55" w:type="dxa"/>
              <w:bottom w:w="55" w:type="dxa"/>
              <w:right w:w="55" w:type="dxa"/>
            </w:tcMar>
            <w:vAlign w:val="center"/>
          </w:tcPr>
          <w:p w14:paraId="53B2E0B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346 (65.0%)</w:t>
            </w:r>
          </w:p>
        </w:tc>
        <w:tc>
          <w:tcPr>
            <w:tcW w:w="998" w:type="pct"/>
            <w:tcBorders>
              <w:top w:val="nil"/>
              <w:left w:val="nil"/>
              <w:bottom w:val="nil"/>
              <w:right w:val="nil"/>
            </w:tcBorders>
            <w:shd w:val="clear" w:color="auto" w:fill="FFFFFF"/>
            <w:tcMar>
              <w:top w:w="55" w:type="dxa"/>
              <w:left w:w="55" w:type="dxa"/>
              <w:bottom w:w="55" w:type="dxa"/>
              <w:right w:w="55" w:type="dxa"/>
            </w:tcMar>
            <w:vAlign w:val="center"/>
          </w:tcPr>
          <w:p w14:paraId="5E9E22F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0.395</w:t>
            </w:r>
          </w:p>
        </w:tc>
      </w:tr>
      <w:tr w14:paraId="419A3E9A">
        <w:trPr>
          <w:trHeight w:val="193" w:hRule="atLeast"/>
          <w:jc w:val="center"/>
        </w:trPr>
        <w:tc>
          <w:tcPr>
            <w:tcW w:w="1572"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FEC3FF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Any asthma-like symptom</w:t>
            </w:r>
          </w:p>
        </w:tc>
        <w:tc>
          <w:tcPr>
            <w:tcW w:w="1251"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ED340A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425 (69.6%)</w:t>
            </w:r>
          </w:p>
        </w:tc>
        <w:tc>
          <w:tcPr>
            <w:tcW w:w="117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6583DB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368 (69.2%)</w:t>
            </w:r>
          </w:p>
        </w:tc>
        <w:tc>
          <w:tcPr>
            <w:tcW w:w="998"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9F72BD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0.939</w:t>
            </w:r>
          </w:p>
        </w:tc>
      </w:tr>
    </w:tbl>
    <w:p w14:paraId="16C5AFA6">
      <w:pPr>
        <w:keepNext w:val="0"/>
        <w:keepLines w:val="0"/>
        <w:widowControl/>
        <w:suppressLineNumbers w:val="0"/>
        <w:spacing w:before="0" w:after="0" w:line="240" w:lineRule="auto"/>
        <w:jc w:val="left"/>
        <w:rPr>
          <w:rFonts w:hint="default" w:ascii="Times New Roman Regular" w:hAnsi="Times New Roman Regular" w:eastAsia="宋体" w:cs="Times New Roman Regular"/>
          <w:b/>
          <w:bCs/>
          <w:kern w:val="0"/>
          <w:sz w:val="22"/>
          <w:szCs w:val="22"/>
          <w:lang w:val="en-US" w:eastAsia="zh-CN" w:bidi="ar"/>
        </w:rPr>
      </w:pPr>
    </w:p>
    <w:p w14:paraId="095EC955">
      <w:pPr>
        <w:keepNext w:val="0"/>
        <w:keepLines w:val="0"/>
        <w:widowControl/>
        <w:suppressLineNumbers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kern w:val="0"/>
          <w:sz w:val="20"/>
          <w:szCs w:val="22"/>
          <w:lang w:val="en-US" w:eastAsia="zh-CN" w:bidi="ar"/>
        </w:rPr>
        <w:t>Panel B. IFI → any asthma-like symptom analysis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18"/>
        <w:gridCol w:w="3596"/>
        <w:gridCol w:w="3383"/>
        <w:gridCol w:w="2869"/>
      </w:tblGrid>
      <w:tr w14:paraId="26DA9261">
        <w:trPr>
          <w:trHeight w:val="193" w:hRule="atLeast"/>
          <w:tblHeader/>
          <w:jc w:val="center"/>
        </w:trPr>
        <w:tc>
          <w:tcPr>
            <w:tcW w:w="1572"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25D6FE2">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Variable</w:t>
            </w:r>
          </w:p>
        </w:tc>
        <w:tc>
          <w:tcPr>
            <w:tcW w:w="1251"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A0D31BB">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Excluded</w:t>
            </w:r>
          </w:p>
        </w:tc>
        <w:tc>
          <w:tcPr>
            <w:tcW w:w="1177"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8CC8692">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Included</w:t>
            </w:r>
          </w:p>
        </w:tc>
        <w:tc>
          <w:tcPr>
            <w:tcW w:w="998"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049E853E">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4DCFFE23">
        <w:trPr>
          <w:trHeight w:val="193" w:hRule="atLeast"/>
          <w:jc w:val="center"/>
        </w:trPr>
        <w:tc>
          <w:tcPr>
            <w:tcW w:w="1572"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634FC2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Age</w:t>
            </w:r>
          </w:p>
        </w:tc>
        <w:tc>
          <w:tcPr>
            <w:tcW w:w="1251"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19DC1F8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66.11 (11.41)</w:t>
            </w:r>
          </w:p>
        </w:tc>
        <w:tc>
          <w:tcPr>
            <w:tcW w:w="1177"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2F0845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64.04 (8.55)</w:t>
            </w:r>
          </w:p>
        </w:tc>
        <w:tc>
          <w:tcPr>
            <w:tcW w:w="998"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D2DDB1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&lt;0.001</w:t>
            </w:r>
          </w:p>
        </w:tc>
      </w:tr>
      <w:tr w14:paraId="170DCEAF">
        <w:trPr>
          <w:trHeight w:val="193" w:hRule="atLeast"/>
          <w:jc w:val="center"/>
        </w:trPr>
        <w:tc>
          <w:tcPr>
            <w:tcW w:w="1572" w:type="pct"/>
            <w:tcBorders>
              <w:top w:val="nil"/>
              <w:left w:val="nil"/>
              <w:bottom w:val="nil"/>
              <w:right w:val="nil"/>
            </w:tcBorders>
            <w:shd w:val="clear" w:color="auto" w:fill="FFFFFF"/>
            <w:tcMar>
              <w:top w:w="55" w:type="dxa"/>
              <w:left w:w="55" w:type="dxa"/>
              <w:bottom w:w="55" w:type="dxa"/>
              <w:right w:w="55" w:type="dxa"/>
            </w:tcMar>
            <w:vAlign w:val="center"/>
          </w:tcPr>
          <w:p w14:paraId="5094062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Body mass index (BMI)</w:t>
            </w:r>
          </w:p>
        </w:tc>
        <w:tc>
          <w:tcPr>
            <w:tcW w:w="1251" w:type="pct"/>
            <w:tcBorders>
              <w:top w:val="nil"/>
              <w:left w:val="nil"/>
              <w:bottom w:val="nil"/>
              <w:right w:val="nil"/>
            </w:tcBorders>
            <w:shd w:val="clear" w:color="auto" w:fill="FFFFFF"/>
            <w:tcMar>
              <w:top w:w="55" w:type="dxa"/>
              <w:left w:w="55" w:type="dxa"/>
              <w:bottom w:w="55" w:type="dxa"/>
              <w:right w:w="55" w:type="dxa"/>
            </w:tcMar>
            <w:vAlign w:val="center"/>
          </w:tcPr>
          <w:p w14:paraId="32F9F50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28.73 (5.55)</w:t>
            </w:r>
          </w:p>
        </w:tc>
        <w:tc>
          <w:tcPr>
            <w:tcW w:w="1177" w:type="pct"/>
            <w:tcBorders>
              <w:top w:val="nil"/>
              <w:left w:val="nil"/>
              <w:bottom w:val="nil"/>
              <w:right w:val="nil"/>
            </w:tcBorders>
            <w:shd w:val="clear" w:color="auto" w:fill="FFFFFF"/>
            <w:tcMar>
              <w:top w:w="55" w:type="dxa"/>
              <w:left w:w="55" w:type="dxa"/>
              <w:bottom w:w="55" w:type="dxa"/>
              <w:right w:w="55" w:type="dxa"/>
            </w:tcMar>
            <w:vAlign w:val="center"/>
          </w:tcPr>
          <w:p w14:paraId="49E2CBD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28.36 (5.32)</w:t>
            </w:r>
          </w:p>
        </w:tc>
        <w:tc>
          <w:tcPr>
            <w:tcW w:w="998" w:type="pct"/>
            <w:tcBorders>
              <w:top w:val="nil"/>
              <w:left w:val="nil"/>
              <w:bottom w:val="nil"/>
              <w:right w:val="nil"/>
            </w:tcBorders>
            <w:shd w:val="clear" w:color="auto" w:fill="FFFFFF"/>
            <w:tcMar>
              <w:top w:w="55" w:type="dxa"/>
              <w:left w:w="55" w:type="dxa"/>
              <w:bottom w:w="55" w:type="dxa"/>
              <w:right w:w="55" w:type="dxa"/>
            </w:tcMar>
            <w:vAlign w:val="center"/>
          </w:tcPr>
          <w:p w14:paraId="6AD9DA4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0.312</w:t>
            </w:r>
          </w:p>
        </w:tc>
      </w:tr>
      <w:tr w14:paraId="7C1B23DE">
        <w:trPr>
          <w:trHeight w:val="193" w:hRule="atLeast"/>
          <w:jc w:val="center"/>
        </w:trPr>
        <w:tc>
          <w:tcPr>
            <w:tcW w:w="1572" w:type="pct"/>
            <w:tcBorders>
              <w:top w:val="nil"/>
              <w:left w:val="nil"/>
              <w:bottom w:val="nil"/>
              <w:right w:val="nil"/>
            </w:tcBorders>
            <w:shd w:val="clear" w:color="auto" w:fill="FFFFFF"/>
            <w:tcMar>
              <w:top w:w="55" w:type="dxa"/>
              <w:left w:w="55" w:type="dxa"/>
              <w:bottom w:w="55" w:type="dxa"/>
              <w:right w:w="55" w:type="dxa"/>
            </w:tcMar>
            <w:vAlign w:val="center"/>
          </w:tcPr>
          <w:p w14:paraId="2CA8411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log(CRP)</w:t>
            </w:r>
          </w:p>
        </w:tc>
        <w:tc>
          <w:tcPr>
            <w:tcW w:w="1251" w:type="pct"/>
            <w:tcBorders>
              <w:top w:val="nil"/>
              <w:left w:val="nil"/>
              <w:bottom w:val="nil"/>
              <w:right w:val="nil"/>
            </w:tcBorders>
            <w:shd w:val="clear" w:color="auto" w:fill="FFFFFF"/>
            <w:tcMar>
              <w:top w:w="55" w:type="dxa"/>
              <w:left w:w="55" w:type="dxa"/>
              <w:bottom w:w="55" w:type="dxa"/>
              <w:right w:w="55" w:type="dxa"/>
            </w:tcMar>
            <w:vAlign w:val="center"/>
          </w:tcPr>
          <w:p w14:paraId="03E07C6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1.67 (1.68)</w:t>
            </w:r>
          </w:p>
        </w:tc>
        <w:tc>
          <w:tcPr>
            <w:tcW w:w="1177" w:type="pct"/>
            <w:tcBorders>
              <w:top w:val="nil"/>
              <w:left w:val="nil"/>
              <w:bottom w:val="nil"/>
              <w:right w:val="nil"/>
            </w:tcBorders>
            <w:shd w:val="clear" w:color="auto" w:fill="FFFFFF"/>
            <w:tcMar>
              <w:top w:w="55" w:type="dxa"/>
              <w:left w:w="55" w:type="dxa"/>
              <w:bottom w:w="55" w:type="dxa"/>
              <w:right w:w="55" w:type="dxa"/>
            </w:tcMar>
            <w:vAlign w:val="center"/>
          </w:tcPr>
          <w:p w14:paraId="7A30CFB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1.31 (1.57)</w:t>
            </w:r>
          </w:p>
        </w:tc>
        <w:tc>
          <w:tcPr>
            <w:tcW w:w="998" w:type="pct"/>
            <w:tcBorders>
              <w:top w:val="nil"/>
              <w:left w:val="nil"/>
              <w:bottom w:val="nil"/>
              <w:right w:val="nil"/>
            </w:tcBorders>
            <w:shd w:val="clear" w:color="auto" w:fill="FFFFFF"/>
            <w:tcMar>
              <w:top w:w="55" w:type="dxa"/>
              <w:left w:w="55" w:type="dxa"/>
              <w:bottom w:w="55" w:type="dxa"/>
              <w:right w:w="55" w:type="dxa"/>
            </w:tcMar>
            <w:vAlign w:val="center"/>
          </w:tcPr>
          <w:p w14:paraId="4527D38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0.004</w:t>
            </w:r>
          </w:p>
        </w:tc>
      </w:tr>
      <w:tr w14:paraId="5DD6E043">
        <w:trPr>
          <w:trHeight w:val="193" w:hRule="atLeast"/>
          <w:jc w:val="center"/>
        </w:trPr>
        <w:tc>
          <w:tcPr>
            <w:tcW w:w="1572" w:type="pct"/>
            <w:tcBorders>
              <w:top w:val="nil"/>
              <w:left w:val="nil"/>
              <w:bottom w:val="nil"/>
              <w:right w:val="nil"/>
            </w:tcBorders>
            <w:shd w:val="clear" w:color="auto" w:fill="FFFFFF"/>
            <w:tcMar>
              <w:top w:w="55" w:type="dxa"/>
              <w:left w:w="55" w:type="dxa"/>
              <w:bottom w:w="55" w:type="dxa"/>
              <w:right w:w="55" w:type="dxa"/>
            </w:tcMar>
            <w:vAlign w:val="center"/>
          </w:tcPr>
          <w:p w14:paraId="2B57509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Hemoglobin</w:t>
            </w:r>
          </w:p>
        </w:tc>
        <w:tc>
          <w:tcPr>
            <w:tcW w:w="1251" w:type="pct"/>
            <w:tcBorders>
              <w:top w:val="nil"/>
              <w:left w:val="nil"/>
              <w:bottom w:val="nil"/>
              <w:right w:val="nil"/>
            </w:tcBorders>
            <w:shd w:val="clear" w:color="auto" w:fill="FFFFFF"/>
            <w:tcMar>
              <w:top w:w="55" w:type="dxa"/>
              <w:left w:w="55" w:type="dxa"/>
              <w:bottom w:w="55" w:type="dxa"/>
              <w:right w:w="55" w:type="dxa"/>
            </w:tcMar>
            <w:vAlign w:val="center"/>
          </w:tcPr>
          <w:p w14:paraId="2A54C90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14.11 (1.48)</w:t>
            </w:r>
          </w:p>
        </w:tc>
        <w:tc>
          <w:tcPr>
            <w:tcW w:w="1177" w:type="pct"/>
            <w:tcBorders>
              <w:top w:val="nil"/>
              <w:left w:val="nil"/>
              <w:bottom w:val="nil"/>
              <w:right w:val="nil"/>
            </w:tcBorders>
            <w:shd w:val="clear" w:color="auto" w:fill="FFFFFF"/>
            <w:tcMar>
              <w:top w:w="55" w:type="dxa"/>
              <w:left w:w="55" w:type="dxa"/>
              <w:bottom w:w="55" w:type="dxa"/>
              <w:right w:w="55" w:type="dxa"/>
            </w:tcMar>
            <w:vAlign w:val="center"/>
          </w:tcPr>
          <w:p w14:paraId="4C0481E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14.32 (1.29)</w:t>
            </w:r>
          </w:p>
        </w:tc>
        <w:tc>
          <w:tcPr>
            <w:tcW w:w="998" w:type="pct"/>
            <w:tcBorders>
              <w:top w:val="nil"/>
              <w:left w:val="nil"/>
              <w:bottom w:val="nil"/>
              <w:right w:val="nil"/>
            </w:tcBorders>
            <w:shd w:val="clear" w:color="auto" w:fill="FFFFFF"/>
            <w:tcMar>
              <w:top w:w="55" w:type="dxa"/>
              <w:left w:w="55" w:type="dxa"/>
              <w:bottom w:w="55" w:type="dxa"/>
              <w:right w:w="55" w:type="dxa"/>
            </w:tcMar>
            <w:vAlign w:val="center"/>
          </w:tcPr>
          <w:p w14:paraId="430F55A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0.044</w:t>
            </w:r>
          </w:p>
        </w:tc>
      </w:tr>
      <w:tr w14:paraId="600D1B4F">
        <w:trPr>
          <w:trHeight w:val="193" w:hRule="atLeast"/>
          <w:jc w:val="center"/>
        </w:trPr>
        <w:tc>
          <w:tcPr>
            <w:tcW w:w="1572" w:type="pct"/>
            <w:tcBorders>
              <w:top w:val="nil"/>
              <w:left w:val="nil"/>
              <w:bottom w:val="nil"/>
              <w:right w:val="nil"/>
            </w:tcBorders>
            <w:shd w:val="clear" w:color="auto" w:fill="FFFFFF"/>
            <w:tcMar>
              <w:top w:w="55" w:type="dxa"/>
              <w:left w:w="55" w:type="dxa"/>
              <w:bottom w:w="55" w:type="dxa"/>
              <w:right w:w="55" w:type="dxa"/>
            </w:tcMar>
            <w:vAlign w:val="center"/>
          </w:tcPr>
          <w:p w14:paraId="0CC172F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Baseline </w:t>
            </w:r>
            <w:r>
              <w:rPr>
                <w:rFonts w:hint="default" w:ascii="Times New Roman" w:hAnsi="Times New Roman" w:eastAsia="Times New Roman" w:cs="Times New Roman Regular"/>
                <w:sz w:val="17"/>
                <w:szCs w:val="22"/>
                <w:lang w:val="en-US" w:eastAsia="zh-CN"/>
              </w:rPr>
              <w:t>FEV₁</w:t>
            </w:r>
          </w:p>
        </w:tc>
        <w:tc>
          <w:tcPr>
            <w:tcW w:w="1251" w:type="pct"/>
            <w:tcBorders>
              <w:top w:val="nil"/>
              <w:left w:val="nil"/>
              <w:bottom w:val="nil"/>
              <w:right w:val="nil"/>
            </w:tcBorders>
            <w:shd w:val="clear" w:color="auto" w:fill="FFFFFF"/>
            <w:tcMar>
              <w:top w:w="55" w:type="dxa"/>
              <w:left w:w="55" w:type="dxa"/>
              <w:bottom w:w="55" w:type="dxa"/>
              <w:right w:w="55" w:type="dxa"/>
            </w:tcMar>
            <w:vAlign w:val="center"/>
          </w:tcPr>
          <w:p w14:paraId="67AF67C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1.81 (0.83)</w:t>
            </w:r>
          </w:p>
        </w:tc>
        <w:tc>
          <w:tcPr>
            <w:tcW w:w="1177" w:type="pct"/>
            <w:tcBorders>
              <w:top w:val="nil"/>
              <w:left w:val="nil"/>
              <w:bottom w:val="nil"/>
              <w:right w:val="nil"/>
            </w:tcBorders>
            <w:shd w:val="clear" w:color="auto" w:fill="FFFFFF"/>
            <w:tcMar>
              <w:top w:w="55" w:type="dxa"/>
              <w:left w:w="55" w:type="dxa"/>
              <w:bottom w:w="55" w:type="dxa"/>
              <w:right w:w="55" w:type="dxa"/>
            </w:tcMar>
            <w:vAlign w:val="center"/>
          </w:tcPr>
          <w:p w14:paraId="3D2081B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2.08 (0.77)</w:t>
            </w:r>
          </w:p>
        </w:tc>
        <w:tc>
          <w:tcPr>
            <w:tcW w:w="998" w:type="pct"/>
            <w:tcBorders>
              <w:top w:val="nil"/>
              <w:left w:val="nil"/>
              <w:bottom w:val="nil"/>
              <w:right w:val="nil"/>
            </w:tcBorders>
            <w:shd w:val="clear" w:color="auto" w:fill="FFFFFF"/>
            <w:tcMar>
              <w:top w:w="55" w:type="dxa"/>
              <w:left w:w="55" w:type="dxa"/>
              <w:bottom w:w="55" w:type="dxa"/>
              <w:right w:w="55" w:type="dxa"/>
            </w:tcMar>
            <w:vAlign w:val="center"/>
          </w:tcPr>
          <w:p w14:paraId="6474098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&lt;0.001</w:t>
            </w:r>
          </w:p>
        </w:tc>
      </w:tr>
      <w:tr w14:paraId="03A888ED">
        <w:trPr>
          <w:trHeight w:val="193" w:hRule="atLeast"/>
          <w:jc w:val="center"/>
        </w:trPr>
        <w:tc>
          <w:tcPr>
            <w:tcW w:w="1572" w:type="pct"/>
            <w:tcBorders>
              <w:top w:val="nil"/>
              <w:left w:val="nil"/>
              <w:bottom w:val="nil"/>
              <w:right w:val="nil"/>
            </w:tcBorders>
            <w:shd w:val="clear" w:color="auto" w:fill="FFFFFF"/>
            <w:tcMar>
              <w:top w:w="55" w:type="dxa"/>
              <w:left w:w="55" w:type="dxa"/>
              <w:bottom w:w="55" w:type="dxa"/>
              <w:right w:w="55" w:type="dxa"/>
            </w:tcMar>
            <w:vAlign w:val="center"/>
          </w:tcPr>
          <w:p w14:paraId="2EB9654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w:t>
            </w:r>
          </w:p>
        </w:tc>
        <w:tc>
          <w:tcPr>
            <w:tcW w:w="1251" w:type="pct"/>
            <w:tcBorders>
              <w:top w:val="nil"/>
              <w:left w:val="nil"/>
              <w:bottom w:val="nil"/>
              <w:right w:val="nil"/>
            </w:tcBorders>
            <w:shd w:val="clear" w:color="auto" w:fill="FFFFFF"/>
            <w:tcMar>
              <w:top w:w="55" w:type="dxa"/>
              <w:left w:w="55" w:type="dxa"/>
              <w:bottom w:w="55" w:type="dxa"/>
              <w:right w:w="55" w:type="dxa"/>
            </w:tcMar>
            <w:vAlign w:val="center"/>
          </w:tcPr>
          <w:p w14:paraId="04F6624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110.36 (98.01)</w:t>
            </w:r>
          </w:p>
        </w:tc>
        <w:tc>
          <w:tcPr>
            <w:tcW w:w="1177" w:type="pct"/>
            <w:tcBorders>
              <w:top w:val="nil"/>
              <w:left w:val="nil"/>
              <w:bottom w:val="nil"/>
              <w:right w:val="nil"/>
            </w:tcBorders>
            <w:shd w:val="clear" w:color="auto" w:fill="FFFFFF"/>
            <w:tcMar>
              <w:top w:w="55" w:type="dxa"/>
              <w:left w:w="55" w:type="dxa"/>
              <w:bottom w:w="55" w:type="dxa"/>
              <w:right w:w="55" w:type="dxa"/>
            </w:tcMar>
            <w:vAlign w:val="center"/>
          </w:tcPr>
          <w:p w14:paraId="4C4D4F3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105.05 (87.47)</w:t>
            </w:r>
          </w:p>
        </w:tc>
        <w:tc>
          <w:tcPr>
            <w:tcW w:w="998" w:type="pct"/>
            <w:tcBorders>
              <w:top w:val="nil"/>
              <w:left w:val="nil"/>
              <w:bottom w:val="nil"/>
              <w:right w:val="nil"/>
            </w:tcBorders>
            <w:shd w:val="clear" w:color="auto" w:fill="FFFFFF"/>
            <w:tcMar>
              <w:top w:w="55" w:type="dxa"/>
              <w:left w:w="55" w:type="dxa"/>
              <w:bottom w:w="55" w:type="dxa"/>
              <w:right w:w="55" w:type="dxa"/>
            </w:tcMar>
            <w:vAlign w:val="center"/>
          </w:tcPr>
          <w:p w14:paraId="6A52736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0.458</w:t>
            </w:r>
          </w:p>
        </w:tc>
      </w:tr>
      <w:tr w14:paraId="5A1BFD44">
        <w:trPr>
          <w:trHeight w:val="193" w:hRule="atLeast"/>
          <w:jc w:val="center"/>
        </w:trPr>
        <w:tc>
          <w:tcPr>
            <w:tcW w:w="1572" w:type="pct"/>
            <w:tcBorders>
              <w:top w:val="nil"/>
              <w:left w:val="nil"/>
              <w:bottom w:val="nil"/>
              <w:right w:val="nil"/>
            </w:tcBorders>
            <w:shd w:val="clear" w:color="auto" w:fill="FFFFFF"/>
            <w:tcMar>
              <w:top w:w="55" w:type="dxa"/>
              <w:left w:w="55" w:type="dxa"/>
              <w:bottom w:w="55" w:type="dxa"/>
              <w:right w:w="55" w:type="dxa"/>
            </w:tcMar>
            <w:vAlign w:val="center"/>
          </w:tcPr>
          <w:p w14:paraId="4BC432B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Iron fragility index</w:t>
            </w:r>
          </w:p>
        </w:tc>
        <w:tc>
          <w:tcPr>
            <w:tcW w:w="1251" w:type="pct"/>
            <w:tcBorders>
              <w:top w:val="nil"/>
              <w:left w:val="nil"/>
              <w:bottom w:val="nil"/>
              <w:right w:val="nil"/>
            </w:tcBorders>
            <w:shd w:val="clear" w:color="auto" w:fill="FFFFFF"/>
            <w:tcMar>
              <w:top w:w="55" w:type="dxa"/>
              <w:left w:w="55" w:type="dxa"/>
              <w:bottom w:w="55" w:type="dxa"/>
              <w:right w:w="55" w:type="dxa"/>
            </w:tcMar>
            <w:vAlign w:val="center"/>
          </w:tcPr>
          <w:p w14:paraId="4CED176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-0.62 (NA)</w:t>
            </w:r>
          </w:p>
        </w:tc>
        <w:tc>
          <w:tcPr>
            <w:tcW w:w="1177" w:type="pct"/>
            <w:tcBorders>
              <w:top w:val="nil"/>
              <w:left w:val="nil"/>
              <w:bottom w:val="nil"/>
              <w:right w:val="nil"/>
            </w:tcBorders>
            <w:shd w:val="clear" w:color="auto" w:fill="FFFFFF"/>
            <w:tcMar>
              <w:top w:w="55" w:type="dxa"/>
              <w:left w:w="55" w:type="dxa"/>
              <w:bottom w:w="55" w:type="dxa"/>
              <w:right w:w="55" w:type="dxa"/>
            </w:tcMar>
            <w:vAlign w:val="center"/>
          </w:tcPr>
          <w:p w14:paraId="4688C3C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0.13 (2.03)</w:t>
            </w:r>
          </w:p>
        </w:tc>
        <w:tc>
          <w:tcPr>
            <w:tcW w:w="998" w:type="pct"/>
            <w:tcBorders>
              <w:top w:val="nil"/>
              <w:left w:val="nil"/>
              <w:bottom w:val="nil"/>
              <w:right w:val="nil"/>
            </w:tcBorders>
            <w:shd w:val="clear" w:color="auto" w:fill="FFFFFF"/>
            <w:tcMar>
              <w:top w:w="55" w:type="dxa"/>
              <w:left w:w="55" w:type="dxa"/>
              <w:bottom w:w="55" w:type="dxa"/>
              <w:right w:w="55" w:type="dxa"/>
            </w:tcMar>
            <w:vAlign w:val="center"/>
          </w:tcPr>
          <w:p w14:paraId="296CAE8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0.712</w:t>
            </w:r>
          </w:p>
        </w:tc>
      </w:tr>
      <w:tr w14:paraId="3D4ECFDE">
        <w:trPr>
          <w:trHeight w:val="193" w:hRule="atLeast"/>
          <w:jc w:val="center"/>
        </w:trPr>
        <w:tc>
          <w:tcPr>
            <w:tcW w:w="1572" w:type="pct"/>
            <w:tcBorders>
              <w:top w:val="nil"/>
              <w:left w:val="nil"/>
              <w:bottom w:val="nil"/>
              <w:right w:val="nil"/>
            </w:tcBorders>
            <w:shd w:val="clear" w:color="auto" w:fill="FFFFFF"/>
            <w:tcMar>
              <w:top w:w="55" w:type="dxa"/>
              <w:left w:w="55" w:type="dxa"/>
              <w:bottom w:w="55" w:type="dxa"/>
              <w:right w:w="55" w:type="dxa"/>
            </w:tcMar>
            <w:vAlign w:val="center"/>
          </w:tcPr>
          <w:p w14:paraId="2861950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251" w:type="pct"/>
            <w:tcBorders>
              <w:top w:val="nil"/>
              <w:left w:val="nil"/>
              <w:bottom w:val="nil"/>
              <w:right w:val="nil"/>
            </w:tcBorders>
            <w:shd w:val="clear" w:color="auto" w:fill="FFFFFF"/>
            <w:tcMar>
              <w:top w:w="55" w:type="dxa"/>
              <w:left w:w="55" w:type="dxa"/>
              <w:bottom w:w="55" w:type="dxa"/>
              <w:right w:w="55" w:type="dxa"/>
            </w:tcMar>
            <w:vAlign w:val="center"/>
          </w:tcPr>
          <w:p w14:paraId="2EEAF1A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0.16 (NA)</w:t>
            </w:r>
          </w:p>
        </w:tc>
        <w:tc>
          <w:tcPr>
            <w:tcW w:w="1177" w:type="pct"/>
            <w:tcBorders>
              <w:top w:val="nil"/>
              <w:left w:val="nil"/>
              <w:bottom w:val="nil"/>
              <w:right w:val="nil"/>
            </w:tcBorders>
            <w:shd w:val="clear" w:color="auto" w:fill="FFFFFF"/>
            <w:tcMar>
              <w:top w:w="55" w:type="dxa"/>
              <w:left w:w="55" w:type="dxa"/>
              <w:bottom w:w="55" w:type="dxa"/>
              <w:right w:w="55" w:type="dxa"/>
            </w:tcMar>
            <w:vAlign w:val="center"/>
          </w:tcPr>
          <w:p w14:paraId="39F6E44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0.35 (0.24)</w:t>
            </w:r>
          </w:p>
        </w:tc>
        <w:tc>
          <w:tcPr>
            <w:tcW w:w="998" w:type="pct"/>
            <w:tcBorders>
              <w:top w:val="nil"/>
              <w:left w:val="nil"/>
              <w:bottom w:val="nil"/>
              <w:right w:val="nil"/>
            </w:tcBorders>
            <w:shd w:val="clear" w:color="auto" w:fill="FFFFFF"/>
            <w:tcMar>
              <w:top w:w="55" w:type="dxa"/>
              <w:left w:w="55" w:type="dxa"/>
              <w:bottom w:w="55" w:type="dxa"/>
              <w:right w:w="55" w:type="dxa"/>
            </w:tcMar>
            <w:vAlign w:val="center"/>
          </w:tcPr>
          <w:p w14:paraId="0A080D3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0.412</w:t>
            </w:r>
          </w:p>
        </w:tc>
      </w:tr>
      <w:tr w14:paraId="219F5315">
        <w:trPr>
          <w:trHeight w:val="193" w:hRule="atLeast"/>
          <w:jc w:val="center"/>
        </w:trPr>
        <w:tc>
          <w:tcPr>
            <w:tcW w:w="1572" w:type="pct"/>
            <w:tcBorders>
              <w:top w:val="nil"/>
              <w:left w:val="nil"/>
              <w:bottom w:val="nil"/>
              <w:right w:val="nil"/>
            </w:tcBorders>
            <w:shd w:val="clear" w:color="auto" w:fill="FFFFFF"/>
            <w:tcMar>
              <w:top w:w="55" w:type="dxa"/>
              <w:left w:w="55" w:type="dxa"/>
              <w:bottom w:w="55" w:type="dxa"/>
              <w:right w:w="55" w:type="dxa"/>
            </w:tcMar>
            <w:vAlign w:val="center"/>
          </w:tcPr>
          <w:p w14:paraId="37345B4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Female sex</w:t>
            </w:r>
          </w:p>
        </w:tc>
        <w:tc>
          <w:tcPr>
            <w:tcW w:w="1251" w:type="pct"/>
            <w:tcBorders>
              <w:top w:val="nil"/>
              <w:left w:val="nil"/>
              <w:bottom w:val="nil"/>
              <w:right w:val="nil"/>
            </w:tcBorders>
            <w:shd w:val="clear" w:color="auto" w:fill="FFFFFF"/>
            <w:tcMar>
              <w:top w:w="55" w:type="dxa"/>
              <w:left w:w="55" w:type="dxa"/>
              <w:bottom w:w="55" w:type="dxa"/>
              <w:right w:w="55" w:type="dxa"/>
            </w:tcMar>
            <w:vAlign w:val="center"/>
          </w:tcPr>
          <w:p w14:paraId="2C8FBD6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371 (61.4%)</w:t>
            </w:r>
          </w:p>
        </w:tc>
        <w:tc>
          <w:tcPr>
            <w:tcW w:w="1177" w:type="pct"/>
            <w:tcBorders>
              <w:top w:val="nil"/>
              <w:left w:val="nil"/>
              <w:bottom w:val="nil"/>
              <w:right w:val="nil"/>
            </w:tcBorders>
            <w:shd w:val="clear" w:color="auto" w:fill="FFFFFF"/>
            <w:tcMar>
              <w:top w:w="55" w:type="dxa"/>
              <w:left w:w="55" w:type="dxa"/>
              <w:bottom w:w="55" w:type="dxa"/>
              <w:right w:w="55" w:type="dxa"/>
            </w:tcMar>
            <w:vAlign w:val="center"/>
          </w:tcPr>
          <w:p w14:paraId="6B2132E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333 (61.8%)</w:t>
            </w:r>
          </w:p>
        </w:tc>
        <w:tc>
          <w:tcPr>
            <w:tcW w:w="998" w:type="pct"/>
            <w:tcBorders>
              <w:top w:val="nil"/>
              <w:left w:val="nil"/>
              <w:bottom w:val="nil"/>
              <w:right w:val="nil"/>
            </w:tcBorders>
            <w:shd w:val="clear" w:color="auto" w:fill="FFFFFF"/>
            <w:tcMar>
              <w:top w:w="55" w:type="dxa"/>
              <w:left w:w="55" w:type="dxa"/>
              <w:bottom w:w="55" w:type="dxa"/>
              <w:right w:w="55" w:type="dxa"/>
            </w:tcMar>
            <w:vAlign w:val="center"/>
          </w:tcPr>
          <w:p w14:paraId="761683F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0.95</w:t>
            </w:r>
          </w:p>
        </w:tc>
      </w:tr>
      <w:tr w14:paraId="349961E0">
        <w:trPr>
          <w:trHeight w:val="193" w:hRule="atLeast"/>
          <w:jc w:val="center"/>
        </w:trPr>
        <w:tc>
          <w:tcPr>
            <w:tcW w:w="1572" w:type="pct"/>
            <w:tcBorders>
              <w:top w:val="nil"/>
              <w:left w:val="nil"/>
              <w:bottom w:val="nil"/>
              <w:right w:val="nil"/>
            </w:tcBorders>
            <w:shd w:val="clear" w:color="auto" w:fill="FFFFFF"/>
            <w:tcMar>
              <w:top w:w="55" w:type="dxa"/>
              <w:left w:w="55" w:type="dxa"/>
              <w:bottom w:w="55" w:type="dxa"/>
              <w:right w:w="55" w:type="dxa"/>
            </w:tcMar>
            <w:vAlign w:val="center"/>
          </w:tcPr>
          <w:p w14:paraId="50ECC3F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Current smoking</w:t>
            </w:r>
          </w:p>
        </w:tc>
        <w:tc>
          <w:tcPr>
            <w:tcW w:w="1251" w:type="pct"/>
            <w:tcBorders>
              <w:top w:val="nil"/>
              <w:left w:val="nil"/>
              <w:bottom w:val="nil"/>
              <w:right w:val="nil"/>
            </w:tcBorders>
            <w:shd w:val="clear" w:color="auto" w:fill="FFFFFF"/>
            <w:tcMar>
              <w:top w:w="55" w:type="dxa"/>
              <w:left w:w="55" w:type="dxa"/>
              <w:bottom w:w="55" w:type="dxa"/>
              <w:right w:w="55" w:type="dxa"/>
            </w:tcMar>
            <w:vAlign w:val="center"/>
          </w:tcPr>
          <w:p w14:paraId="72FA25C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407 (67.4%)</w:t>
            </w:r>
          </w:p>
        </w:tc>
        <w:tc>
          <w:tcPr>
            <w:tcW w:w="1177" w:type="pct"/>
            <w:tcBorders>
              <w:top w:val="nil"/>
              <w:left w:val="nil"/>
              <w:bottom w:val="nil"/>
              <w:right w:val="nil"/>
            </w:tcBorders>
            <w:shd w:val="clear" w:color="auto" w:fill="FFFFFF"/>
            <w:tcMar>
              <w:top w:w="55" w:type="dxa"/>
              <w:left w:w="55" w:type="dxa"/>
              <w:bottom w:w="55" w:type="dxa"/>
              <w:right w:w="55" w:type="dxa"/>
            </w:tcMar>
            <w:vAlign w:val="center"/>
          </w:tcPr>
          <w:p w14:paraId="427D53A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352 (65.3%)</w:t>
            </w:r>
          </w:p>
        </w:tc>
        <w:tc>
          <w:tcPr>
            <w:tcW w:w="998" w:type="pct"/>
            <w:tcBorders>
              <w:top w:val="nil"/>
              <w:left w:val="nil"/>
              <w:bottom w:val="nil"/>
              <w:right w:val="nil"/>
            </w:tcBorders>
            <w:shd w:val="clear" w:color="auto" w:fill="FFFFFF"/>
            <w:tcMar>
              <w:top w:w="55" w:type="dxa"/>
              <w:left w:w="55" w:type="dxa"/>
              <w:bottom w:w="55" w:type="dxa"/>
              <w:right w:w="55" w:type="dxa"/>
            </w:tcMar>
            <w:vAlign w:val="center"/>
          </w:tcPr>
          <w:p w14:paraId="6F91EA6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0.497</w:t>
            </w:r>
          </w:p>
        </w:tc>
      </w:tr>
      <w:tr w14:paraId="0DFE24C9">
        <w:trPr>
          <w:trHeight w:val="193" w:hRule="atLeast"/>
          <w:jc w:val="center"/>
        </w:trPr>
        <w:tc>
          <w:tcPr>
            <w:tcW w:w="1572"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69F110F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Any asthma-like symptom</w:t>
            </w:r>
          </w:p>
        </w:tc>
        <w:tc>
          <w:tcPr>
            <w:tcW w:w="1251"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2D9961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418 (69.2%)</w:t>
            </w:r>
          </w:p>
        </w:tc>
        <w:tc>
          <w:tcPr>
            <w:tcW w:w="117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21F2A8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375 (69.6%)</w:t>
            </w:r>
          </w:p>
        </w:tc>
        <w:tc>
          <w:tcPr>
            <w:tcW w:w="998"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CE7FBA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0.944</w:t>
            </w:r>
          </w:p>
        </w:tc>
      </w:tr>
    </w:tbl>
    <w:p w14:paraId="29741EDA">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sz w:val="20"/>
          <w:szCs w:val="22"/>
          <w:lang w:val="en-US" w:eastAsia="zh-CN"/>
        </w:rPr>
        <w:t>Baseline demographic and clinical characteristics are shown for participants included in versus excluded from the primary complete-case analytic samples. Variables may include age, sex, smoking status, body mass index (BMI), C-reactive protein (CRP), hemoglobin (Hb), baseline forced expiratory volume in 1 second (FEV₁), and key ferritin-related measures, as specified in the table. These comparisons were used to evaluate whether complete-case inclusion was associated with systematic differences in baseline characteristics relevant to the primary analyses.</w:t>
      </w:r>
    </w:p>
    <w:p w14:paraId="084D5CB7">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55C821C4">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04235330">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50F3492E">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10628BB9">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204F6085">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4AF1F2D9">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1682CA92">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12F6A864">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047277F0">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53C61032">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7F11B865">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35E6C43B">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19B50324">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075B8F33">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66524BE7">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080FD513">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03E006C5">
      <w:pPr>
        <w:spacing w:before="0" w:after="0" w:line="240" w:lineRule="auto"/>
        <w:rPr>
          <w:rFonts w:hint="default" w:ascii="Times New Roman Regular" w:hAnsi="Times New Roman Regular" w:cs="Times New Roman Regular"/>
          <w:b/>
          <w:bCs/>
          <w:sz w:val="22"/>
          <w:szCs w:val="22"/>
          <w:lang w:val="en-US" w:eastAsia="zh-CN"/>
        </w:rPr>
      </w:pPr>
      <w:r>
        <w:rPr>
          <w:rFonts w:hint="default" w:ascii="Times New Roman Regular" w:hAnsi="Times New Roman Regular" w:cs="Times New Roman Regular"/>
          <w:b/>
          <w:bCs/>
          <w:sz w:val="22"/>
          <w:szCs w:val="22"/>
          <w:lang w:val="en-US" w:eastAsia="zh-CN"/>
        </w:rPr>
        <w:br w:type="page"/>
      </w:r>
    </w:p>
    <w:p w14:paraId="4D608BD6">
      <w:pPr>
        <w:pStyle w:val="2"/>
        <w:keepNext/>
        <w:spacing w:before="0" w:after="120" w:line="240" w:lineRule="auto"/>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S53. Master summary of inverse probability weighting sensitivity analyses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28"/>
        <w:gridCol w:w="3504"/>
        <w:gridCol w:w="4447"/>
        <w:gridCol w:w="1687"/>
      </w:tblGrid>
      <w:tr w14:paraId="21EABBA8">
        <w:trPr>
          <w:trHeight w:val="193" w:hRule="atLeast"/>
          <w:tblHeader/>
          <w:jc w:val="center"/>
        </w:trPr>
        <w:tc>
          <w:tcPr>
            <w:tcW w:w="1645"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03DF0A0">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Analysis pathway</w:t>
            </w:r>
          </w:p>
        </w:tc>
        <w:tc>
          <w:tcPr>
            <w:tcW w:w="121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04857109">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Model</w:t>
            </w:r>
          </w:p>
        </w:tc>
        <w:tc>
          <w:tcPr>
            <w:tcW w:w="1547"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DC0AFF8">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Effect size (95% CI)</w:t>
            </w:r>
          </w:p>
        </w:tc>
        <w:tc>
          <w:tcPr>
            <w:tcW w:w="587"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D47ED5B">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09C72829">
        <w:trPr>
          <w:trHeight w:val="193" w:hRule="atLeast"/>
          <w:jc w:val="center"/>
        </w:trPr>
        <w:tc>
          <w:tcPr>
            <w:tcW w:w="1645"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FB1291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IFI → </w:t>
            </w:r>
            <w:r>
              <w:rPr>
                <w:rFonts w:hint="default" w:ascii="Times New Roman" w:hAnsi="Times New Roman" w:eastAsia="Times New Roman" w:cs="Times New Roman Regular"/>
                <w:sz w:val="17"/>
                <w:szCs w:val="22"/>
                <w:lang w:val="en-US" w:eastAsia="zh-CN"/>
              </w:rPr>
              <w:t>FEV₁</w:t>
            </w:r>
          </w:p>
        </w:tc>
        <w:tc>
          <w:tcPr>
            <w:tcW w:w="121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678E687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Complete-case GEE sensitivity</w:t>
            </w:r>
          </w:p>
        </w:tc>
        <w:tc>
          <w:tcPr>
            <w:tcW w:w="1547"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5A27CE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β = -0.028 (-0.053, -0.004)</w:t>
            </w:r>
          </w:p>
        </w:tc>
        <w:tc>
          <w:tcPr>
            <w:tcW w:w="587"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60FB153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0.023</w:t>
            </w:r>
          </w:p>
        </w:tc>
      </w:tr>
      <w:tr w14:paraId="7F2D694B">
        <w:trPr>
          <w:trHeight w:val="193" w:hRule="atLeast"/>
          <w:jc w:val="center"/>
        </w:trPr>
        <w:tc>
          <w:tcPr>
            <w:tcW w:w="1645" w:type="pct"/>
            <w:tcBorders>
              <w:top w:val="nil"/>
              <w:left w:val="nil"/>
              <w:bottom w:val="nil"/>
              <w:right w:val="nil"/>
            </w:tcBorders>
            <w:shd w:val="clear" w:color="auto" w:fill="FFFFFF"/>
            <w:tcMar>
              <w:top w:w="55" w:type="dxa"/>
              <w:left w:w="55" w:type="dxa"/>
              <w:bottom w:w="55" w:type="dxa"/>
              <w:right w:w="55" w:type="dxa"/>
            </w:tcMar>
            <w:vAlign w:val="center"/>
          </w:tcPr>
          <w:p w14:paraId="1D1F290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IFI → </w:t>
            </w:r>
            <w:r>
              <w:rPr>
                <w:rFonts w:hint="default" w:ascii="Times New Roman" w:hAnsi="Times New Roman" w:eastAsia="Times New Roman" w:cs="Times New Roman Regular"/>
                <w:sz w:val="17"/>
                <w:szCs w:val="22"/>
                <w:lang w:val="en-US" w:eastAsia="zh-CN"/>
              </w:rPr>
              <w:t>FEV₁</w:t>
            </w:r>
          </w:p>
        </w:tc>
        <w:tc>
          <w:tcPr>
            <w:tcW w:w="1219" w:type="pct"/>
            <w:tcBorders>
              <w:top w:val="nil"/>
              <w:left w:val="nil"/>
              <w:bottom w:val="nil"/>
              <w:right w:val="nil"/>
            </w:tcBorders>
            <w:shd w:val="clear" w:color="auto" w:fill="FFFFFF"/>
            <w:tcMar>
              <w:top w:w="55" w:type="dxa"/>
              <w:left w:w="55" w:type="dxa"/>
              <w:bottom w:w="55" w:type="dxa"/>
              <w:right w:w="55" w:type="dxa"/>
            </w:tcMar>
            <w:vAlign w:val="center"/>
          </w:tcPr>
          <w:p w14:paraId="02F274C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IPW-weighted GEE sensitivity</w:t>
            </w:r>
          </w:p>
        </w:tc>
        <w:tc>
          <w:tcPr>
            <w:tcW w:w="1547" w:type="pct"/>
            <w:tcBorders>
              <w:top w:val="nil"/>
              <w:left w:val="nil"/>
              <w:bottom w:val="nil"/>
              <w:right w:val="nil"/>
            </w:tcBorders>
            <w:shd w:val="clear" w:color="auto" w:fill="FFFFFF"/>
            <w:tcMar>
              <w:top w:w="55" w:type="dxa"/>
              <w:left w:w="55" w:type="dxa"/>
              <w:bottom w:w="55" w:type="dxa"/>
              <w:right w:w="55" w:type="dxa"/>
            </w:tcMar>
            <w:vAlign w:val="center"/>
          </w:tcPr>
          <w:p w14:paraId="6663A32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β = -0.029 (-0.053, -0.004)</w:t>
            </w:r>
          </w:p>
        </w:tc>
        <w:tc>
          <w:tcPr>
            <w:tcW w:w="587" w:type="pct"/>
            <w:tcBorders>
              <w:top w:val="nil"/>
              <w:left w:val="nil"/>
              <w:bottom w:val="nil"/>
              <w:right w:val="nil"/>
            </w:tcBorders>
            <w:shd w:val="clear" w:color="auto" w:fill="FFFFFF"/>
            <w:tcMar>
              <w:top w:w="55" w:type="dxa"/>
              <w:left w:w="55" w:type="dxa"/>
              <w:bottom w:w="55" w:type="dxa"/>
              <w:right w:w="55" w:type="dxa"/>
            </w:tcMar>
            <w:vAlign w:val="center"/>
          </w:tcPr>
          <w:p w14:paraId="209F40C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0.022</w:t>
            </w:r>
          </w:p>
        </w:tc>
      </w:tr>
      <w:tr w14:paraId="7941D2AD">
        <w:trPr>
          <w:trHeight w:val="193" w:hRule="atLeast"/>
          <w:jc w:val="center"/>
        </w:trPr>
        <w:tc>
          <w:tcPr>
            <w:tcW w:w="1645" w:type="pct"/>
            <w:tcBorders>
              <w:top w:val="nil"/>
              <w:left w:val="nil"/>
              <w:bottom w:val="nil"/>
              <w:right w:val="nil"/>
            </w:tcBorders>
            <w:shd w:val="clear" w:color="auto" w:fill="FFFFFF"/>
            <w:tcMar>
              <w:top w:w="55" w:type="dxa"/>
              <w:left w:w="55" w:type="dxa"/>
              <w:bottom w:w="55" w:type="dxa"/>
              <w:right w:w="55" w:type="dxa"/>
            </w:tcMar>
            <w:vAlign w:val="center"/>
          </w:tcPr>
          <w:p w14:paraId="55C8A4C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IFI × time → </w:t>
            </w:r>
            <w:r>
              <w:rPr>
                <w:rFonts w:hint="default" w:ascii="Times New Roman" w:hAnsi="Times New Roman" w:eastAsia="Times New Roman" w:cs="Times New Roman Regular"/>
                <w:sz w:val="17"/>
                <w:szCs w:val="22"/>
                <w:lang w:val="en-US" w:eastAsia="zh-CN"/>
              </w:rPr>
              <w:t>FEV₁</w:t>
            </w:r>
          </w:p>
        </w:tc>
        <w:tc>
          <w:tcPr>
            <w:tcW w:w="1219" w:type="pct"/>
            <w:tcBorders>
              <w:top w:val="nil"/>
              <w:left w:val="nil"/>
              <w:bottom w:val="nil"/>
              <w:right w:val="nil"/>
            </w:tcBorders>
            <w:shd w:val="clear" w:color="auto" w:fill="FFFFFF"/>
            <w:tcMar>
              <w:top w:w="55" w:type="dxa"/>
              <w:left w:w="55" w:type="dxa"/>
              <w:bottom w:w="55" w:type="dxa"/>
              <w:right w:w="55" w:type="dxa"/>
            </w:tcMar>
            <w:vAlign w:val="center"/>
          </w:tcPr>
          <w:p w14:paraId="74AF23C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Complete-case GEE sensitivity</w:t>
            </w:r>
          </w:p>
        </w:tc>
        <w:tc>
          <w:tcPr>
            <w:tcW w:w="1547" w:type="pct"/>
            <w:tcBorders>
              <w:top w:val="nil"/>
              <w:left w:val="nil"/>
              <w:bottom w:val="nil"/>
              <w:right w:val="nil"/>
            </w:tcBorders>
            <w:shd w:val="clear" w:color="auto" w:fill="FFFFFF"/>
            <w:tcMar>
              <w:top w:w="55" w:type="dxa"/>
              <w:left w:w="55" w:type="dxa"/>
              <w:bottom w:w="55" w:type="dxa"/>
              <w:right w:w="55" w:type="dxa"/>
            </w:tcMar>
            <w:vAlign w:val="center"/>
          </w:tcPr>
          <w:p w14:paraId="086359B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β = 0.001 (-0.002, 0.004)</w:t>
            </w:r>
          </w:p>
        </w:tc>
        <w:tc>
          <w:tcPr>
            <w:tcW w:w="587" w:type="pct"/>
            <w:tcBorders>
              <w:top w:val="nil"/>
              <w:left w:val="nil"/>
              <w:bottom w:val="nil"/>
              <w:right w:val="nil"/>
            </w:tcBorders>
            <w:shd w:val="clear" w:color="auto" w:fill="FFFFFF"/>
            <w:tcMar>
              <w:top w:w="55" w:type="dxa"/>
              <w:left w:w="55" w:type="dxa"/>
              <w:bottom w:w="55" w:type="dxa"/>
              <w:right w:w="55" w:type="dxa"/>
            </w:tcMar>
            <w:vAlign w:val="center"/>
          </w:tcPr>
          <w:p w14:paraId="50A735E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0.556</w:t>
            </w:r>
          </w:p>
        </w:tc>
      </w:tr>
      <w:tr w14:paraId="3ABC5DBD">
        <w:trPr>
          <w:trHeight w:val="193" w:hRule="atLeast"/>
          <w:jc w:val="center"/>
        </w:trPr>
        <w:tc>
          <w:tcPr>
            <w:tcW w:w="1645" w:type="pct"/>
            <w:tcBorders>
              <w:top w:val="nil"/>
              <w:left w:val="nil"/>
              <w:bottom w:val="nil"/>
              <w:right w:val="nil"/>
            </w:tcBorders>
            <w:shd w:val="clear" w:color="auto" w:fill="FFFFFF"/>
            <w:tcMar>
              <w:top w:w="55" w:type="dxa"/>
              <w:left w:w="55" w:type="dxa"/>
              <w:bottom w:w="55" w:type="dxa"/>
              <w:right w:w="55" w:type="dxa"/>
            </w:tcMar>
            <w:vAlign w:val="center"/>
          </w:tcPr>
          <w:p w14:paraId="3D34C64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IFI × time → </w:t>
            </w:r>
            <w:r>
              <w:rPr>
                <w:rFonts w:hint="default" w:ascii="Times New Roman" w:hAnsi="Times New Roman" w:eastAsia="Times New Roman" w:cs="Times New Roman Regular"/>
                <w:sz w:val="17"/>
                <w:szCs w:val="22"/>
                <w:lang w:val="en-US" w:eastAsia="zh-CN"/>
              </w:rPr>
              <w:t>FEV₁</w:t>
            </w:r>
          </w:p>
        </w:tc>
        <w:tc>
          <w:tcPr>
            <w:tcW w:w="1219" w:type="pct"/>
            <w:tcBorders>
              <w:top w:val="nil"/>
              <w:left w:val="nil"/>
              <w:bottom w:val="nil"/>
              <w:right w:val="nil"/>
            </w:tcBorders>
            <w:shd w:val="clear" w:color="auto" w:fill="FFFFFF"/>
            <w:tcMar>
              <w:top w:w="55" w:type="dxa"/>
              <w:left w:w="55" w:type="dxa"/>
              <w:bottom w:w="55" w:type="dxa"/>
              <w:right w:w="55" w:type="dxa"/>
            </w:tcMar>
            <w:vAlign w:val="center"/>
          </w:tcPr>
          <w:p w14:paraId="4106FFE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IPW-weighted GEE sensitivity</w:t>
            </w:r>
          </w:p>
        </w:tc>
        <w:tc>
          <w:tcPr>
            <w:tcW w:w="1547" w:type="pct"/>
            <w:tcBorders>
              <w:top w:val="nil"/>
              <w:left w:val="nil"/>
              <w:bottom w:val="nil"/>
              <w:right w:val="nil"/>
            </w:tcBorders>
            <w:shd w:val="clear" w:color="auto" w:fill="FFFFFF"/>
            <w:tcMar>
              <w:top w:w="55" w:type="dxa"/>
              <w:left w:w="55" w:type="dxa"/>
              <w:bottom w:w="55" w:type="dxa"/>
              <w:right w:w="55" w:type="dxa"/>
            </w:tcMar>
            <w:vAlign w:val="center"/>
          </w:tcPr>
          <w:p w14:paraId="6E18FCA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β = 0.001 (-0.002, 0.004)</w:t>
            </w:r>
          </w:p>
        </w:tc>
        <w:tc>
          <w:tcPr>
            <w:tcW w:w="587" w:type="pct"/>
            <w:tcBorders>
              <w:top w:val="nil"/>
              <w:left w:val="nil"/>
              <w:bottom w:val="nil"/>
              <w:right w:val="nil"/>
            </w:tcBorders>
            <w:shd w:val="clear" w:color="auto" w:fill="FFFFFF"/>
            <w:tcMar>
              <w:top w:w="55" w:type="dxa"/>
              <w:left w:w="55" w:type="dxa"/>
              <w:bottom w:w="55" w:type="dxa"/>
              <w:right w:w="55" w:type="dxa"/>
            </w:tcMar>
            <w:vAlign w:val="center"/>
          </w:tcPr>
          <w:p w14:paraId="751B450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0.555</w:t>
            </w:r>
          </w:p>
        </w:tc>
      </w:tr>
      <w:tr w14:paraId="58941058">
        <w:trPr>
          <w:trHeight w:val="193" w:hRule="atLeast"/>
          <w:jc w:val="center"/>
        </w:trPr>
        <w:tc>
          <w:tcPr>
            <w:tcW w:w="1645" w:type="pct"/>
            <w:tcBorders>
              <w:top w:val="nil"/>
              <w:left w:val="nil"/>
              <w:bottom w:val="nil"/>
              <w:right w:val="nil"/>
            </w:tcBorders>
            <w:shd w:val="clear" w:color="auto" w:fill="FFFFFF"/>
            <w:tcMar>
              <w:top w:w="55" w:type="dxa"/>
              <w:left w:w="55" w:type="dxa"/>
              <w:bottom w:w="55" w:type="dxa"/>
              <w:right w:w="55" w:type="dxa"/>
            </w:tcMar>
            <w:vAlign w:val="center"/>
          </w:tcPr>
          <w:p w14:paraId="59B8BD2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Ferritin CV → </w:t>
            </w:r>
            <w:r>
              <w:rPr>
                <w:rFonts w:hint="default" w:ascii="Times New Roman" w:hAnsi="Times New Roman" w:eastAsia="Times New Roman" w:cs="Times New Roman Regular"/>
                <w:sz w:val="17"/>
                <w:szCs w:val="22"/>
                <w:lang w:val="en-US" w:eastAsia="zh-CN"/>
              </w:rPr>
              <w:t>FEV₁</w:t>
            </w:r>
          </w:p>
        </w:tc>
        <w:tc>
          <w:tcPr>
            <w:tcW w:w="1219" w:type="pct"/>
            <w:tcBorders>
              <w:top w:val="nil"/>
              <w:left w:val="nil"/>
              <w:bottom w:val="nil"/>
              <w:right w:val="nil"/>
            </w:tcBorders>
            <w:shd w:val="clear" w:color="auto" w:fill="FFFFFF"/>
            <w:tcMar>
              <w:top w:w="55" w:type="dxa"/>
              <w:left w:w="55" w:type="dxa"/>
              <w:bottom w:w="55" w:type="dxa"/>
              <w:right w:w="55" w:type="dxa"/>
            </w:tcMar>
            <w:vAlign w:val="center"/>
          </w:tcPr>
          <w:p w14:paraId="60DF26A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Complete-case GEE sensitivity</w:t>
            </w:r>
          </w:p>
        </w:tc>
        <w:tc>
          <w:tcPr>
            <w:tcW w:w="1547" w:type="pct"/>
            <w:tcBorders>
              <w:top w:val="nil"/>
              <w:left w:val="nil"/>
              <w:bottom w:val="nil"/>
              <w:right w:val="nil"/>
            </w:tcBorders>
            <w:shd w:val="clear" w:color="auto" w:fill="FFFFFF"/>
            <w:tcMar>
              <w:top w:w="55" w:type="dxa"/>
              <w:left w:w="55" w:type="dxa"/>
              <w:bottom w:w="55" w:type="dxa"/>
              <w:right w:w="55" w:type="dxa"/>
            </w:tcMar>
            <w:vAlign w:val="center"/>
          </w:tcPr>
          <w:p w14:paraId="35D3F92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β = -0.352 (-0.562, -0.142)</w:t>
            </w:r>
          </w:p>
        </w:tc>
        <w:tc>
          <w:tcPr>
            <w:tcW w:w="587" w:type="pct"/>
            <w:tcBorders>
              <w:top w:val="nil"/>
              <w:left w:val="nil"/>
              <w:bottom w:val="nil"/>
              <w:right w:val="nil"/>
            </w:tcBorders>
            <w:shd w:val="clear" w:color="auto" w:fill="FFFFFF"/>
            <w:tcMar>
              <w:top w:w="55" w:type="dxa"/>
              <w:left w:w="55" w:type="dxa"/>
              <w:bottom w:w="55" w:type="dxa"/>
              <w:right w:w="55" w:type="dxa"/>
            </w:tcMar>
            <w:vAlign w:val="center"/>
          </w:tcPr>
          <w:p w14:paraId="32F09C3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0.001</w:t>
            </w:r>
          </w:p>
        </w:tc>
      </w:tr>
      <w:tr w14:paraId="4B45C6EB">
        <w:trPr>
          <w:trHeight w:val="193" w:hRule="atLeast"/>
          <w:jc w:val="center"/>
        </w:trPr>
        <w:tc>
          <w:tcPr>
            <w:tcW w:w="1645" w:type="pct"/>
            <w:tcBorders>
              <w:top w:val="nil"/>
              <w:left w:val="nil"/>
              <w:bottom w:val="nil"/>
              <w:right w:val="nil"/>
            </w:tcBorders>
            <w:shd w:val="clear" w:color="auto" w:fill="FFFFFF"/>
            <w:tcMar>
              <w:top w:w="55" w:type="dxa"/>
              <w:left w:w="55" w:type="dxa"/>
              <w:bottom w:w="55" w:type="dxa"/>
              <w:right w:w="55" w:type="dxa"/>
            </w:tcMar>
            <w:vAlign w:val="center"/>
          </w:tcPr>
          <w:p w14:paraId="6C9E231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Ferritin CV → </w:t>
            </w:r>
            <w:r>
              <w:rPr>
                <w:rFonts w:hint="default" w:ascii="Times New Roman" w:hAnsi="Times New Roman" w:eastAsia="Times New Roman" w:cs="Times New Roman Regular"/>
                <w:sz w:val="17"/>
                <w:szCs w:val="22"/>
                <w:lang w:val="en-US" w:eastAsia="zh-CN"/>
              </w:rPr>
              <w:t>FEV₁</w:t>
            </w:r>
          </w:p>
        </w:tc>
        <w:tc>
          <w:tcPr>
            <w:tcW w:w="1219" w:type="pct"/>
            <w:tcBorders>
              <w:top w:val="nil"/>
              <w:left w:val="nil"/>
              <w:bottom w:val="nil"/>
              <w:right w:val="nil"/>
            </w:tcBorders>
            <w:shd w:val="clear" w:color="auto" w:fill="FFFFFF"/>
            <w:tcMar>
              <w:top w:w="55" w:type="dxa"/>
              <w:left w:w="55" w:type="dxa"/>
              <w:bottom w:w="55" w:type="dxa"/>
              <w:right w:w="55" w:type="dxa"/>
            </w:tcMar>
            <w:vAlign w:val="center"/>
          </w:tcPr>
          <w:p w14:paraId="44BF1D2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IPW-weighted GEE sensitivity</w:t>
            </w:r>
          </w:p>
        </w:tc>
        <w:tc>
          <w:tcPr>
            <w:tcW w:w="1547" w:type="pct"/>
            <w:tcBorders>
              <w:top w:val="nil"/>
              <w:left w:val="nil"/>
              <w:bottom w:val="nil"/>
              <w:right w:val="nil"/>
            </w:tcBorders>
            <w:shd w:val="clear" w:color="auto" w:fill="FFFFFF"/>
            <w:tcMar>
              <w:top w:w="55" w:type="dxa"/>
              <w:left w:w="55" w:type="dxa"/>
              <w:bottom w:w="55" w:type="dxa"/>
              <w:right w:w="55" w:type="dxa"/>
            </w:tcMar>
            <w:vAlign w:val="center"/>
          </w:tcPr>
          <w:p w14:paraId="5786F75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β = -0.358 (-0.568, -0.147)</w:t>
            </w:r>
          </w:p>
        </w:tc>
        <w:tc>
          <w:tcPr>
            <w:tcW w:w="587" w:type="pct"/>
            <w:tcBorders>
              <w:top w:val="nil"/>
              <w:left w:val="nil"/>
              <w:bottom w:val="nil"/>
              <w:right w:val="nil"/>
            </w:tcBorders>
            <w:shd w:val="clear" w:color="auto" w:fill="FFFFFF"/>
            <w:tcMar>
              <w:top w:w="55" w:type="dxa"/>
              <w:left w:w="55" w:type="dxa"/>
              <w:bottom w:w="55" w:type="dxa"/>
              <w:right w:w="55" w:type="dxa"/>
            </w:tcMar>
            <w:vAlign w:val="center"/>
          </w:tcPr>
          <w:p w14:paraId="64280FB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&lt;0.001</w:t>
            </w:r>
          </w:p>
        </w:tc>
      </w:tr>
      <w:tr w14:paraId="2D4624D0">
        <w:trPr>
          <w:trHeight w:val="193" w:hRule="atLeast"/>
          <w:jc w:val="center"/>
        </w:trPr>
        <w:tc>
          <w:tcPr>
            <w:tcW w:w="1645" w:type="pct"/>
            <w:tcBorders>
              <w:top w:val="nil"/>
              <w:left w:val="nil"/>
              <w:bottom w:val="nil"/>
              <w:right w:val="nil"/>
            </w:tcBorders>
            <w:shd w:val="clear" w:color="auto" w:fill="FFFFFF"/>
            <w:tcMar>
              <w:top w:w="55" w:type="dxa"/>
              <w:left w:w="55" w:type="dxa"/>
              <w:bottom w:w="55" w:type="dxa"/>
              <w:right w:w="55" w:type="dxa"/>
            </w:tcMar>
            <w:vAlign w:val="center"/>
          </w:tcPr>
          <w:p w14:paraId="0DAAE71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Ferritin CV × time → </w:t>
            </w:r>
            <w:r>
              <w:rPr>
                <w:rFonts w:hint="default" w:ascii="Times New Roman" w:hAnsi="Times New Roman" w:eastAsia="Times New Roman" w:cs="Times New Roman Regular"/>
                <w:sz w:val="17"/>
                <w:szCs w:val="22"/>
                <w:lang w:val="en-US" w:eastAsia="zh-CN"/>
              </w:rPr>
              <w:t>FEV₁</w:t>
            </w:r>
          </w:p>
        </w:tc>
        <w:tc>
          <w:tcPr>
            <w:tcW w:w="1219" w:type="pct"/>
            <w:tcBorders>
              <w:top w:val="nil"/>
              <w:left w:val="nil"/>
              <w:bottom w:val="nil"/>
              <w:right w:val="nil"/>
            </w:tcBorders>
            <w:shd w:val="clear" w:color="auto" w:fill="FFFFFF"/>
            <w:tcMar>
              <w:top w:w="55" w:type="dxa"/>
              <w:left w:w="55" w:type="dxa"/>
              <w:bottom w:w="55" w:type="dxa"/>
              <w:right w:w="55" w:type="dxa"/>
            </w:tcMar>
            <w:vAlign w:val="center"/>
          </w:tcPr>
          <w:p w14:paraId="3C15C74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Complete-case GEE sensitivity</w:t>
            </w:r>
          </w:p>
        </w:tc>
        <w:tc>
          <w:tcPr>
            <w:tcW w:w="1547" w:type="pct"/>
            <w:tcBorders>
              <w:top w:val="nil"/>
              <w:left w:val="nil"/>
              <w:bottom w:val="nil"/>
              <w:right w:val="nil"/>
            </w:tcBorders>
            <w:shd w:val="clear" w:color="auto" w:fill="FFFFFF"/>
            <w:tcMar>
              <w:top w:w="55" w:type="dxa"/>
              <w:left w:w="55" w:type="dxa"/>
              <w:bottom w:w="55" w:type="dxa"/>
              <w:right w:w="55" w:type="dxa"/>
            </w:tcMar>
            <w:vAlign w:val="center"/>
          </w:tcPr>
          <w:p w14:paraId="22BC5C1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β = 0.011 (-0.011, 0.033)</w:t>
            </w:r>
          </w:p>
        </w:tc>
        <w:tc>
          <w:tcPr>
            <w:tcW w:w="587" w:type="pct"/>
            <w:tcBorders>
              <w:top w:val="nil"/>
              <w:left w:val="nil"/>
              <w:bottom w:val="nil"/>
              <w:right w:val="nil"/>
            </w:tcBorders>
            <w:shd w:val="clear" w:color="auto" w:fill="FFFFFF"/>
            <w:tcMar>
              <w:top w:w="55" w:type="dxa"/>
              <w:left w:w="55" w:type="dxa"/>
              <w:bottom w:w="55" w:type="dxa"/>
              <w:right w:w="55" w:type="dxa"/>
            </w:tcMar>
            <w:vAlign w:val="center"/>
          </w:tcPr>
          <w:p w14:paraId="0C4A98F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0.331</w:t>
            </w:r>
          </w:p>
        </w:tc>
      </w:tr>
      <w:tr w14:paraId="60DD323B">
        <w:trPr>
          <w:trHeight w:val="193" w:hRule="atLeast"/>
          <w:jc w:val="center"/>
        </w:trPr>
        <w:tc>
          <w:tcPr>
            <w:tcW w:w="1645" w:type="pct"/>
            <w:tcBorders>
              <w:top w:val="nil"/>
              <w:left w:val="nil"/>
              <w:bottom w:val="nil"/>
              <w:right w:val="nil"/>
            </w:tcBorders>
            <w:shd w:val="clear" w:color="auto" w:fill="FFFFFF"/>
            <w:tcMar>
              <w:top w:w="55" w:type="dxa"/>
              <w:left w:w="55" w:type="dxa"/>
              <w:bottom w:w="55" w:type="dxa"/>
              <w:right w:w="55" w:type="dxa"/>
            </w:tcMar>
            <w:vAlign w:val="center"/>
          </w:tcPr>
          <w:p w14:paraId="5148E6B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Ferritin CV × time → </w:t>
            </w:r>
            <w:r>
              <w:rPr>
                <w:rFonts w:hint="default" w:ascii="Times New Roman" w:hAnsi="Times New Roman" w:eastAsia="Times New Roman" w:cs="Times New Roman Regular"/>
                <w:sz w:val="17"/>
                <w:szCs w:val="22"/>
                <w:lang w:val="en-US" w:eastAsia="zh-CN"/>
              </w:rPr>
              <w:t>FEV₁</w:t>
            </w:r>
          </w:p>
        </w:tc>
        <w:tc>
          <w:tcPr>
            <w:tcW w:w="1219" w:type="pct"/>
            <w:tcBorders>
              <w:top w:val="nil"/>
              <w:left w:val="nil"/>
              <w:bottom w:val="nil"/>
              <w:right w:val="nil"/>
            </w:tcBorders>
            <w:shd w:val="clear" w:color="auto" w:fill="FFFFFF"/>
            <w:tcMar>
              <w:top w:w="55" w:type="dxa"/>
              <w:left w:w="55" w:type="dxa"/>
              <w:bottom w:w="55" w:type="dxa"/>
              <w:right w:w="55" w:type="dxa"/>
            </w:tcMar>
            <w:vAlign w:val="center"/>
          </w:tcPr>
          <w:p w14:paraId="2F8136E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IPW-weighted GEE sensitivity</w:t>
            </w:r>
          </w:p>
        </w:tc>
        <w:tc>
          <w:tcPr>
            <w:tcW w:w="1547" w:type="pct"/>
            <w:tcBorders>
              <w:top w:val="nil"/>
              <w:left w:val="nil"/>
              <w:bottom w:val="nil"/>
              <w:right w:val="nil"/>
            </w:tcBorders>
            <w:shd w:val="clear" w:color="auto" w:fill="FFFFFF"/>
            <w:tcMar>
              <w:top w:w="55" w:type="dxa"/>
              <w:left w:w="55" w:type="dxa"/>
              <w:bottom w:w="55" w:type="dxa"/>
              <w:right w:w="55" w:type="dxa"/>
            </w:tcMar>
            <w:vAlign w:val="center"/>
          </w:tcPr>
          <w:p w14:paraId="6180901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β = 0.011 (-0.011, 0.033)</w:t>
            </w:r>
          </w:p>
        </w:tc>
        <w:tc>
          <w:tcPr>
            <w:tcW w:w="587" w:type="pct"/>
            <w:tcBorders>
              <w:top w:val="nil"/>
              <w:left w:val="nil"/>
              <w:bottom w:val="nil"/>
              <w:right w:val="nil"/>
            </w:tcBorders>
            <w:shd w:val="clear" w:color="auto" w:fill="FFFFFF"/>
            <w:tcMar>
              <w:top w:w="55" w:type="dxa"/>
              <w:left w:w="55" w:type="dxa"/>
              <w:bottom w:w="55" w:type="dxa"/>
              <w:right w:w="55" w:type="dxa"/>
            </w:tcMar>
            <w:vAlign w:val="center"/>
          </w:tcPr>
          <w:p w14:paraId="54502C6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0.336</w:t>
            </w:r>
          </w:p>
        </w:tc>
      </w:tr>
      <w:tr w14:paraId="0A57C4CE">
        <w:trPr>
          <w:trHeight w:val="193" w:hRule="atLeast"/>
          <w:jc w:val="center"/>
        </w:trPr>
        <w:tc>
          <w:tcPr>
            <w:tcW w:w="1645" w:type="pct"/>
            <w:tcBorders>
              <w:top w:val="nil"/>
              <w:left w:val="nil"/>
              <w:bottom w:val="nil"/>
              <w:right w:val="nil"/>
            </w:tcBorders>
            <w:shd w:val="clear" w:color="auto" w:fill="FFFFFF"/>
            <w:tcMar>
              <w:top w:w="55" w:type="dxa"/>
              <w:left w:w="55" w:type="dxa"/>
              <w:bottom w:w="55" w:type="dxa"/>
              <w:right w:w="55" w:type="dxa"/>
            </w:tcMar>
            <w:vAlign w:val="center"/>
          </w:tcPr>
          <w:p w14:paraId="1CCE53E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IFI → any asthma-like symptom</w:t>
            </w:r>
          </w:p>
        </w:tc>
        <w:tc>
          <w:tcPr>
            <w:tcW w:w="1219" w:type="pct"/>
            <w:tcBorders>
              <w:top w:val="nil"/>
              <w:left w:val="nil"/>
              <w:bottom w:val="nil"/>
              <w:right w:val="nil"/>
            </w:tcBorders>
            <w:shd w:val="clear" w:color="auto" w:fill="FFFFFF"/>
            <w:tcMar>
              <w:top w:w="55" w:type="dxa"/>
              <w:left w:w="55" w:type="dxa"/>
              <w:bottom w:w="55" w:type="dxa"/>
              <w:right w:w="55" w:type="dxa"/>
            </w:tcMar>
            <w:vAlign w:val="center"/>
          </w:tcPr>
          <w:p w14:paraId="7F1AA11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Complete-case GEE sensitivity</w:t>
            </w:r>
          </w:p>
        </w:tc>
        <w:tc>
          <w:tcPr>
            <w:tcW w:w="1547" w:type="pct"/>
            <w:tcBorders>
              <w:top w:val="nil"/>
              <w:left w:val="nil"/>
              <w:bottom w:val="nil"/>
              <w:right w:val="nil"/>
            </w:tcBorders>
            <w:shd w:val="clear" w:color="auto" w:fill="FFFFFF"/>
            <w:tcMar>
              <w:top w:w="55" w:type="dxa"/>
              <w:left w:w="55" w:type="dxa"/>
              <w:bottom w:w="55" w:type="dxa"/>
              <w:right w:w="55" w:type="dxa"/>
            </w:tcMar>
            <w:vAlign w:val="center"/>
          </w:tcPr>
          <w:p w14:paraId="75C686A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OR = 1.04 (0.98, 1.11)</w:t>
            </w:r>
          </w:p>
        </w:tc>
        <w:tc>
          <w:tcPr>
            <w:tcW w:w="587" w:type="pct"/>
            <w:tcBorders>
              <w:top w:val="nil"/>
              <w:left w:val="nil"/>
              <w:bottom w:val="nil"/>
              <w:right w:val="nil"/>
            </w:tcBorders>
            <w:shd w:val="clear" w:color="auto" w:fill="FFFFFF"/>
            <w:tcMar>
              <w:top w:w="55" w:type="dxa"/>
              <w:left w:w="55" w:type="dxa"/>
              <w:bottom w:w="55" w:type="dxa"/>
              <w:right w:w="55" w:type="dxa"/>
            </w:tcMar>
            <w:vAlign w:val="center"/>
          </w:tcPr>
          <w:p w14:paraId="6DAA6E0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0.211</w:t>
            </w:r>
          </w:p>
        </w:tc>
      </w:tr>
      <w:tr w14:paraId="439F46C8">
        <w:trPr>
          <w:trHeight w:val="193" w:hRule="atLeast"/>
          <w:jc w:val="center"/>
        </w:trPr>
        <w:tc>
          <w:tcPr>
            <w:tcW w:w="1645"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1C285C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IFI → any asthma-like symptom</w:t>
            </w:r>
          </w:p>
        </w:tc>
        <w:tc>
          <w:tcPr>
            <w:tcW w:w="121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6769817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IPW-weighted GEE sensitivity</w:t>
            </w:r>
          </w:p>
        </w:tc>
        <w:tc>
          <w:tcPr>
            <w:tcW w:w="154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774767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OR = 1.04 (0.98, 1.11)</w:t>
            </w:r>
          </w:p>
        </w:tc>
        <w:tc>
          <w:tcPr>
            <w:tcW w:w="58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2DA6FF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0.211</w:t>
            </w:r>
          </w:p>
        </w:tc>
      </w:tr>
    </w:tbl>
    <w:p w14:paraId="749E5996">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sz w:val="20"/>
          <w:szCs w:val="22"/>
          <w:lang w:val="en-US" w:eastAsia="zh-CN"/>
        </w:rPr>
        <w:t>This table summarizes the principal inverse probability weighting (IPW) sensitivity analyses for the main analytic pathways, including IFI→FEV₁, ferritin CV→FEV₁, and IFI→symptom, as applicable. Reported estimates, confidence intervals, and P values are shown as specified in the table. Stabilized inverse probability weights were constructed using baseline covariate information and truncated at the 1st and 99th percentiles. These analyses were used to assess whether the principal findings remained materially unchanged after accounting for potential selection related to complete-case inclusion.</w:t>
      </w:r>
    </w:p>
    <w:p w14:paraId="6E88C845">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015BD985">
      <w:pPr>
        <w:tabs>
          <w:tab w:val="left" w:pos="1206"/>
        </w:tabs>
        <w:bidi w:val="0"/>
        <w:spacing w:before="0" w:after="0" w:line="240" w:lineRule="auto"/>
        <w:jc w:val="left"/>
        <w:rPr>
          <w:rFonts w:hint="default" w:ascii="Times New Roman Regular" w:hAnsi="Times New Roman Regular" w:cs="Times New Roman Regular"/>
          <w:b/>
          <w:bCs/>
          <w:sz w:val="22"/>
          <w:szCs w:val="22"/>
          <w:highlight w:val="yellow"/>
          <w:lang w:val="en-US" w:eastAsia="zh-CN"/>
        </w:rPr>
      </w:pPr>
    </w:p>
    <w:p w14:paraId="5D25E45F">
      <w:pPr>
        <w:spacing w:before="0" w:after="0" w:line="240" w:lineRule="auto"/>
        <w:rPr>
          <w:rFonts w:hint="default" w:ascii="Times New Roman Regular" w:hAnsi="Times New Roman Regular" w:cs="Times New Roman Regular"/>
          <w:b/>
          <w:bCs/>
          <w:sz w:val="22"/>
          <w:szCs w:val="22"/>
          <w:highlight w:val="yellow"/>
          <w:lang w:val="en-US" w:eastAsia="zh-CN"/>
        </w:rPr>
      </w:pPr>
      <w:r>
        <w:rPr>
          <w:rFonts w:hint="default" w:ascii="Times New Roman Regular" w:hAnsi="Times New Roman Regular" w:cs="Times New Roman Regular"/>
          <w:b/>
          <w:bCs/>
          <w:sz w:val="22"/>
          <w:szCs w:val="22"/>
          <w:highlight w:val="yellow"/>
          <w:lang w:val="en-US" w:eastAsia="zh-CN"/>
        </w:rPr>
        <w:br w:type="page"/>
      </w:r>
    </w:p>
    <w:p w14:paraId="228BB899">
      <w:pPr>
        <w:pStyle w:val="2"/>
        <w:keepNext/>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highlight w:val="none"/>
          <w:lang w:val="en-US" w:eastAsia="zh-CN"/>
        </w:rPr>
        <w:t>Supplementary Table S54. Diagnostics for stabilized inverse probability weights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77"/>
        <w:gridCol w:w="1096"/>
        <w:gridCol w:w="1823"/>
        <w:gridCol w:w="1159"/>
        <w:gridCol w:w="1567"/>
        <w:gridCol w:w="1167"/>
        <w:gridCol w:w="1291"/>
        <w:gridCol w:w="1167"/>
        <w:gridCol w:w="1619"/>
      </w:tblGrid>
      <w:tr w14:paraId="446FBDE0">
        <w:trPr>
          <w:trHeight w:val="193" w:hRule="atLeast"/>
          <w:tblHeader/>
          <w:jc w:val="center"/>
        </w:trPr>
        <w:tc>
          <w:tcPr>
            <w:tcW w:w="120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638058A6">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Analysis</w:t>
            </w:r>
          </w:p>
        </w:tc>
        <w:tc>
          <w:tcPr>
            <w:tcW w:w="381"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FBC3F3C">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n</w:t>
            </w:r>
          </w:p>
        </w:tc>
        <w:tc>
          <w:tcPr>
            <w:tcW w:w="634"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8BBC08D">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Mean weight</w:t>
            </w:r>
          </w:p>
        </w:tc>
        <w:tc>
          <w:tcPr>
            <w:tcW w:w="403"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1EAA9DA">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SD</w:t>
            </w:r>
          </w:p>
        </w:tc>
        <w:tc>
          <w:tcPr>
            <w:tcW w:w="545"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88D935E">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Minimum</w:t>
            </w:r>
          </w:p>
        </w:tc>
        <w:tc>
          <w:tcPr>
            <w:tcW w:w="406"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25C8D9A">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P1</w:t>
            </w:r>
          </w:p>
        </w:tc>
        <w:tc>
          <w:tcPr>
            <w:tcW w:w="44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F32271C">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Median</w:t>
            </w:r>
          </w:p>
        </w:tc>
        <w:tc>
          <w:tcPr>
            <w:tcW w:w="406"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0DDA6B9">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P99</w:t>
            </w:r>
          </w:p>
        </w:tc>
        <w:tc>
          <w:tcPr>
            <w:tcW w:w="563"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C551899">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Maximum</w:t>
            </w:r>
          </w:p>
        </w:tc>
      </w:tr>
      <w:tr w14:paraId="542968D5">
        <w:trPr>
          <w:trHeight w:val="193" w:hRule="atLeast"/>
          <w:jc w:val="center"/>
        </w:trPr>
        <w:tc>
          <w:tcPr>
            <w:tcW w:w="120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6580F36">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xml:space="preserve">IFI → </w:t>
            </w:r>
            <w:r>
              <w:rPr>
                <w:rFonts w:hint="default" w:ascii="Times New Roman" w:hAnsi="Times New Roman" w:eastAsia="Times New Roman" w:cs="Times New Roman Regular"/>
                <w:sz w:val="16"/>
                <w:szCs w:val="22"/>
                <w:lang w:val="en-US" w:eastAsia="zh-CN"/>
              </w:rPr>
              <w:t>FEV₁</w:t>
            </w:r>
          </w:p>
        </w:tc>
        <w:tc>
          <w:tcPr>
            <w:tcW w:w="381"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294B5501">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1,143</w:t>
            </w:r>
          </w:p>
        </w:tc>
        <w:tc>
          <w:tcPr>
            <w:tcW w:w="634"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5F95A9A">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0.47</w:t>
            </w:r>
          </w:p>
        </w:tc>
        <w:tc>
          <w:tcPr>
            <w:tcW w:w="403"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D1D2D3E">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0.022</w:t>
            </w:r>
          </w:p>
        </w:tc>
        <w:tc>
          <w:tcPr>
            <w:tcW w:w="545"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22429912">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0.465</w:t>
            </w:r>
          </w:p>
        </w:tc>
        <w:tc>
          <w:tcPr>
            <w:tcW w:w="406"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13E7CAEF">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0.465</w:t>
            </w:r>
          </w:p>
        </w:tc>
        <w:tc>
          <w:tcPr>
            <w:tcW w:w="44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CA1BA88">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0.465</w:t>
            </w:r>
          </w:p>
        </w:tc>
        <w:tc>
          <w:tcPr>
            <w:tcW w:w="406"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3C56EF5">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0.611</w:t>
            </w:r>
          </w:p>
        </w:tc>
        <w:tc>
          <w:tcPr>
            <w:tcW w:w="563"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1BA15D3">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0.614</w:t>
            </w:r>
          </w:p>
        </w:tc>
      </w:tr>
      <w:tr w14:paraId="5937139F">
        <w:trPr>
          <w:trHeight w:val="193" w:hRule="atLeast"/>
          <w:jc w:val="center"/>
        </w:trPr>
        <w:tc>
          <w:tcPr>
            <w:tcW w:w="1209" w:type="pct"/>
            <w:tcBorders>
              <w:top w:val="nil"/>
              <w:left w:val="nil"/>
              <w:bottom w:val="nil"/>
              <w:right w:val="nil"/>
            </w:tcBorders>
            <w:shd w:val="clear" w:color="auto" w:fill="FFFFFF"/>
            <w:tcMar>
              <w:top w:w="55" w:type="dxa"/>
              <w:left w:w="55" w:type="dxa"/>
              <w:bottom w:w="55" w:type="dxa"/>
              <w:right w:w="55" w:type="dxa"/>
            </w:tcMar>
            <w:vAlign w:val="center"/>
          </w:tcPr>
          <w:p w14:paraId="2CE48A3F">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xml:space="preserve">Ferritin CV → </w:t>
            </w:r>
            <w:r>
              <w:rPr>
                <w:rFonts w:hint="default" w:ascii="Times New Roman" w:hAnsi="Times New Roman" w:eastAsia="Times New Roman" w:cs="Times New Roman Regular"/>
                <w:sz w:val="16"/>
                <w:szCs w:val="22"/>
                <w:lang w:val="en-US" w:eastAsia="zh-CN"/>
              </w:rPr>
              <w:t>FEV₁</w:t>
            </w:r>
          </w:p>
        </w:tc>
        <w:tc>
          <w:tcPr>
            <w:tcW w:w="381" w:type="pct"/>
            <w:tcBorders>
              <w:top w:val="nil"/>
              <w:left w:val="nil"/>
              <w:bottom w:val="nil"/>
              <w:right w:val="nil"/>
            </w:tcBorders>
            <w:shd w:val="clear" w:color="auto" w:fill="FFFFFF"/>
            <w:tcMar>
              <w:top w:w="55" w:type="dxa"/>
              <w:left w:w="55" w:type="dxa"/>
              <w:bottom w:w="55" w:type="dxa"/>
              <w:right w:w="55" w:type="dxa"/>
            </w:tcMar>
            <w:vAlign w:val="center"/>
          </w:tcPr>
          <w:p w14:paraId="5632C88B">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1,143</w:t>
            </w:r>
          </w:p>
        </w:tc>
        <w:tc>
          <w:tcPr>
            <w:tcW w:w="634" w:type="pct"/>
            <w:tcBorders>
              <w:top w:val="nil"/>
              <w:left w:val="nil"/>
              <w:bottom w:val="nil"/>
              <w:right w:val="nil"/>
            </w:tcBorders>
            <w:shd w:val="clear" w:color="auto" w:fill="FFFFFF"/>
            <w:tcMar>
              <w:top w:w="55" w:type="dxa"/>
              <w:left w:w="55" w:type="dxa"/>
              <w:bottom w:w="55" w:type="dxa"/>
              <w:right w:w="55" w:type="dxa"/>
            </w:tcMar>
            <w:vAlign w:val="center"/>
          </w:tcPr>
          <w:p w14:paraId="7A365C7D">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0.47</w:t>
            </w:r>
          </w:p>
        </w:tc>
        <w:tc>
          <w:tcPr>
            <w:tcW w:w="403" w:type="pct"/>
            <w:tcBorders>
              <w:top w:val="nil"/>
              <w:left w:val="nil"/>
              <w:bottom w:val="nil"/>
              <w:right w:val="nil"/>
            </w:tcBorders>
            <w:shd w:val="clear" w:color="auto" w:fill="FFFFFF"/>
            <w:tcMar>
              <w:top w:w="55" w:type="dxa"/>
              <w:left w:w="55" w:type="dxa"/>
              <w:bottom w:w="55" w:type="dxa"/>
              <w:right w:w="55" w:type="dxa"/>
            </w:tcMar>
            <w:vAlign w:val="center"/>
          </w:tcPr>
          <w:p w14:paraId="09DA9EE9">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0.022</w:t>
            </w:r>
          </w:p>
        </w:tc>
        <w:tc>
          <w:tcPr>
            <w:tcW w:w="545" w:type="pct"/>
            <w:tcBorders>
              <w:top w:val="nil"/>
              <w:left w:val="nil"/>
              <w:bottom w:val="nil"/>
              <w:right w:val="nil"/>
            </w:tcBorders>
            <w:shd w:val="clear" w:color="auto" w:fill="FFFFFF"/>
            <w:tcMar>
              <w:top w:w="55" w:type="dxa"/>
              <w:left w:w="55" w:type="dxa"/>
              <w:bottom w:w="55" w:type="dxa"/>
              <w:right w:w="55" w:type="dxa"/>
            </w:tcMar>
            <w:vAlign w:val="center"/>
          </w:tcPr>
          <w:p w14:paraId="7082BBB9">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0.465</w:t>
            </w:r>
          </w:p>
        </w:tc>
        <w:tc>
          <w:tcPr>
            <w:tcW w:w="406" w:type="pct"/>
            <w:tcBorders>
              <w:top w:val="nil"/>
              <w:left w:val="nil"/>
              <w:bottom w:val="nil"/>
              <w:right w:val="nil"/>
            </w:tcBorders>
            <w:shd w:val="clear" w:color="auto" w:fill="FFFFFF"/>
            <w:tcMar>
              <w:top w:w="55" w:type="dxa"/>
              <w:left w:w="55" w:type="dxa"/>
              <w:bottom w:w="55" w:type="dxa"/>
              <w:right w:w="55" w:type="dxa"/>
            </w:tcMar>
            <w:vAlign w:val="center"/>
          </w:tcPr>
          <w:p w14:paraId="2C44B898">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0.465</w:t>
            </w:r>
          </w:p>
        </w:tc>
        <w:tc>
          <w:tcPr>
            <w:tcW w:w="449" w:type="pct"/>
            <w:tcBorders>
              <w:top w:val="nil"/>
              <w:left w:val="nil"/>
              <w:bottom w:val="nil"/>
              <w:right w:val="nil"/>
            </w:tcBorders>
            <w:shd w:val="clear" w:color="auto" w:fill="FFFFFF"/>
            <w:tcMar>
              <w:top w:w="55" w:type="dxa"/>
              <w:left w:w="55" w:type="dxa"/>
              <w:bottom w:w="55" w:type="dxa"/>
              <w:right w:w="55" w:type="dxa"/>
            </w:tcMar>
            <w:vAlign w:val="center"/>
          </w:tcPr>
          <w:p w14:paraId="05F6404F">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0.465</w:t>
            </w:r>
          </w:p>
        </w:tc>
        <w:tc>
          <w:tcPr>
            <w:tcW w:w="406" w:type="pct"/>
            <w:tcBorders>
              <w:top w:val="nil"/>
              <w:left w:val="nil"/>
              <w:bottom w:val="nil"/>
              <w:right w:val="nil"/>
            </w:tcBorders>
            <w:shd w:val="clear" w:color="auto" w:fill="FFFFFF"/>
            <w:tcMar>
              <w:top w:w="55" w:type="dxa"/>
              <w:left w:w="55" w:type="dxa"/>
              <w:bottom w:w="55" w:type="dxa"/>
              <w:right w:w="55" w:type="dxa"/>
            </w:tcMar>
            <w:vAlign w:val="center"/>
          </w:tcPr>
          <w:p w14:paraId="165EC460">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0.611</w:t>
            </w:r>
          </w:p>
        </w:tc>
        <w:tc>
          <w:tcPr>
            <w:tcW w:w="563" w:type="pct"/>
            <w:tcBorders>
              <w:top w:val="nil"/>
              <w:left w:val="nil"/>
              <w:bottom w:val="nil"/>
              <w:right w:val="nil"/>
            </w:tcBorders>
            <w:shd w:val="clear" w:color="auto" w:fill="FFFFFF"/>
            <w:tcMar>
              <w:top w:w="55" w:type="dxa"/>
              <w:left w:w="55" w:type="dxa"/>
              <w:bottom w:w="55" w:type="dxa"/>
              <w:right w:w="55" w:type="dxa"/>
            </w:tcMar>
            <w:vAlign w:val="center"/>
          </w:tcPr>
          <w:p w14:paraId="642844F0">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0.614</w:t>
            </w:r>
          </w:p>
        </w:tc>
      </w:tr>
      <w:tr w14:paraId="22DC6D1C">
        <w:trPr>
          <w:trHeight w:val="193" w:hRule="atLeast"/>
          <w:jc w:val="center"/>
        </w:trPr>
        <w:tc>
          <w:tcPr>
            <w:tcW w:w="120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679EAEFA">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IFI → any asthma-like symptom</w:t>
            </w:r>
          </w:p>
        </w:tc>
        <w:tc>
          <w:tcPr>
            <w:tcW w:w="381"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6B512F3F">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1,143</w:t>
            </w:r>
          </w:p>
        </w:tc>
        <w:tc>
          <w:tcPr>
            <w:tcW w:w="634"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5FBF544">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0.472</w:t>
            </w:r>
          </w:p>
        </w:tc>
        <w:tc>
          <w:tcPr>
            <w:tcW w:w="403"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9D65C19">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w:t>
            </w:r>
          </w:p>
        </w:tc>
        <w:tc>
          <w:tcPr>
            <w:tcW w:w="545"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60A1AD4A">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0.472</w:t>
            </w:r>
          </w:p>
        </w:tc>
        <w:tc>
          <w:tcPr>
            <w:tcW w:w="406"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6E79663">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0.472</w:t>
            </w:r>
          </w:p>
        </w:tc>
        <w:tc>
          <w:tcPr>
            <w:tcW w:w="44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10ADC6A">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0.472</w:t>
            </w:r>
          </w:p>
        </w:tc>
        <w:tc>
          <w:tcPr>
            <w:tcW w:w="406"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237BCFC">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0.472</w:t>
            </w:r>
          </w:p>
        </w:tc>
        <w:tc>
          <w:tcPr>
            <w:tcW w:w="563"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55B4333">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0.472</w:t>
            </w:r>
          </w:p>
        </w:tc>
      </w:tr>
    </w:tbl>
    <w:p w14:paraId="1E9634C8">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sz w:val="20"/>
          <w:szCs w:val="22"/>
          <w:lang w:val="en-US" w:eastAsia="zh-CN"/>
        </w:rPr>
        <w:t>This table summarizes diagnostic information for the stabilized inverse probability weights used in the IPW sensitivity analyses. Reported metrics may include summary statistics of the untruncated and truncated weights, percentile values, and other distributional indicators, as specified in the table. Weights were truncated at the 1st and 99th percentiles to reduce the influence of extreme values. These diagnostics were used to assess the practical stability and implementation of the IPW framework.</w:t>
      </w:r>
    </w:p>
    <w:p w14:paraId="31DD32CF">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60F7506">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201C8D7">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82607E1">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051DFCF6">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819F7ED">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4198B90">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96A0538">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04E9E9F">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0F53F1AE">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6E39887">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30FC287">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704AA5A">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12ECC236">
      <w:pPr>
        <w:spacing w:before="0" w:after="0" w:line="240" w:lineRule="auto"/>
        <w:rPr>
          <w:rFonts w:hint="default" w:ascii="Times New Roman Regular" w:hAnsi="Times New Roman Regular" w:cs="Times New Roman Regular"/>
          <w:b/>
          <w:bCs/>
          <w:sz w:val="22"/>
          <w:szCs w:val="22"/>
          <w:lang w:val="en-US" w:eastAsia="zh-CN"/>
        </w:rPr>
      </w:pPr>
      <w:r>
        <w:rPr>
          <w:rFonts w:hint="default" w:ascii="Times New Roman Regular" w:hAnsi="Times New Roman Regular" w:cs="Times New Roman Regular"/>
          <w:b/>
          <w:bCs/>
          <w:sz w:val="22"/>
          <w:szCs w:val="22"/>
          <w:lang w:val="en-US" w:eastAsia="zh-CN"/>
        </w:rPr>
        <w:br w:type="page"/>
      </w:r>
    </w:p>
    <w:p w14:paraId="7B1E330A">
      <w:pPr>
        <w:pStyle w:val="2"/>
        <w:keepNext/>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S55. Probability model for complete-case inclusion in the IFI→FEV₁ analysis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39"/>
        <w:gridCol w:w="3625"/>
        <w:gridCol w:w="3289"/>
        <w:gridCol w:w="2613"/>
      </w:tblGrid>
      <w:tr w14:paraId="45DCAB63">
        <w:trPr>
          <w:trHeight w:val="193" w:hRule="atLeast"/>
          <w:tblHeader/>
          <w:jc w:val="center"/>
        </w:trPr>
        <w:tc>
          <w:tcPr>
            <w:tcW w:w="1683"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7A1A46B">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Variable</w:t>
            </w:r>
          </w:p>
        </w:tc>
        <w:tc>
          <w:tcPr>
            <w:tcW w:w="1261"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28B742D">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Estimate</w:t>
            </w:r>
          </w:p>
        </w:tc>
        <w:tc>
          <w:tcPr>
            <w:tcW w:w="1144"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067F595">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95% CI</w:t>
            </w:r>
          </w:p>
        </w:tc>
        <w:tc>
          <w:tcPr>
            <w:tcW w:w="90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3D2D6291">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190F195A">
        <w:trPr>
          <w:trHeight w:val="193" w:hRule="atLeast"/>
          <w:jc w:val="center"/>
        </w:trPr>
        <w:tc>
          <w:tcPr>
            <w:tcW w:w="1683"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10FD88F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Age</w:t>
            </w:r>
          </w:p>
        </w:tc>
        <w:tc>
          <w:tcPr>
            <w:tcW w:w="1261"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6A2D9D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0.011</w:t>
            </w:r>
          </w:p>
        </w:tc>
        <w:tc>
          <w:tcPr>
            <w:tcW w:w="1144"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FCF484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-0.087 to 0.128</w:t>
            </w:r>
          </w:p>
        </w:tc>
        <w:tc>
          <w:tcPr>
            <w:tcW w:w="90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3C00BF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0.829</w:t>
            </w:r>
          </w:p>
        </w:tc>
      </w:tr>
      <w:tr w14:paraId="1234BB06">
        <w:trPr>
          <w:trHeight w:val="193" w:hRule="atLeast"/>
          <w:jc w:val="center"/>
        </w:trPr>
        <w:tc>
          <w:tcPr>
            <w:tcW w:w="1683" w:type="pct"/>
            <w:tcBorders>
              <w:top w:val="nil"/>
              <w:left w:val="nil"/>
              <w:bottom w:val="nil"/>
              <w:right w:val="nil"/>
            </w:tcBorders>
            <w:shd w:val="clear" w:color="auto" w:fill="FFFFFF"/>
            <w:tcMar>
              <w:top w:w="55" w:type="dxa"/>
              <w:left w:w="55" w:type="dxa"/>
              <w:bottom w:w="55" w:type="dxa"/>
              <w:right w:w="55" w:type="dxa"/>
            </w:tcMar>
            <w:vAlign w:val="center"/>
          </w:tcPr>
          <w:p w14:paraId="63F9447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Female sex</w:t>
            </w:r>
          </w:p>
        </w:tc>
        <w:tc>
          <w:tcPr>
            <w:tcW w:w="1261" w:type="pct"/>
            <w:tcBorders>
              <w:top w:val="nil"/>
              <w:left w:val="nil"/>
              <w:bottom w:val="nil"/>
              <w:right w:val="nil"/>
            </w:tcBorders>
            <w:shd w:val="clear" w:color="auto" w:fill="FFFFFF"/>
            <w:tcMar>
              <w:top w:w="55" w:type="dxa"/>
              <w:left w:w="55" w:type="dxa"/>
              <w:bottom w:w="55" w:type="dxa"/>
              <w:right w:w="55" w:type="dxa"/>
            </w:tcMar>
            <w:vAlign w:val="center"/>
          </w:tcPr>
          <w:p w14:paraId="228C409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-1.773</w:t>
            </w:r>
          </w:p>
        </w:tc>
        <w:tc>
          <w:tcPr>
            <w:tcW w:w="1144" w:type="pct"/>
            <w:tcBorders>
              <w:top w:val="nil"/>
              <w:left w:val="nil"/>
              <w:bottom w:val="nil"/>
              <w:right w:val="nil"/>
            </w:tcBorders>
            <w:shd w:val="clear" w:color="auto" w:fill="FFFFFF"/>
            <w:tcMar>
              <w:top w:w="55" w:type="dxa"/>
              <w:left w:w="55" w:type="dxa"/>
              <w:bottom w:w="55" w:type="dxa"/>
              <w:right w:w="55" w:type="dxa"/>
            </w:tcMar>
            <w:vAlign w:val="center"/>
          </w:tcPr>
          <w:p w14:paraId="18D0D08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-5.542 to 0.934</w:t>
            </w:r>
          </w:p>
        </w:tc>
        <w:tc>
          <w:tcPr>
            <w:tcW w:w="909" w:type="pct"/>
            <w:tcBorders>
              <w:top w:val="nil"/>
              <w:left w:val="nil"/>
              <w:bottom w:val="nil"/>
              <w:right w:val="nil"/>
            </w:tcBorders>
            <w:shd w:val="clear" w:color="auto" w:fill="FFFFFF"/>
            <w:tcMar>
              <w:top w:w="55" w:type="dxa"/>
              <w:left w:w="55" w:type="dxa"/>
              <w:bottom w:w="55" w:type="dxa"/>
              <w:right w:w="55" w:type="dxa"/>
            </w:tcMar>
            <w:vAlign w:val="center"/>
          </w:tcPr>
          <w:p w14:paraId="6788EA4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0.265</w:t>
            </w:r>
          </w:p>
        </w:tc>
      </w:tr>
      <w:tr w14:paraId="38B225F7">
        <w:trPr>
          <w:trHeight w:val="193" w:hRule="atLeast"/>
          <w:jc w:val="center"/>
        </w:trPr>
        <w:tc>
          <w:tcPr>
            <w:tcW w:w="1683" w:type="pct"/>
            <w:tcBorders>
              <w:top w:val="nil"/>
              <w:left w:val="nil"/>
              <w:bottom w:val="nil"/>
              <w:right w:val="nil"/>
            </w:tcBorders>
            <w:shd w:val="clear" w:color="auto" w:fill="FFFFFF"/>
            <w:tcMar>
              <w:top w:w="55" w:type="dxa"/>
              <w:left w:w="55" w:type="dxa"/>
              <w:bottom w:w="55" w:type="dxa"/>
              <w:right w:w="55" w:type="dxa"/>
            </w:tcMar>
            <w:vAlign w:val="center"/>
          </w:tcPr>
          <w:p w14:paraId="022510A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Current smoking</w:t>
            </w:r>
          </w:p>
        </w:tc>
        <w:tc>
          <w:tcPr>
            <w:tcW w:w="1261" w:type="pct"/>
            <w:tcBorders>
              <w:top w:val="nil"/>
              <w:left w:val="nil"/>
              <w:bottom w:val="nil"/>
              <w:right w:val="nil"/>
            </w:tcBorders>
            <w:shd w:val="clear" w:color="auto" w:fill="FFFFFF"/>
            <w:tcMar>
              <w:top w:w="55" w:type="dxa"/>
              <w:left w:w="55" w:type="dxa"/>
              <w:bottom w:w="55" w:type="dxa"/>
              <w:right w:w="55" w:type="dxa"/>
            </w:tcMar>
            <w:vAlign w:val="center"/>
          </w:tcPr>
          <w:p w14:paraId="094A4DD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-0.868</w:t>
            </w:r>
          </w:p>
        </w:tc>
        <w:tc>
          <w:tcPr>
            <w:tcW w:w="1144" w:type="pct"/>
            <w:tcBorders>
              <w:top w:val="nil"/>
              <w:left w:val="nil"/>
              <w:bottom w:val="nil"/>
              <w:right w:val="nil"/>
            </w:tcBorders>
            <w:shd w:val="clear" w:color="auto" w:fill="FFFFFF"/>
            <w:tcMar>
              <w:top w:w="55" w:type="dxa"/>
              <w:left w:w="55" w:type="dxa"/>
              <w:bottom w:w="55" w:type="dxa"/>
              <w:right w:w="55" w:type="dxa"/>
            </w:tcMar>
            <w:vAlign w:val="center"/>
          </w:tcPr>
          <w:p w14:paraId="185BBD2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-3.099 to 1.084</w:t>
            </w:r>
          </w:p>
        </w:tc>
        <w:tc>
          <w:tcPr>
            <w:tcW w:w="909" w:type="pct"/>
            <w:tcBorders>
              <w:top w:val="nil"/>
              <w:left w:val="nil"/>
              <w:bottom w:val="nil"/>
              <w:right w:val="nil"/>
            </w:tcBorders>
            <w:shd w:val="clear" w:color="auto" w:fill="FFFFFF"/>
            <w:tcMar>
              <w:top w:w="55" w:type="dxa"/>
              <w:left w:w="55" w:type="dxa"/>
              <w:bottom w:w="55" w:type="dxa"/>
              <w:right w:w="55" w:type="dxa"/>
            </w:tcMar>
            <w:vAlign w:val="center"/>
          </w:tcPr>
          <w:p w14:paraId="7C78BCC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0.395</w:t>
            </w:r>
          </w:p>
        </w:tc>
      </w:tr>
      <w:tr w14:paraId="6B5EA6D2">
        <w:trPr>
          <w:trHeight w:val="193" w:hRule="atLeast"/>
          <w:jc w:val="center"/>
        </w:trPr>
        <w:tc>
          <w:tcPr>
            <w:tcW w:w="1683" w:type="pct"/>
            <w:tcBorders>
              <w:top w:val="nil"/>
              <w:left w:val="nil"/>
              <w:bottom w:val="nil"/>
              <w:right w:val="nil"/>
            </w:tcBorders>
            <w:shd w:val="clear" w:color="auto" w:fill="FFFFFF"/>
            <w:tcMar>
              <w:top w:w="55" w:type="dxa"/>
              <w:left w:w="55" w:type="dxa"/>
              <w:bottom w:w="55" w:type="dxa"/>
              <w:right w:w="55" w:type="dxa"/>
            </w:tcMar>
            <w:vAlign w:val="center"/>
          </w:tcPr>
          <w:p w14:paraId="411C1E3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Body mass index (BMI)</w:t>
            </w:r>
          </w:p>
        </w:tc>
        <w:tc>
          <w:tcPr>
            <w:tcW w:w="1261" w:type="pct"/>
            <w:tcBorders>
              <w:top w:val="nil"/>
              <w:left w:val="nil"/>
              <w:bottom w:val="nil"/>
              <w:right w:val="nil"/>
            </w:tcBorders>
            <w:shd w:val="clear" w:color="auto" w:fill="FFFFFF"/>
            <w:tcMar>
              <w:top w:w="55" w:type="dxa"/>
              <w:left w:w="55" w:type="dxa"/>
              <w:bottom w:w="55" w:type="dxa"/>
              <w:right w:w="55" w:type="dxa"/>
            </w:tcMar>
            <w:vAlign w:val="center"/>
          </w:tcPr>
          <w:p w14:paraId="6749B41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0.035</w:t>
            </w:r>
          </w:p>
        </w:tc>
        <w:tc>
          <w:tcPr>
            <w:tcW w:w="1144" w:type="pct"/>
            <w:tcBorders>
              <w:top w:val="nil"/>
              <w:left w:val="nil"/>
              <w:bottom w:val="nil"/>
              <w:right w:val="nil"/>
            </w:tcBorders>
            <w:shd w:val="clear" w:color="auto" w:fill="FFFFFF"/>
            <w:tcMar>
              <w:top w:w="55" w:type="dxa"/>
              <w:left w:w="55" w:type="dxa"/>
              <w:bottom w:w="55" w:type="dxa"/>
              <w:right w:w="55" w:type="dxa"/>
            </w:tcMar>
            <w:vAlign w:val="center"/>
          </w:tcPr>
          <w:p w14:paraId="54AB2B2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-0.216 to 0.302</w:t>
            </w:r>
          </w:p>
        </w:tc>
        <w:tc>
          <w:tcPr>
            <w:tcW w:w="909" w:type="pct"/>
            <w:tcBorders>
              <w:top w:val="nil"/>
              <w:left w:val="nil"/>
              <w:bottom w:val="nil"/>
              <w:right w:val="nil"/>
            </w:tcBorders>
            <w:shd w:val="clear" w:color="auto" w:fill="FFFFFF"/>
            <w:tcMar>
              <w:top w:w="55" w:type="dxa"/>
              <w:left w:w="55" w:type="dxa"/>
              <w:bottom w:w="55" w:type="dxa"/>
              <w:right w:w="55" w:type="dxa"/>
            </w:tcMar>
            <w:vAlign w:val="center"/>
          </w:tcPr>
          <w:p w14:paraId="24A8A01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0.773</w:t>
            </w:r>
          </w:p>
        </w:tc>
      </w:tr>
      <w:tr w14:paraId="2FB2F6BB">
        <w:trPr>
          <w:trHeight w:val="193" w:hRule="atLeast"/>
          <w:jc w:val="center"/>
        </w:trPr>
        <w:tc>
          <w:tcPr>
            <w:tcW w:w="1683" w:type="pct"/>
            <w:tcBorders>
              <w:top w:val="nil"/>
              <w:left w:val="nil"/>
              <w:bottom w:val="nil"/>
              <w:right w:val="nil"/>
            </w:tcBorders>
            <w:shd w:val="clear" w:color="auto" w:fill="FFFFFF"/>
            <w:tcMar>
              <w:top w:w="55" w:type="dxa"/>
              <w:left w:w="55" w:type="dxa"/>
              <w:bottom w:w="55" w:type="dxa"/>
              <w:right w:w="55" w:type="dxa"/>
            </w:tcMar>
            <w:vAlign w:val="center"/>
          </w:tcPr>
          <w:p w14:paraId="1523705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log(CRP)</w:t>
            </w:r>
          </w:p>
        </w:tc>
        <w:tc>
          <w:tcPr>
            <w:tcW w:w="1261" w:type="pct"/>
            <w:tcBorders>
              <w:top w:val="nil"/>
              <w:left w:val="nil"/>
              <w:bottom w:val="nil"/>
              <w:right w:val="nil"/>
            </w:tcBorders>
            <w:shd w:val="clear" w:color="auto" w:fill="FFFFFF"/>
            <w:tcMar>
              <w:top w:w="55" w:type="dxa"/>
              <w:left w:w="55" w:type="dxa"/>
              <w:bottom w:w="55" w:type="dxa"/>
              <w:right w:w="55" w:type="dxa"/>
            </w:tcMar>
            <w:vAlign w:val="center"/>
          </w:tcPr>
          <w:p w14:paraId="32832AA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0.169</w:t>
            </w:r>
          </w:p>
        </w:tc>
        <w:tc>
          <w:tcPr>
            <w:tcW w:w="1144" w:type="pct"/>
            <w:tcBorders>
              <w:top w:val="nil"/>
              <w:left w:val="nil"/>
              <w:bottom w:val="nil"/>
              <w:right w:val="nil"/>
            </w:tcBorders>
            <w:shd w:val="clear" w:color="auto" w:fill="FFFFFF"/>
            <w:tcMar>
              <w:top w:w="55" w:type="dxa"/>
              <w:left w:w="55" w:type="dxa"/>
              <w:bottom w:w="55" w:type="dxa"/>
              <w:right w:w="55" w:type="dxa"/>
            </w:tcMar>
            <w:vAlign w:val="center"/>
          </w:tcPr>
          <w:p w14:paraId="167596F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-0.996 to 1.540</w:t>
            </w:r>
          </w:p>
        </w:tc>
        <w:tc>
          <w:tcPr>
            <w:tcW w:w="909" w:type="pct"/>
            <w:tcBorders>
              <w:top w:val="nil"/>
              <w:left w:val="nil"/>
              <w:bottom w:val="nil"/>
              <w:right w:val="nil"/>
            </w:tcBorders>
            <w:shd w:val="clear" w:color="auto" w:fill="FFFFFF"/>
            <w:tcMar>
              <w:top w:w="55" w:type="dxa"/>
              <w:left w:w="55" w:type="dxa"/>
              <w:bottom w:w="55" w:type="dxa"/>
              <w:right w:w="55" w:type="dxa"/>
            </w:tcMar>
            <w:vAlign w:val="center"/>
          </w:tcPr>
          <w:p w14:paraId="19F290D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0.784</w:t>
            </w:r>
          </w:p>
        </w:tc>
      </w:tr>
      <w:tr w14:paraId="1BCCA7E5">
        <w:trPr>
          <w:trHeight w:val="193" w:hRule="atLeast"/>
          <w:jc w:val="center"/>
        </w:trPr>
        <w:tc>
          <w:tcPr>
            <w:tcW w:w="1683" w:type="pct"/>
            <w:tcBorders>
              <w:top w:val="nil"/>
              <w:left w:val="nil"/>
              <w:bottom w:val="nil"/>
              <w:right w:val="nil"/>
            </w:tcBorders>
            <w:shd w:val="clear" w:color="auto" w:fill="FFFFFF"/>
            <w:tcMar>
              <w:top w:w="55" w:type="dxa"/>
              <w:left w:w="55" w:type="dxa"/>
              <w:bottom w:w="55" w:type="dxa"/>
              <w:right w:w="55" w:type="dxa"/>
            </w:tcMar>
            <w:vAlign w:val="center"/>
          </w:tcPr>
          <w:p w14:paraId="2DAE2A4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Hemoglobin</w:t>
            </w:r>
          </w:p>
        </w:tc>
        <w:tc>
          <w:tcPr>
            <w:tcW w:w="1261" w:type="pct"/>
            <w:tcBorders>
              <w:top w:val="nil"/>
              <w:left w:val="nil"/>
              <w:bottom w:val="nil"/>
              <w:right w:val="nil"/>
            </w:tcBorders>
            <w:shd w:val="clear" w:color="auto" w:fill="FFFFFF"/>
            <w:tcMar>
              <w:top w:w="55" w:type="dxa"/>
              <w:left w:w="55" w:type="dxa"/>
              <w:bottom w:w="55" w:type="dxa"/>
              <w:right w:w="55" w:type="dxa"/>
            </w:tcMar>
            <w:vAlign w:val="center"/>
          </w:tcPr>
          <w:p w14:paraId="6310792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-0.231</w:t>
            </w:r>
          </w:p>
        </w:tc>
        <w:tc>
          <w:tcPr>
            <w:tcW w:w="1144" w:type="pct"/>
            <w:tcBorders>
              <w:top w:val="nil"/>
              <w:left w:val="nil"/>
              <w:bottom w:val="nil"/>
              <w:right w:val="nil"/>
            </w:tcBorders>
            <w:shd w:val="clear" w:color="auto" w:fill="FFFFFF"/>
            <w:tcMar>
              <w:top w:w="55" w:type="dxa"/>
              <w:left w:w="55" w:type="dxa"/>
              <w:bottom w:w="55" w:type="dxa"/>
              <w:right w:w="55" w:type="dxa"/>
            </w:tcMar>
            <w:vAlign w:val="center"/>
          </w:tcPr>
          <w:p w14:paraId="25ABF4E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-1.880 to 1.496</w:t>
            </w:r>
          </w:p>
        </w:tc>
        <w:tc>
          <w:tcPr>
            <w:tcW w:w="909" w:type="pct"/>
            <w:tcBorders>
              <w:top w:val="nil"/>
              <w:left w:val="nil"/>
              <w:bottom w:val="nil"/>
              <w:right w:val="nil"/>
            </w:tcBorders>
            <w:shd w:val="clear" w:color="auto" w:fill="FFFFFF"/>
            <w:tcMar>
              <w:top w:w="55" w:type="dxa"/>
              <w:left w:w="55" w:type="dxa"/>
              <w:bottom w:w="55" w:type="dxa"/>
              <w:right w:w="55" w:type="dxa"/>
            </w:tcMar>
            <w:vAlign w:val="center"/>
          </w:tcPr>
          <w:p w14:paraId="39A8F95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0.772</w:t>
            </w:r>
          </w:p>
        </w:tc>
      </w:tr>
      <w:tr w14:paraId="25F03199">
        <w:trPr>
          <w:trHeight w:val="193" w:hRule="atLeast"/>
          <w:jc w:val="center"/>
        </w:trPr>
        <w:tc>
          <w:tcPr>
            <w:tcW w:w="1683" w:type="pct"/>
            <w:tcBorders>
              <w:top w:val="nil"/>
              <w:left w:val="nil"/>
              <w:bottom w:val="nil"/>
              <w:right w:val="nil"/>
            </w:tcBorders>
            <w:shd w:val="clear" w:color="auto" w:fill="FFFFFF"/>
            <w:tcMar>
              <w:top w:w="55" w:type="dxa"/>
              <w:left w:w="55" w:type="dxa"/>
              <w:bottom w:w="55" w:type="dxa"/>
              <w:right w:w="55" w:type="dxa"/>
            </w:tcMar>
            <w:vAlign w:val="center"/>
          </w:tcPr>
          <w:p w14:paraId="7290C86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Baseline </w:t>
            </w:r>
            <w:r>
              <w:rPr>
                <w:rFonts w:hint="default" w:ascii="Times New Roman" w:hAnsi="Times New Roman" w:eastAsia="Times New Roman" w:cs="Times New Roman Regular"/>
                <w:sz w:val="17"/>
                <w:szCs w:val="22"/>
                <w:lang w:val="en-US" w:eastAsia="zh-CN"/>
              </w:rPr>
              <w:t>FEV₁</w:t>
            </w:r>
          </w:p>
        </w:tc>
        <w:tc>
          <w:tcPr>
            <w:tcW w:w="1261" w:type="pct"/>
            <w:tcBorders>
              <w:top w:val="nil"/>
              <w:left w:val="nil"/>
              <w:bottom w:val="nil"/>
              <w:right w:val="nil"/>
            </w:tcBorders>
            <w:shd w:val="clear" w:color="auto" w:fill="FFFFFF"/>
            <w:tcMar>
              <w:top w:w="55" w:type="dxa"/>
              <w:left w:w="55" w:type="dxa"/>
              <w:bottom w:w="55" w:type="dxa"/>
              <w:right w:w="55" w:type="dxa"/>
            </w:tcMar>
            <w:vAlign w:val="center"/>
          </w:tcPr>
          <w:p w14:paraId="11505A9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-0.365</w:t>
            </w:r>
          </w:p>
        </w:tc>
        <w:tc>
          <w:tcPr>
            <w:tcW w:w="1144" w:type="pct"/>
            <w:tcBorders>
              <w:top w:val="nil"/>
              <w:left w:val="nil"/>
              <w:bottom w:val="nil"/>
              <w:right w:val="nil"/>
            </w:tcBorders>
            <w:shd w:val="clear" w:color="auto" w:fill="FFFFFF"/>
            <w:tcMar>
              <w:top w:w="55" w:type="dxa"/>
              <w:left w:w="55" w:type="dxa"/>
              <w:bottom w:w="55" w:type="dxa"/>
              <w:right w:w="55" w:type="dxa"/>
            </w:tcMar>
            <w:vAlign w:val="center"/>
          </w:tcPr>
          <w:p w14:paraId="5928997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-4.468 to 3.886</w:t>
            </w:r>
          </w:p>
        </w:tc>
        <w:tc>
          <w:tcPr>
            <w:tcW w:w="909" w:type="pct"/>
            <w:tcBorders>
              <w:top w:val="nil"/>
              <w:left w:val="nil"/>
              <w:bottom w:val="nil"/>
              <w:right w:val="nil"/>
            </w:tcBorders>
            <w:shd w:val="clear" w:color="auto" w:fill="FFFFFF"/>
            <w:tcMar>
              <w:top w:w="55" w:type="dxa"/>
              <w:left w:w="55" w:type="dxa"/>
              <w:bottom w:w="55" w:type="dxa"/>
              <w:right w:w="55" w:type="dxa"/>
            </w:tcMar>
            <w:vAlign w:val="center"/>
          </w:tcPr>
          <w:p w14:paraId="572DD4C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0.857</w:t>
            </w:r>
          </w:p>
        </w:tc>
      </w:tr>
      <w:tr w14:paraId="7D2490FD">
        <w:trPr>
          <w:trHeight w:val="193" w:hRule="atLeast"/>
          <w:jc w:val="center"/>
        </w:trPr>
        <w:tc>
          <w:tcPr>
            <w:tcW w:w="1683" w:type="pct"/>
            <w:tcBorders>
              <w:top w:val="nil"/>
              <w:left w:val="nil"/>
              <w:bottom w:val="nil"/>
              <w:right w:val="nil"/>
            </w:tcBorders>
            <w:shd w:val="clear" w:color="auto" w:fill="FFFFFF"/>
            <w:tcMar>
              <w:top w:w="55" w:type="dxa"/>
              <w:left w:w="55" w:type="dxa"/>
              <w:bottom w:w="55" w:type="dxa"/>
              <w:right w:w="55" w:type="dxa"/>
            </w:tcMar>
            <w:vAlign w:val="center"/>
          </w:tcPr>
          <w:p w14:paraId="2AE12E9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w:t>
            </w:r>
          </w:p>
        </w:tc>
        <w:tc>
          <w:tcPr>
            <w:tcW w:w="1261" w:type="pct"/>
            <w:tcBorders>
              <w:top w:val="nil"/>
              <w:left w:val="nil"/>
              <w:bottom w:val="nil"/>
              <w:right w:val="nil"/>
            </w:tcBorders>
            <w:shd w:val="clear" w:color="auto" w:fill="FFFFFF"/>
            <w:tcMar>
              <w:top w:w="55" w:type="dxa"/>
              <w:left w:w="55" w:type="dxa"/>
              <w:bottom w:w="55" w:type="dxa"/>
              <w:right w:w="55" w:type="dxa"/>
            </w:tcMar>
            <w:vAlign w:val="center"/>
          </w:tcPr>
          <w:p w14:paraId="03F8301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0.043</w:t>
            </w:r>
          </w:p>
        </w:tc>
        <w:tc>
          <w:tcPr>
            <w:tcW w:w="1144" w:type="pct"/>
            <w:tcBorders>
              <w:top w:val="nil"/>
              <w:left w:val="nil"/>
              <w:bottom w:val="nil"/>
              <w:right w:val="nil"/>
            </w:tcBorders>
            <w:shd w:val="clear" w:color="auto" w:fill="FFFFFF"/>
            <w:tcMar>
              <w:top w:w="55" w:type="dxa"/>
              <w:left w:w="55" w:type="dxa"/>
              <w:bottom w:w="55" w:type="dxa"/>
              <w:right w:w="55" w:type="dxa"/>
            </w:tcMar>
            <w:vAlign w:val="center"/>
          </w:tcPr>
          <w:p w14:paraId="7B8107F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0.002 to 0.118</w:t>
            </w:r>
          </w:p>
        </w:tc>
        <w:tc>
          <w:tcPr>
            <w:tcW w:w="909" w:type="pct"/>
            <w:tcBorders>
              <w:top w:val="nil"/>
              <w:left w:val="nil"/>
              <w:bottom w:val="nil"/>
              <w:right w:val="nil"/>
            </w:tcBorders>
            <w:shd w:val="clear" w:color="auto" w:fill="FFFFFF"/>
            <w:tcMar>
              <w:top w:w="55" w:type="dxa"/>
              <w:left w:w="55" w:type="dxa"/>
              <w:bottom w:w="55" w:type="dxa"/>
              <w:right w:w="55" w:type="dxa"/>
            </w:tcMar>
            <w:vAlign w:val="center"/>
          </w:tcPr>
          <w:p w14:paraId="35F9039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0.149</w:t>
            </w:r>
          </w:p>
        </w:tc>
      </w:tr>
      <w:tr w14:paraId="7B39741F">
        <w:trPr>
          <w:trHeight w:val="193" w:hRule="atLeast"/>
          <w:jc w:val="center"/>
        </w:trPr>
        <w:tc>
          <w:tcPr>
            <w:tcW w:w="1683" w:type="pct"/>
            <w:tcBorders>
              <w:top w:val="nil"/>
              <w:left w:val="nil"/>
              <w:bottom w:val="nil"/>
              <w:right w:val="nil"/>
            </w:tcBorders>
            <w:shd w:val="clear" w:color="auto" w:fill="FFFFFF"/>
            <w:tcMar>
              <w:top w:w="55" w:type="dxa"/>
              <w:left w:w="55" w:type="dxa"/>
              <w:bottom w:w="55" w:type="dxa"/>
              <w:right w:w="55" w:type="dxa"/>
            </w:tcMar>
            <w:vAlign w:val="center"/>
          </w:tcPr>
          <w:p w14:paraId="6E7D402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Iron fragility index</w:t>
            </w:r>
          </w:p>
        </w:tc>
        <w:tc>
          <w:tcPr>
            <w:tcW w:w="1261" w:type="pct"/>
            <w:tcBorders>
              <w:top w:val="nil"/>
              <w:left w:val="nil"/>
              <w:bottom w:val="nil"/>
              <w:right w:val="nil"/>
            </w:tcBorders>
            <w:shd w:val="clear" w:color="auto" w:fill="FFFFFF"/>
            <w:tcMar>
              <w:top w:w="55" w:type="dxa"/>
              <w:left w:w="55" w:type="dxa"/>
              <w:bottom w:w="55" w:type="dxa"/>
              <w:right w:w="55" w:type="dxa"/>
            </w:tcMar>
            <w:vAlign w:val="center"/>
          </w:tcPr>
          <w:p w14:paraId="424D449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0.465</w:t>
            </w:r>
          </w:p>
        </w:tc>
        <w:tc>
          <w:tcPr>
            <w:tcW w:w="1144" w:type="pct"/>
            <w:tcBorders>
              <w:top w:val="nil"/>
              <w:left w:val="nil"/>
              <w:bottom w:val="nil"/>
              <w:right w:val="nil"/>
            </w:tcBorders>
            <w:shd w:val="clear" w:color="auto" w:fill="FFFFFF"/>
            <w:tcMar>
              <w:top w:w="55" w:type="dxa"/>
              <w:left w:w="55" w:type="dxa"/>
              <w:bottom w:w="55" w:type="dxa"/>
              <w:right w:w="55" w:type="dxa"/>
            </w:tcMar>
            <w:vAlign w:val="center"/>
          </w:tcPr>
          <w:p w14:paraId="2923DFE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-0.304 to 1.667</w:t>
            </w:r>
          </w:p>
        </w:tc>
        <w:tc>
          <w:tcPr>
            <w:tcW w:w="909" w:type="pct"/>
            <w:tcBorders>
              <w:top w:val="nil"/>
              <w:left w:val="nil"/>
              <w:bottom w:val="nil"/>
              <w:right w:val="nil"/>
            </w:tcBorders>
            <w:shd w:val="clear" w:color="auto" w:fill="FFFFFF"/>
            <w:tcMar>
              <w:top w:w="55" w:type="dxa"/>
              <w:left w:w="55" w:type="dxa"/>
              <w:bottom w:w="55" w:type="dxa"/>
              <w:right w:w="55" w:type="dxa"/>
            </w:tcMar>
            <w:vAlign w:val="center"/>
          </w:tcPr>
          <w:p w14:paraId="374C8E2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0.315</w:t>
            </w:r>
          </w:p>
        </w:tc>
      </w:tr>
      <w:tr w14:paraId="7D9E5F7A">
        <w:trPr>
          <w:trHeight w:val="193" w:hRule="atLeast"/>
          <w:jc w:val="center"/>
        </w:trPr>
        <w:tc>
          <w:tcPr>
            <w:tcW w:w="1683"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C2A2CE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261"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C896C2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-4.359</w:t>
            </w:r>
          </w:p>
        </w:tc>
        <w:tc>
          <w:tcPr>
            <w:tcW w:w="1144"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6EABFE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-12.567 to 2.458</w:t>
            </w:r>
          </w:p>
        </w:tc>
        <w:tc>
          <w:tcPr>
            <w:tcW w:w="90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74757F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0.23</w:t>
            </w:r>
          </w:p>
        </w:tc>
      </w:tr>
    </w:tbl>
    <w:p w14:paraId="198CEF03">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sz w:val="20"/>
          <w:szCs w:val="22"/>
          <w:lang w:val="en-US" w:eastAsia="zh-CN"/>
        </w:rPr>
        <w:t>Regression coefficients, standard errors, confidence intervals, and P values are shown from the probability model used to estimate stabilized inverse probability weights for complete-case inclusion in the IFI→FEV₁ analysis. Baseline covariates included age, sex, smoking status, body mass index (BMI), C-reactive protein (CRP), hemoglobin (Hb), and other prespecified variables, as specified in the table. This model was used to estimate each participant’s probability of inclusion in the complete-case IFI→FEV₁ analytic sample.</w:t>
      </w:r>
    </w:p>
    <w:p w14:paraId="41D51675">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50D9587">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5E4502B">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2C6FBDDE">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380B4BFA">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1C655A36">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0E6579AA">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3AEC6515">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5A272B93">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6459DA7E">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3CABA439">
      <w:pPr>
        <w:spacing w:before="0" w:after="0" w:line="240" w:lineRule="auto"/>
        <w:rPr>
          <w:rFonts w:hint="default" w:ascii="Times New Roman Regular" w:hAnsi="Times New Roman Regular" w:cs="Times New Roman Regular"/>
          <w:b/>
          <w:bCs/>
          <w:sz w:val="22"/>
          <w:szCs w:val="22"/>
          <w:lang w:val="en-US" w:eastAsia="zh-CN"/>
        </w:rPr>
      </w:pPr>
      <w:r>
        <w:rPr>
          <w:rFonts w:hint="default" w:ascii="Times New Roman Regular" w:hAnsi="Times New Roman Regular" w:cs="Times New Roman Regular"/>
          <w:b/>
          <w:bCs/>
          <w:sz w:val="22"/>
          <w:szCs w:val="22"/>
          <w:lang w:val="en-US" w:eastAsia="zh-CN"/>
        </w:rPr>
        <w:br w:type="page"/>
      </w:r>
    </w:p>
    <w:p w14:paraId="72468B62">
      <w:pPr>
        <w:pStyle w:val="2"/>
        <w:keepNext/>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S56. Probability model for complete-case inclusion in the ferritin CV→FEV₁ analysis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39"/>
        <w:gridCol w:w="3625"/>
        <w:gridCol w:w="3289"/>
        <w:gridCol w:w="2613"/>
      </w:tblGrid>
      <w:tr w14:paraId="425791E7">
        <w:trPr>
          <w:trHeight w:val="193" w:hRule="atLeast"/>
          <w:tblHeader/>
          <w:jc w:val="center"/>
        </w:trPr>
        <w:tc>
          <w:tcPr>
            <w:tcW w:w="1683"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61161D44">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Variable</w:t>
            </w:r>
          </w:p>
        </w:tc>
        <w:tc>
          <w:tcPr>
            <w:tcW w:w="1261"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62B05789">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Estimate</w:t>
            </w:r>
          </w:p>
        </w:tc>
        <w:tc>
          <w:tcPr>
            <w:tcW w:w="1144"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2DFA0BA">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95% CI</w:t>
            </w:r>
          </w:p>
        </w:tc>
        <w:tc>
          <w:tcPr>
            <w:tcW w:w="90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1B6481A">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169BBF34">
        <w:trPr>
          <w:trHeight w:val="193" w:hRule="atLeast"/>
          <w:jc w:val="center"/>
        </w:trPr>
        <w:tc>
          <w:tcPr>
            <w:tcW w:w="1683"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25B76D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Age</w:t>
            </w:r>
          </w:p>
        </w:tc>
        <w:tc>
          <w:tcPr>
            <w:tcW w:w="1261"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6EB0FA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0.011</w:t>
            </w:r>
          </w:p>
        </w:tc>
        <w:tc>
          <w:tcPr>
            <w:tcW w:w="1144"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2278CE1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-0.087 to 0.128</w:t>
            </w:r>
          </w:p>
        </w:tc>
        <w:tc>
          <w:tcPr>
            <w:tcW w:w="90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0DE746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0.829</w:t>
            </w:r>
          </w:p>
        </w:tc>
      </w:tr>
      <w:tr w14:paraId="360FC6B8">
        <w:trPr>
          <w:trHeight w:val="193" w:hRule="atLeast"/>
          <w:jc w:val="center"/>
        </w:trPr>
        <w:tc>
          <w:tcPr>
            <w:tcW w:w="1683" w:type="pct"/>
            <w:tcBorders>
              <w:top w:val="nil"/>
              <w:left w:val="nil"/>
              <w:bottom w:val="nil"/>
              <w:right w:val="nil"/>
            </w:tcBorders>
            <w:shd w:val="clear" w:color="auto" w:fill="FFFFFF"/>
            <w:tcMar>
              <w:top w:w="55" w:type="dxa"/>
              <w:left w:w="55" w:type="dxa"/>
              <w:bottom w:w="55" w:type="dxa"/>
              <w:right w:w="55" w:type="dxa"/>
            </w:tcMar>
            <w:vAlign w:val="center"/>
          </w:tcPr>
          <w:p w14:paraId="439951B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Female sex</w:t>
            </w:r>
          </w:p>
        </w:tc>
        <w:tc>
          <w:tcPr>
            <w:tcW w:w="1261" w:type="pct"/>
            <w:tcBorders>
              <w:top w:val="nil"/>
              <w:left w:val="nil"/>
              <w:bottom w:val="nil"/>
              <w:right w:val="nil"/>
            </w:tcBorders>
            <w:shd w:val="clear" w:color="auto" w:fill="FFFFFF"/>
            <w:tcMar>
              <w:top w:w="55" w:type="dxa"/>
              <w:left w:w="55" w:type="dxa"/>
              <w:bottom w:w="55" w:type="dxa"/>
              <w:right w:w="55" w:type="dxa"/>
            </w:tcMar>
            <w:vAlign w:val="center"/>
          </w:tcPr>
          <w:p w14:paraId="13B962A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-1.773</w:t>
            </w:r>
          </w:p>
        </w:tc>
        <w:tc>
          <w:tcPr>
            <w:tcW w:w="1144" w:type="pct"/>
            <w:tcBorders>
              <w:top w:val="nil"/>
              <w:left w:val="nil"/>
              <w:bottom w:val="nil"/>
              <w:right w:val="nil"/>
            </w:tcBorders>
            <w:shd w:val="clear" w:color="auto" w:fill="FFFFFF"/>
            <w:tcMar>
              <w:top w:w="55" w:type="dxa"/>
              <w:left w:w="55" w:type="dxa"/>
              <w:bottom w:w="55" w:type="dxa"/>
              <w:right w:w="55" w:type="dxa"/>
            </w:tcMar>
            <w:vAlign w:val="center"/>
          </w:tcPr>
          <w:p w14:paraId="4740442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-5.542 to 0.934</w:t>
            </w:r>
          </w:p>
        </w:tc>
        <w:tc>
          <w:tcPr>
            <w:tcW w:w="909" w:type="pct"/>
            <w:tcBorders>
              <w:top w:val="nil"/>
              <w:left w:val="nil"/>
              <w:bottom w:val="nil"/>
              <w:right w:val="nil"/>
            </w:tcBorders>
            <w:shd w:val="clear" w:color="auto" w:fill="FFFFFF"/>
            <w:tcMar>
              <w:top w:w="55" w:type="dxa"/>
              <w:left w:w="55" w:type="dxa"/>
              <w:bottom w:w="55" w:type="dxa"/>
              <w:right w:w="55" w:type="dxa"/>
            </w:tcMar>
            <w:vAlign w:val="center"/>
          </w:tcPr>
          <w:p w14:paraId="2D303F6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0.265</w:t>
            </w:r>
          </w:p>
        </w:tc>
      </w:tr>
      <w:tr w14:paraId="45887E57">
        <w:trPr>
          <w:trHeight w:val="193" w:hRule="atLeast"/>
          <w:jc w:val="center"/>
        </w:trPr>
        <w:tc>
          <w:tcPr>
            <w:tcW w:w="1683" w:type="pct"/>
            <w:tcBorders>
              <w:top w:val="nil"/>
              <w:left w:val="nil"/>
              <w:bottom w:val="nil"/>
              <w:right w:val="nil"/>
            </w:tcBorders>
            <w:shd w:val="clear" w:color="auto" w:fill="FFFFFF"/>
            <w:tcMar>
              <w:top w:w="55" w:type="dxa"/>
              <w:left w:w="55" w:type="dxa"/>
              <w:bottom w:w="55" w:type="dxa"/>
              <w:right w:w="55" w:type="dxa"/>
            </w:tcMar>
            <w:vAlign w:val="center"/>
          </w:tcPr>
          <w:p w14:paraId="36623D8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Current smoking</w:t>
            </w:r>
          </w:p>
        </w:tc>
        <w:tc>
          <w:tcPr>
            <w:tcW w:w="1261" w:type="pct"/>
            <w:tcBorders>
              <w:top w:val="nil"/>
              <w:left w:val="nil"/>
              <w:bottom w:val="nil"/>
              <w:right w:val="nil"/>
            </w:tcBorders>
            <w:shd w:val="clear" w:color="auto" w:fill="FFFFFF"/>
            <w:tcMar>
              <w:top w:w="55" w:type="dxa"/>
              <w:left w:w="55" w:type="dxa"/>
              <w:bottom w:w="55" w:type="dxa"/>
              <w:right w:w="55" w:type="dxa"/>
            </w:tcMar>
            <w:vAlign w:val="center"/>
          </w:tcPr>
          <w:p w14:paraId="10180CD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-0.868</w:t>
            </w:r>
          </w:p>
        </w:tc>
        <w:tc>
          <w:tcPr>
            <w:tcW w:w="1144" w:type="pct"/>
            <w:tcBorders>
              <w:top w:val="nil"/>
              <w:left w:val="nil"/>
              <w:bottom w:val="nil"/>
              <w:right w:val="nil"/>
            </w:tcBorders>
            <w:shd w:val="clear" w:color="auto" w:fill="FFFFFF"/>
            <w:tcMar>
              <w:top w:w="55" w:type="dxa"/>
              <w:left w:w="55" w:type="dxa"/>
              <w:bottom w:w="55" w:type="dxa"/>
              <w:right w:w="55" w:type="dxa"/>
            </w:tcMar>
            <w:vAlign w:val="center"/>
          </w:tcPr>
          <w:p w14:paraId="4839214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-3.099 to 1.084</w:t>
            </w:r>
          </w:p>
        </w:tc>
        <w:tc>
          <w:tcPr>
            <w:tcW w:w="909" w:type="pct"/>
            <w:tcBorders>
              <w:top w:val="nil"/>
              <w:left w:val="nil"/>
              <w:bottom w:val="nil"/>
              <w:right w:val="nil"/>
            </w:tcBorders>
            <w:shd w:val="clear" w:color="auto" w:fill="FFFFFF"/>
            <w:tcMar>
              <w:top w:w="55" w:type="dxa"/>
              <w:left w:w="55" w:type="dxa"/>
              <w:bottom w:w="55" w:type="dxa"/>
              <w:right w:w="55" w:type="dxa"/>
            </w:tcMar>
            <w:vAlign w:val="center"/>
          </w:tcPr>
          <w:p w14:paraId="2EAD04A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0.395</w:t>
            </w:r>
          </w:p>
        </w:tc>
      </w:tr>
      <w:tr w14:paraId="7BFEFF95">
        <w:trPr>
          <w:trHeight w:val="193" w:hRule="atLeast"/>
          <w:jc w:val="center"/>
        </w:trPr>
        <w:tc>
          <w:tcPr>
            <w:tcW w:w="1683" w:type="pct"/>
            <w:tcBorders>
              <w:top w:val="nil"/>
              <w:left w:val="nil"/>
              <w:bottom w:val="nil"/>
              <w:right w:val="nil"/>
            </w:tcBorders>
            <w:shd w:val="clear" w:color="auto" w:fill="FFFFFF"/>
            <w:tcMar>
              <w:top w:w="55" w:type="dxa"/>
              <w:left w:w="55" w:type="dxa"/>
              <w:bottom w:w="55" w:type="dxa"/>
              <w:right w:w="55" w:type="dxa"/>
            </w:tcMar>
            <w:vAlign w:val="center"/>
          </w:tcPr>
          <w:p w14:paraId="3E80B54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Body mass index (BMI)</w:t>
            </w:r>
          </w:p>
        </w:tc>
        <w:tc>
          <w:tcPr>
            <w:tcW w:w="1261" w:type="pct"/>
            <w:tcBorders>
              <w:top w:val="nil"/>
              <w:left w:val="nil"/>
              <w:bottom w:val="nil"/>
              <w:right w:val="nil"/>
            </w:tcBorders>
            <w:shd w:val="clear" w:color="auto" w:fill="FFFFFF"/>
            <w:tcMar>
              <w:top w:w="55" w:type="dxa"/>
              <w:left w:w="55" w:type="dxa"/>
              <w:bottom w:w="55" w:type="dxa"/>
              <w:right w:w="55" w:type="dxa"/>
            </w:tcMar>
            <w:vAlign w:val="center"/>
          </w:tcPr>
          <w:p w14:paraId="614F3B3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0.035</w:t>
            </w:r>
          </w:p>
        </w:tc>
        <w:tc>
          <w:tcPr>
            <w:tcW w:w="1144" w:type="pct"/>
            <w:tcBorders>
              <w:top w:val="nil"/>
              <w:left w:val="nil"/>
              <w:bottom w:val="nil"/>
              <w:right w:val="nil"/>
            </w:tcBorders>
            <w:shd w:val="clear" w:color="auto" w:fill="FFFFFF"/>
            <w:tcMar>
              <w:top w:w="55" w:type="dxa"/>
              <w:left w:w="55" w:type="dxa"/>
              <w:bottom w:w="55" w:type="dxa"/>
              <w:right w:w="55" w:type="dxa"/>
            </w:tcMar>
            <w:vAlign w:val="center"/>
          </w:tcPr>
          <w:p w14:paraId="453F51E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-0.216 to 0.302</w:t>
            </w:r>
          </w:p>
        </w:tc>
        <w:tc>
          <w:tcPr>
            <w:tcW w:w="909" w:type="pct"/>
            <w:tcBorders>
              <w:top w:val="nil"/>
              <w:left w:val="nil"/>
              <w:bottom w:val="nil"/>
              <w:right w:val="nil"/>
            </w:tcBorders>
            <w:shd w:val="clear" w:color="auto" w:fill="FFFFFF"/>
            <w:tcMar>
              <w:top w:w="55" w:type="dxa"/>
              <w:left w:w="55" w:type="dxa"/>
              <w:bottom w:w="55" w:type="dxa"/>
              <w:right w:w="55" w:type="dxa"/>
            </w:tcMar>
            <w:vAlign w:val="center"/>
          </w:tcPr>
          <w:p w14:paraId="13E331C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0.773</w:t>
            </w:r>
          </w:p>
        </w:tc>
      </w:tr>
      <w:tr w14:paraId="03404605">
        <w:trPr>
          <w:trHeight w:val="193" w:hRule="atLeast"/>
          <w:jc w:val="center"/>
        </w:trPr>
        <w:tc>
          <w:tcPr>
            <w:tcW w:w="1683" w:type="pct"/>
            <w:tcBorders>
              <w:top w:val="nil"/>
              <w:left w:val="nil"/>
              <w:bottom w:val="nil"/>
              <w:right w:val="nil"/>
            </w:tcBorders>
            <w:shd w:val="clear" w:color="auto" w:fill="FFFFFF"/>
            <w:tcMar>
              <w:top w:w="55" w:type="dxa"/>
              <w:left w:w="55" w:type="dxa"/>
              <w:bottom w:w="55" w:type="dxa"/>
              <w:right w:w="55" w:type="dxa"/>
            </w:tcMar>
            <w:vAlign w:val="center"/>
          </w:tcPr>
          <w:p w14:paraId="795E1D7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log(CRP)</w:t>
            </w:r>
          </w:p>
        </w:tc>
        <w:tc>
          <w:tcPr>
            <w:tcW w:w="1261" w:type="pct"/>
            <w:tcBorders>
              <w:top w:val="nil"/>
              <w:left w:val="nil"/>
              <w:bottom w:val="nil"/>
              <w:right w:val="nil"/>
            </w:tcBorders>
            <w:shd w:val="clear" w:color="auto" w:fill="FFFFFF"/>
            <w:tcMar>
              <w:top w:w="55" w:type="dxa"/>
              <w:left w:w="55" w:type="dxa"/>
              <w:bottom w:w="55" w:type="dxa"/>
              <w:right w:w="55" w:type="dxa"/>
            </w:tcMar>
            <w:vAlign w:val="center"/>
          </w:tcPr>
          <w:p w14:paraId="387C35B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0.169</w:t>
            </w:r>
          </w:p>
        </w:tc>
        <w:tc>
          <w:tcPr>
            <w:tcW w:w="1144" w:type="pct"/>
            <w:tcBorders>
              <w:top w:val="nil"/>
              <w:left w:val="nil"/>
              <w:bottom w:val="nil"/>
              <w:right w:val="nil"/>
            </w:tcBorders>
            <w:shd w:val="clear" w:color="auto" w:fill="FFFFFF"/>
            <w:tcMar>
              <w:top w:w="55" w:type="dxa"/>
              <w:left w:w="55" w:type="dxa"/>
              <w:bottom w:w="55" w:type="dxa"/>
              <w:right w:w="55" w:type="dxa"/>
            </w:tcMar>
            <w:vAlign w:val="center"/>
          </w:tcPr>
          <w:p w14:paraId="22336BD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-0.996 to 1.540</w:t>
            </w:r>
          </w:p>
        </w:tc>
        <w:tc>
          <w:tcPr>
            <w:tcW w:w="909" w:type="pct"/>
            <w:tcBorders>
              <w:top w:val="nil"/>
              <w:left w:val="nil"/>
              <w:bottom w:val="nil"/>
              <w:right w:val="nil"/>
            </w:tcBorders>
            <w:shd w:val="clear" w:color="auto" w:fill="FFFFFF"/>
            <w:tcMar>
              <w:top w:w="55" w:type="dxa"/>
              <w:left w:w="55" w:type="dxa"/>
              <w:bottom w:w="55" w:type="dxa"/>
              <w:right w:w="55" w:type="dxa"/>
            </w:tcMar>
            <w:vAlign w:val="center"/>
          </w:tcPr>
          <w:p w14:paraId="7B7FA04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0.784</w:t>
            </w:r>
          </w:p>
        </w:tc>
      </w:tr>
      <w:tr w14:paraId="398608EA">
        <w:trPr>
          <w:trHeight w:val="193" w:hRule="atLeast"/>
          <w:jc w:val="center"/>
        </w:trPr>
        <w:tc>
          <w:tcPr>
            <w:tcW w:w="1683" w:type="pct"/>
            <w:tcBorders>
              <w:top w:val="nil"/>
              <w:left w:val="nil"/>
              <w:bottom w:val="nil"/>
              <w:right w:val="nil"/>
            </w:tcBorders>
            <w:shd w:val="clear" w:color="auto" w:fill="FFFFFF"/>
            <w:tcMar>
              <w:top w:w="55" w:type="dxa"/>
              <w:left w:w="55" w:type="dxa"/>
              <w:bottom w:w="55" w:type="dxa"/>
              <w:right w:w="55" w:type="dxa"/>
            </w:tcMar>
            <w:vAlign w:val="center"/>
          </w:tcPr>
          <w:p w14:paraId="0034662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Hemoglobin</w:t>
            </w:r>
          </w:p>
        </w:tc>
        <w:tc>
          <w:tcPr>
            <w:tcW w:w="1261" w:type="pct"/>
            <w:tcBorders>
              <w:top w:val="nil"/>
              <w:left w:val="nil"/>
              <w:bottom w:val="nil"/>
              <w:right w:val="nil"/>
            </w:tcBorders>
            <w:shd w:val="clear" w:color="auto" w:fill="FFFFFF"/>
            <w:tcMar>
              <w:top w:w="55" w:type="dxa"/>
              <w:left w:w="55" w:type="dxa"/>
              <w:bottom w:w="55" w:type="dxa"/>
              <w:right w:w="55" w:type="dxa"/>
            </w:tcMar>
            <w:vAlign w:val="center"/>
          </w:tcPr>
          <w:p w14:paraId="71053B5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-0.231</w:t>
            </w:r>
          </w:p>
        </w:tc>
        <w:tc>
          <w:tcPr>
            <w:tcW w:w="1144" w:type="pct"/>
            <w:tcBorders>
              <w:top w:val="nil"/>
              <w:left w:val="nil"/>
              <w:bottom w:val="nil"/>
              <w:right w:val="nil"/>
            </w:tcBorders>
            <w:shd w:val="clear" w:color="auto" w:fill="FFFFFF"/>
            <w:tcMar>
              <w:top w:w="55" w:type="dxa"/>
              <w:left w:w="55" w:type="dxa"/>
              <w:bottom w:w="55" w:type="dxa"/>
              <w:right w:w="55" w:type="dxa"/>
            </w:tcMar>
            <w:vAlign w:val="center"/>
          </w:tcPr>
          <w:p w14:paraId="704F1B5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-1.880 to 1.496</w:t>
            </w:r>
          </w:p>
        </w:tc>
        <w:tc>
          <w:tcPr>
            <w:tcW w:w="909" w:type="pct"/>
            <w:tcBorders>
              <w:top w:val="nil"/>
              <w:left w:val="nil"/>
              <w:bottom w:val="nil"/>
              <w:right w:val="nil"/>
            </w:tcBorders>
            <w:shd w:val="clear" w:color="auto" w:fill="FFFFFF"/>
            <w:tcMar>
              <w:top w:w="55" w:type="dxa"/>
              <w:left w:w="55" w:type="dxa"/>
              <w:bottom w:w="55" w:type="dxa"/>
              <w:right w:w="55" w:type="dxa"/>
            </w:tcMar>
            <w:vAlign w:val="center"/>
          </w:tcPr>
          <w:p w14:paraId="253CF5B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0.772</w:t>
            </w:r>
          </w:p>
        </w:tc>
      </w:tr>
      <w:tr w14:paraId="3FE6F062">
        <w:trPr>
          <w:trHeight w:val="193" w:hRule="atLeast"/>
          <w:jc w:val="center"/>
        </w:trPr>
        <w:tc>
          <w:tcPr>
            <w:tcW w:w="1683" w:type="pct"/>
            <w:tcBorders>
              <w:top w:val="nil"/>
              <w:left w:val="nil"/>
              <w:bottom w:val="nil"/>
              <w:right w:val="nil"/>
            </w:tcBorders>
            <w:shd w:val="clear" w:color="auto" w:fill="FFFFFF"/>
            <w:tcMar>
              <w:top w:w="55" w:type="dxa"/>
              <w:left w:w="55" w:type="dxa"/>
              <w:bottom w:w="55" w:type="dxa"/>
              <w:right w:w="55" w:type="dxa"/>
            </w:tcMar>
            <w:vAlign w:val="center"/>
          </w:tcPr>
          <w:p w14:paraId="7246587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Baseline </w:t>
            </w:r>
            <w:r>
              <w:rPr>
                <w:rFonts w:hint="default" w:ascii="Times New Roman" w:hAnsi="Times New Roman" w:eastAsia="Times New Roman" w:cs="Times New Roman Regular"/>
                <w:sz w:val="17"/>
                <w:szCs w:val="22"/>
                <w:lang w:val="en-US" w:eastAsia="zh-CN"/>
              </w:rPr>
              <w:t>FEV₁</w:t>
            </w:r>
          </w:p>
        </w:tc>
        <w:tc>
          <w:tcPr>
            <w:tcW w:w="1261" w:type="pct"/>
            <w:tcBorders>
              <w:top w:val="nil"/>
              <w:left w:val="nil"/>
              <w:bottom w:val="nil"/>
              <w:right w:val="nil"/>
            </w:tcBorders>
            <w:shd w:val="clear" w:color="auto" w:fill="FFFFFF"/>
            <w:tcMar>
              <w:top w:w="55" w:type="dxa"/>
              <w:left w:w="55" w:type="dxa"/>
              <w:bottom w:w="55" w:type="dxa"/>
              <w:right w:w="55" w:type="dxa"/>
            </w:tcMar>
            <w:vAlign w:val="center"/>
          </w:tcPr>
          <w:p w14:paraId="4D52CDA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-0.365</w:t>
            </w:r>
          </w:p>
        </w:tc>
        <w:tc>
          <w:tcPr>
            <w:tcW w:w="1144" w:type="pct"/>
            <w:tcBorders>
              <w:top w:val="nil"/>
              <w:left w:val="nil"/>
              <w:bottom w:val="nil"/>
              <w:right w:val="nil"/>
            </w:tcBorders>
            <w:shd w:val="clear" w:color="auto" w:fill="FFFFFF"/>
            <w:tcMar>
              <w:top w:w="55" w:type="dxa"/>
              <w:left w:w="55" w:type="dxa"/>
              <w:bottom w:w="55" w:type="dxa"/>
              <w:right w:w="55" w:type="dxa"/>
            </w:tcMar>
            <w:vAlign w:val="center"/>
          </w:tcPr>
          <w:p w14:paraId="0649BC9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-4.468 to 3.886</w:t>
            </w:r>
          </w:p>
        </w:tc>
        <w:tc>
          <w:tcPr>
            <w:tcW w:w="909" w:type="pct"/>
            <w:tcBorders>
              <w:top w:val="nil"/>
              <w:left w:val="nil"/>
              <w:bottom w:val="nil"/>
              <w:right w:val="nil"/>
            </w:tcBorders>
            <w:shd w:val="clear" w:color="auto" w:fill="FFFFFF"/>
            <w:tcMar>
              <w:top w:w="55" w:type="dxa"/>
              <w:left w:w="55" w:type="dxa"/>
              <w:bottom w:w="55" w:type="dxa"/>
              <w:right w:w="55" w:type="dxa"/>
            </w:tcMar>
            <w:vAlign w:val="center"/>
          </w:tcPr>
          <w:p w14:paraId="223442A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0.857</w:t>
            </w:r>
          </w:p>
        </w:tc>
      </w:tr>
      <w:tr w14:paraId="45222DE6">
        <w:trPr>
          <w:trHeight w:val="193" w:hRule="atLeast"/>
          <w:jc w:val="center"/>
        </w:trPr>
        <w:tc>
          <w:tcPr>
            <w:tcW w:w="1683" w:type="pct"/>
            <w:tcBorders>
              <w:top w:val="nil"/>
              <w:left w:val="nil"/>
              <w:bottom w:val="nil"/>
              <w:right w:val="nil"/>
            </w:tcBorders>
            <w:shd w:val="clear" w:color="auto" w:fill="FFFFFF"/>
            <w:tcMar>
              <w:top w:w="55" w:type="dxa"/>
              <w:left w:w="55" w:type="dxa"/>
              <w:bottom w:w="55" w:type="dxa"/>
              <w:right w:w="55" w:type="dxa"/>
            </w:tcMar>
            <w:vAlign w:val="center"/>
          </w:tcPr>
          <w:p w14:paraId="43A8AD4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w:t>
            </w:r>
          </w:p>
        </w:tc>
        <w:tc>
          <w:tcPr>
            <w:tcW w:w="1261" w:type="pct"/>
            <w:tcBorders>
              <w:top w:val="nil"/>
              <w:left w:val="nil"/>
              <w:bottom w:val="nil"/>
              <w:right w:val="nil"/>
            </w:tcBorders>
            <w:shd w:val="clear" w:color="auto" w:fill="FFFFFF"/>
            <w:tcMar>
              <w:top w:w="55" w:type="dxa"/>
              <w:left w:w="55" w:type="dxa"/>
              <w:bottom w:w="55" w:type="dxa"/>
              <w:right w:w="55" w:type="dxa"/>
            </w:tcMar>
            <w:vAlign w:val="center"/>
          </w:tcPr>
          <w:p w14:paraId="3438A81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0.043</w:t>
            </w:r>
          </w:p>
        </w:tc>
        <w:tc>
          <w:tcPr>
            <w:tcW w:w="1144" w:type="pct"/>
            <w:tcBorders>
              <w:top w:val="nil"/>
              <w:left w:val="nil"/>
              <w:bottom w:val="nil"/>
              <w:right w:val="nil"/>
            </w:tcBorders>
            <w:shd w:val="clear" w:color="auto" w:fill="FFFFFF"/>
            <w:tcMar>
              <w:top w:w="55" w:type="dxa"/>
              <w:left w:w="55" w:type="dxa"/>
              <w:bottom w:w="55" w:type="dxa"/>
              <w:right w:w="55" w:type="dxa"/>
            </w:tcMar>
            <w:vAlign w:val="center"/>
          </w:tcPr>
          <w:p w14:paraId="7C2D614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0.002 to 0.118</w:t>
            </w:r>
          </w:p>
        </w:tc>
        <w:tc>
          <w:tcPr>
            <w:tcW w:w="909" w:type="pct"/>
            <w:tcBorders>
              <w:top w:val="nil"/>
              <w:left w:val="nil"/>
              <w:bottom w:val="nil"/>
              <w:right w:val="nil"/>
            </w:tcBorders>
            <w:shd w:val="clear" w:color="auto" w:fill="FFFFFF"/>
            <w:tcMar>
              <w:top w:w="55" w:type="dxa"/>
              <w:left w:w="55" w:type="dxa"/>
              <w:bottom w:w="55" w:type="dxa"/>
              <w:right w:w="55" w:type="dxa"/>
            </w:tcMar>
            <w:vAlign w:val="center"/>
          </w:tcPr>
          <w:p w14:paraId="2829045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0.149</w:t>
            </w:r>
          </w:p>
        </w:tc>
      </w:tr>
      <w:tr w14:paraId="613207A6">
        <w:trPr>
          <w:trHeight w:val="193" w:hRule="atLeast"/>
          <w:jc w:val="center"/>
        </w:trPr>
        <w:tc>
          <w:tcPr>
            <w:tcW w:w="1683" w:type="pct"/>
            <w:tcBorders>
              <w:top w:val="nil"/>
              <w:left w:val="nil"/>
              <w:bottom w:val="nil"/>
              <w:right w:val="nil"/>
            </w:tcBorders>
            <w:shd w:val="clear" w:color="auto" w:fill="FFFFFF"/>
            <w:tcMar>
              <w:top w:w="55" w:type="dxa"/>
              <w:left w:w="55" w:type="dxa"/>
              <w:bottom w:w="55" w:type="dxa"/>
              <w:right w:w="55" w:type="dxa"/>
            </w:tcMar>
            <w:vAlign w:val="center"/>
          </w:tcPr>
          <w:p w14:paraId="4CC37A2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Iron fragility index</w:t>
            </w:r>
          </w:p>
        </w:tc>
        <w:tc>
          <w:tcPr>
            <w:tcW w:w="1261" w:type="pct"/>
            <w:tcBorders>
              <w:top w:val="nil"/>
              <w:left w:val="nil"/>
              <w:bottom w:val="nil"/>
              <w:right w:val="nil"/>
            </w:tcBorders>
            <w:shd w:val="clear" w:color="auto" w:fill="FFFFFF"/>
            <w:tcMar>
              <w:top w:w="55" w:type="dxa"/>
              <w:left w:w="55" w:type="dxa"/>
              <w:bottom w:w="55" w:type="dxa"/>
              <w:right w:w="55" w:type="dxa"/>
            </w:tcMar>
            <w:vAlign w:val="center"/>
          </w:tcPr>
          <w:p w14:paraId="74D590F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0.465</w:t>
            </w:r>
          </w:p>
        </w:tc>
        <w:tc>
          <w:tcPr>
            <w:tcW w:w="1144" w:type="pct"/>
            <w:tcBorders>
              <w:top w:val="nil"/>
              <w:left w:val="nil"/>
              <w:bottom w:val="nil"/>
              <w:right w:val="nil"/>
            </w:tcBorders>
            <w:shd w:val="clear" w:color="auto" w:fill="FFFFFF"/>
            <w:tcMar>
              <w:top w:w="55" w:type="dxa"/>
              <w:left w:w="55" w:type="dxa"/>
              <w:bottom w:w="55" w:type="dxa"/>
              <w:right w:w="55" w:type="dxa"/>
            </w:tcMar>
            <w:vAlign w:val="center"/>
          </w:tcPr>
          <w:p w14:paraId="1ED9ED8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-0.304 to 1.667</w:t>
            </w:r>
          </w:p>
        </w:tc>
        <w:tc>
          <w:tcPr>
            <w:tcW w:w="909" w:type="pct"/>
            <w:tcBorders>
              <w:top w:val="nil"/>
              <w:left w:val="nil"/>
              <w:bottom w:val="nil"/>
              <w:right w:val="nil"/>
            </w:tcBorders>
            <w:shd w:val="clear" w:color="auto" w:fill="FFFFFF"/>
            <w:tcMar>
              <w:top w:w="55" w:type="dxa"/>
              <w:left w:w="55" w:type="dxa"/>
              <w:bottom w:w="55" w:type="dxa"/>
              <w:right w:w="55" w:type="dxa"/>
            </w:tcMar>
            <w:vAlign w:val="center"/>
          </w:tcPr>
          <w:p w14:paraId="23D374D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0.315</w:t>
            </w:r>
          </w:p>
        </w:tc>
      </w:tr>
      <w:tr w14:paraId="43FA9782">
        <w:trPr>
          <w:trHeight w:val="193" w:hRule="atLeast"/>
          <w:jc w:val="center"/>
        </w:trPr>
        <w:tc>
          <w:tcPr>
            <w:tcW w:w="1683"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ADAF19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261"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DBF713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-4.359</w:t>
            </w:r>
          </w:p>
        </w:tc>
        <w:tc>
          <w:tcPr>
            <w:tcW w:w="1144"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519CD2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-12.567 to 2.458</w:t>
            </w:r>
          </w:p>
        </w:tc>
        <w:tc>
          <w:tcPr>
            <w:tcW w:w="90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7DC334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0.23</w:t>
            </w:r>
          </w:p>
        </w:tc>
      </w:tr>
    </w:tbl>
    <w:p w14:paraId="3BC2B9C6">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sz w:val="20"/>
          <w:szCs w:val="22"/>
          <w:lang w:val="en-US" w:eastAsia="zh-CN"/>
        </w:rPr>
        <w:t>Regression coefficients, standard errors, confidence intervals, and P values are shown from the probability model used to estimate stabilized inverse probability weights for complete-case inclusion in the ferritin CV→FEV₁ analysis. Baseline covariates included age, sex, smoking status, body mass index (BMI), C-reactive protein (CRP), hemoglobin (Hb), and other prespecified variables, as specified in the table. This model was used to estimate each participant’s probability of inclusion in the complete-case ferritin CV→FEV₁ analytic sample.</w:t>
      </w:r>
    </w:p>
    <w:p w14:paraId="0FF2E419">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81DB54A">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70FF0A87">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411256DE">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29D802A9">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2BBD93B3">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58357C7F">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083D52B9">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78471299">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50183FD3">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77423414">
      <w:pPr>
        <w:spacing w:before="0" w:after="0" w:line="240" w:lineRule="auto"/>
        <w:rPr>
          <w:rFonts w:hint="default" w:ascii="Times New Roman Regular" w:hAnsi="Times New Roman Regular" w:cs="Times New Roman Regular"/>
          <w:b/>
          <w:bCs/>
          <w:sz w:val="22"/>
          <w:szCs w:val="22"/>
          <w:lang w:val="en-US" w:eastAsia="zh-CN"/>
        </w:rPr>
      </w:pPr>
      <w:r>
        <w:rPr>
          <w:rFonts w:hint="default" w:ascii="Times New Roman Regular" w:hAnsi="Times New Roman Regular" w:cs="Times New Roman Regular"/>
          <w:b/>
          <w:bCs/>
          <w:sz w:val="22"/>
          <w:szCs w:val="22"/>
          <w:lang w:val="en-US" w:eastAsia="zh-CN"/>
        </w:rPr>
        <w:br w:type="page"/>
      </w:r>
    </w:p>
    <w:p w14:paraId="46BECEB6">
      <w:pPr>
        <w:pStyle w:val="2"/>
        <w:keepNext/>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S57. Probability model for complete-case inclusion in the IFI→symptom analysis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60"/>
        <w:gridCol w:w="3343"/>
        <w:gridCol w:w="4154"/>
        <w:gridCol w:w="2409"/>
      </w:tblGrid>
      <w:tr w14:paraId="646EEDE9">
        <w:trPr>
          <w:trHeight w:val="193" w:hRule="atLeast"/>
          <w:tblHeader/>
          <w:jc w:val="center"/>
        </w:trPr>
        <w:tc>
          <w:tcPr>
            <w:tcW w:w="1552"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96F6197">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Variable</w:t>
            </w:r>
          </w:p>
        </w:tc>
        <w:tc>
          <w:tcPr>
            <w:tcW w:w="1163"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2E5F708">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Estimate</w:t>
            </w:r>
          </w:p>
        </w:tc>
        <w:tc>
          <w:tcPr>
            <w:tcW w:w="1445"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5A60E0C">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95% CI</w:t>
            </w:r>
          </w:p>
        </w:tc>
        <w:tc>
          <w:tcPr>
            <w:tcW w:w="838"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A24D031">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7DB19D03">
        <w:trPr>
          <w:trHeight w:val="193" w:hRule="atLeast"/>
          <w:jc w:val="center"/>
        </w:trPr>
        <w:tc>
          <w:tcPr>
            <w:tcW w:w="1552"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2E3D859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Age</w:t>
            </w:r>
          </w:p>
        </w:tc>
        <w:tc>
          <w:tcPr>
            <w:tcW w:w="1163"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6CC67E2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-1.281</w:t>
            </w:r>
          </w:p>
        </w:tc>
        <w:tc>
          <w:tcPr>
            <w:tcW w:w="1445"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575952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-208.450 to 224.458</w:t>
            </w:r>
          </w:p>
        </w:tc>
        <w:tc>
          <w:tcPr>
            <w:tcW w:w="838"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6125E9F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0.999</w:t>
            </w:r>
          </w:p>
        </w:tc>
      </w:tr>
      <w:tr w14:paraId="595E8EC6">
        <w:trPr>
          <w:trHeight w:val="193" w:hRule="atLeast"/>
          <w:jc w:val="center"/>
        </w:trPr>
        <w:tc>
          <w:tcPr>
            <w:tcW w:w="1552" w:type="pct"/>
            <w:tcBorders>
              <w:top w:val="nil"/>
              <w:left w:val="nil"/>
              <w:bottom w:val="nil"/>
              <w:right w:val="nil"/>
            </w:tcBorders>
            <w:shd w:val="clear" w:color="auto" w:fill="FFFFFF"/>
            <w:tcMar>
              <w:top w:w="55" w:type="dxa"/>
              <w:left w:w="55" w:type="dxa"/>
              <w:bottom w:w="55" w:type="dxa"/>
              <w:right w:w="55" w:type="dxa"/>
            </w:tcMar>
            <w:vAlign w:val="center"/>
          </w:tcPr>
          <w:p w14:paraId="4C7DA80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Female sex</w:t>
            </w:r>
          </w:p>
        </w:tc>
        <w:tc>
          <w:tcPr>
            <w:tcW w:w="1163" w:type="pct"/>
            <w:tcBorders>
              <w:top w:val="nil"/>
              <w:left w:val="nil"/>
              <w:bottom w:val="nil"/>
              <w:right w:val="nil"/>
            </w:tcBorders>
            <w:shd w:val="clear" w:color="auto" w:fill="FFFFFF"/>
            <w:tcMar>
              <w:top w:w="55" w:type="dxa"/>
              <w:left w:w="55" w:type="dxa"/>
              <w:bottom w:w="55" w:type="dxa"/>
              <w:right w:w="55" w:type="dxa"/>
            </w:tcMar>
            <w:vAlign w:val="center"/>
          </w:tcPr>
          <w:p w14:paraId="3A2E0D1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9.234</w:t>
            </w:r>
          </w:p>
        </w:tc>
        <w:tc>
          <w:tcPr>
            <w:tcW w:w="1445" w:type="pct"/>
            <w:tcBorders>
              <w:top w:val="nil"/>
              <w:left w:val="nil"/>
              <w:bottom w:val="nil"/>
              <w:right w:val="nil"/>
            </w:tcBorders>
            <w:shd w:val="clear" w:color="auto" w:fill="FFFFFF"/>
            <w:tcMar>
              <w:top w:w="55" w:type="dxa"/>
              <w:left w:w="55" w:type="dxa"/>
              <w:bottom w:w="55" w:type="dxa"/>
              <w:right w:w="55" w:type="dxa"/>
            </w:tcMar>
            <w:vAlign w:val="center"/>
          </w:tcPr>
          <w:p w14:paraId="78A8340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-3567.327 to 3291.593</w:t>
            </w:r>
          </w:p>
        </w:tc>
        <w:tc>
          <w:tcPr>
            <w:tcW w:w="838" w:type="pct"/>
            <w:tcBorders>
              <w:top w:val="nil"/>
              <w:left w:val="nil"/>
              <w:bottom w:val="nil"/>
              <w:right w:val="nil"/>
            </w:tcBorders>
            <w:shd w:val="clear" w:color="auto" w:fill="FFFFFF"/>
            <w:tcMar>
              <w:top w:w="55" w:type="dxa"/>
              <w:left w:w="55" w:type="dxa"/>
              <w:bottom w:w="55" w:type="dxa"/>
              <w:right w:w="55" w:type="dxa"/>
            </w:tcMar>
            <w:vAlign w:val="center"/>
          </w:tcPr>
          <w:p w14:paraId="72167F0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w:t>
            </w:r>
          </w:p>
        </w:tc>
      </w:tr>
      <w:tr w14:paraId="0817256A">
        <w:trPr>
          <w:trHeight w:val="193" w:hRule="atLeast"/>
          <w:jc w:val="center"/>
        </w:trPr>
        <w:tc>
          <w:tcPr>
            <w:tcW w:w="1552" w:type="pct"/>
            <w:tcBorders>
              <w:top w:val="nil"/>
              <w:left w:val="nil"/>
              <w:bottom w:val="nil"/>
              <w:right w:val="nil"/>
            </w:tcBorders>
            <w:shd w:val="clear" w:color="auto" w:fill="FFFFFF"/>
            <w:tcMar>
              <w:top w:w="55" w:type="dxa"/>
              <w:left w:w="55" w:type="dxa"/>
              <w:bottom w:w="55" w:type="dxa"/>
              <w:right w:w="55" w:type="dxa"/>
            </w:tcMar>
            <w:vAlign w:val="center"/>
          </w:tcPr>
          <w:p w14:paraId="3824835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Current smoking</w:t>
            </w:r>
          </w:p>
        </w:tc>
        <w:tc>
          <w:tcPr>
            <w:tcW w:w="1163" w:type="pct"/>
            <w:tcBorders>
              <w:top w:val="nil"/>
              <w:left w:val="nil"/>
              <w:bottom w:val="nil"/>
              <w:right w:val="nil"/>
            </w:tcBorders>
            <w:shd w:val="clear" w:color="auto" w:fill="FFFFFF"/>
            <w:tcMar>
              <w:top w:w="55" w:type="dxa"/>
              <w:left w:w="55" w:type="dxa"/>
              <w:bottom w:w="55" w:type="dxa"/>
              <w:right w:w="55" w:type="dxa"/>
            </w:tcMar>
            <w:vAlign w:val="center"/>
          </w:tcPr>
          <w:p w14:paraId="179F1A4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9.894</w:t>
            </w:r>
          </w:p>
        </w:tc>
        <w:tc>
          <w:tcPr>
            <w:tcW w:w="1445" w:type="pct"/>
            <w:tcBorders>
              <w:top w:val="nil"/>
              <w:left w:val="nil"/>
              <w:bottom w:val="nil"/>
              <w:right w:val="nil"/>
            </w:tcBorders>
            <w:shd w:val="clear" w:color="auto" w:fill="FFFFFF"/>
            <w:tcMar>
              <w:top w:w="55" w:type="dxa"/>
              <w:left w:w="55" w:type="dxa"/>
              <w:bottom w:w="55" w:type="dxa"/>
              <w:right w:w="55" w:type="dxa"/>
            </w:tcMar>
            <w:vAlign w:val="center"/>
          </w:tcPr>
          <w:p w14:paraId="6A44B5D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-2541.947 to 2241.318</w:t>
            </w:r>
          </w:p>
        </w:tc>
        <w:tc>
          <w:tcPr>
            <w:tcW w:w="838" w:type="pct"/>
            <w:tcBorders>
              <w:top w:val="nil"/>
              <w:left w:val="nil"/>
              <w:bottom w:val="nil"/>
              <w:right w:val="nil"/>
            </w:tcBorders>
            <w:shd w:val="clear" w:color="auto" w:fill="FFFFFF"/>
            <w:tcMar>
              <w:top w:w="55" w:type="dxa"/>
              <w:left w:w="55" w:type="dxa"/>
              <w:bottom w:w="55" w:type="dxa"/>
              <w:right w:w="55" w:type="dxa"/>
            </w:tcMar>
            <w:vAlign w:val="center"/>
          </w:tcPr>
          <w:p w14:paraId="6495CD6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w:t>
            </w:r>
          </w:p>
        </w:tc>
      </w:tr>
      <w:tr w14:paraId="4851DCF1">
        <w:trPr>
          <w:trHeight w:val="193" w:hRule="atLeast"/>
          <w:jc w:val="center"/>
        </w:trPr>
        <w:tc>
          <w:tcPr>
            <w:tcW w:w="1552" w:type="pct"/>
            <w:tcBorders>
              <w:top w:val="nil"/>
              <w:left w:val="nil"/>
              <w:bottom w:val="nil"/>
              <w:right w:val="nil"/>
            </w:tcBorders>
            <w:shd w:val="clear" w:color="auto" w:fill="FFFFFF"/>
            <w:tcMar>
              <w:top w:w="55" w:type="dxa"/>
              <w:left w:w="55" w:type="dxa"/>
              <w:bottom w:w="55" w:type="dxa"/>
              <w:right w:w="55" w:type="dxa"/>
            </w:tcMar>
            <w:vAlign w:val="center"/>
          </w:tcPr>
          <w:p w14:paraId="64BE871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Body mass index (BMI)</w:t>
            </w:r>
          </w:p>
        </w:tc>
        <w:tc>
          <w:tcPr>
            <w:tcW w:w="1163" w:type="pct"/>
            <w:tcBorders>
              <w:top w:val="nil"/>
              <w:left w:val="nil"/>
              <w:bottom w:val="nil"/>
              <w:right w:val="nil"/>
            </w:tcBorders>
            <w:shd w:val="clear" w:color="auto" w:fill="FFFFFF"/>
            <w:tcMar>
              <w:top w:w="55" w:type="dxa"/>
              <w:left w:w="55" w:type="dxa"/>
              <w:bottom w:w="55" w:type="dxa"/>
              <w:right w:w="55" w:type="dxa"/>
            </w:tcMar>
            <w:vAlign w:val="center"/>
          </w:tcPr>
          <w:p w14:paraId="69A10F0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-2.092</w:t>
            </w:r>
          </w:p>
        </w:tc>
        <w:tc>
          <w:tcPr>
            <w:tcW w:w="1445" w:type="pct"/>
            <w:tcBorders>
              <w:top w:val="nil"/>
              <w:left w:val="nil"/>
              <w:bottom w:val="nil"/>
              <w:right w:val="nil"/>
            </w:tcBorders>
            <w:shd w:val="clear" w:color="auto" w:fill="FFFFFF"/>
            <w:tcMar>
              <w:top w:w="55" w:type="dxa"/>
              <w:left w:w="55" w:type="dxa"/>
              <w:bottom w:w="55" w:type="dxa"/>
              <w:right w:w="55" w:type="dxa"/>
            </w:tcMar>
            <w:vAlign w:val="center"/>
          </w:tcPr>
          <w:p w14:paraId="733A68C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-591.804 to 618.179</w:t>
            </w:r>
          </w:p>
        </w:tc>
        <w:tc>
          <w:tcPr>
            <w:tcW w:w="838" w:type="pct"/>
            <w:tcBorders>
              <w:top w:val="nil"/>
              <w:left w:val="nil"/>
              <w:bottom w:val="nil"/>
              <w:right w:val="nil"/>
            </w:tcBorders>
            <w:shd w:val="clear" w:color="auto" w:fill="FFFFFF"/>
            <w:tcMar>
              <w:top w:w="55" w:type="dxa"/>
              <w:left w:w="55" w:type="dxa"/>
              <w:bottom w:w="55" w:type="dxa"/>
              <w:right w:w="55" w:type="dxa"/>
            </w:tcMar>
            <w:vAlign w:val="center"/>
          </w:tcPr>
          <w:p w14:paraId="38D5E70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w:t>
            </w:r>
          </w:p>
        </w:tc>
      </w:tr>
      <w:tr w14:paraId="5C031853">
        <w:trPr>
          <w:trHeight w:val="193" w:hRule="atLeast"/>
          <w:jc w:val="center"/>
        </w:trPr>
        <w:tc>
          <w:tcPr>
            <w:tcW w:w="1552" w:type="pct"/>
            <w:tcBorders>
              <w:top w:val="nil"/>
              <w:left w:val="nil"/>
              <w:bottom w:val="nil"/>
              <w:right w:val="nil"/>
            </w:tcBorders>
            <w:shd w:val="clear" w:color="auto" w:fill="FFFFFF"/>
            <w:tcMar>
              <w:top w:w="55" w:type="dxa"/>
              <w:left w:w="55" w:type="dxa"/>
              <w:bottom w:w="55" w:type="dxa"/>
              <w:right w:w="55" w:type="dxa"/>
            </w:tcMar>
            <w:vAlign w:val="center"/>
          </w:tcPr>
          <w:p w14:paraId="3666EA5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log(CRP)</w:t>
            </w:r>
          </w:p>
        </w:tc>
        <w:tc>
          <w:tcPr>
            <w:tcW w:w="1163" w:type="pct"/>
            <w:tcBorders>
              <w:top w:val="nil"/>
              <w:left w:val="nil"/>
              <w:bottom w:val="nil"/>
              <w:right w:val="nil"/>
            </w:tcBorders>
            <w:shd w:val="clear" w:color="auto" w:fill="FFFFFF"/>
            <w:tcMar>
              <w:top w:w="55" w:type="dxa"/>
              <w:left w:w="55" w:type="dxa"/>
              <w:bottom w:w="55" w:type="dxa"/>
              <w:right w:w="55" w:type="dxa"/>
            </w:tcMar>
            <w:vAlign w:val="center"/>
          </w:tcPr>
          <w:p w14:paraId="44CD342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11.955</w:t>
            </w:r>
          </w:p>
        </w:tc>
        <w:tc>
          <w:tcPr>
            <w:tcW w:w="1445" w:type="pct"/>
            <w:tcBorders>
              <w:top w:val="nil"/>
              <w:left w:val="nil"/>
              <w:bottom w:val="nil"/>
              <w:right w:val="nil"/>
            </w:tcBorders>
            <w:shd w:val="clear" w:color="auto" w:fill="FFFFFF"/>
            <w:tcMar>
              <w:top w:w="55" w:type="dxa"/>
              <w:left w:w="55" w:type="dxa"/>
              <w:bottom w:w="55" w:type="dxa"/>
              <w:right w:w="55" w:type="dxa"/>
            </w:tcMar>
            <w:vAlign w:val="center"/>
          </w:tcPr>
          <w:p w14:paraId="09A0EBC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-1454.324 to 1294.122</w:t>
            </w:r>
          </w:p>
        </w:tc>
        <w:tc>
          <w:tcPr>
            <w:tcW w:w="838" w:type="pct"/>
            <w:tcBorders>
              <w:top w:val="nil"/>
              <w:left w:val="nil"/>
              <w:bottom w:val="nil"/>
              <w:right w:val="nil"/>
            </w:tcBorders>
            <w:shd w:val="clear" w:color="auto" w:fill="FFFFFF"/>
            <w:tcMar>
              <w:top w:w="55" w:type="dxa"/>
              <w:left w:w="55" w:type="dxa"/>
              <w:bottom w:w="55" w:type="dxa"/>
              <w:right w:w="55" w:type="dxa"/>
            </w:tcMar>
            <w:vAlign w:val="center"/>
          </w:tcPr>
          <w:p w14:paraId="13FC14B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0.999</w:t>
            </w:r>
          </w:p>
        </w:tc>
      </w:tr>
      <w:tr w14:paraId="2F22D104">
        <w:trPr>
          <w:trHeight w:val="193" w:hRule="atLeast"/>
          <w:jc w:val="center"/>
        </w:trPr>
        <w:tc>
          <w:tcPr>
            <w:tcW w:w="1552" w:type="pct"/>
            <w:tcBorders>
              <w:top w:val="nil"/>
              <w:left w:val="nil"/>
              <w:bottom w:val="nil"/>
              <w:right w:val="nil"/>
            </w:tcBorders>
            <w:shd w:val="clear" w:color="auto" w:fill="FFFFFF"/>
            <w:tcMar>
              <w:top w:w="55" w:type="dxa"/>
              <w:left w:w="55" w:type="dxa"/>
              <w:bottom w:w="55" w:type="dxa"/>
              <w:right w:w="55" w:type="dxa"/>
            </w:tcMar>
            <w:vAlign w:val="center"/>
          </w:tcPr>
          <w:p w14:paraId="433DB24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Hemoglobin</w:t>
            </w:r>
          </w:p>
        </w:tc>
        <w:tc>
          <w:tcPr>
            <w:tcW w:w="1163" w:type="pct"/>
            <w:tcBorders>
              <w:top w:val="nil"/>
              <w:left w:val="nil"/>
              <w:bottom w:val="nil"/>
              <w:right w:val="nil"/>
            </w:tcBorders>
            <w:shd w:val="clear" w:color="auto" w:fill="FFFFFF"/>
            <w:tcMar>
              <w:top w:w="55" w:type="dxa"/>
              <w:left w:w="55" w:type="dxa"/>
              <w:bottom w:w="55" w:type="dxa"/>
              <w:right w:w="55" w:type="dxa"/>
            </w:tcMar>
            <w:vAlign w:val="center"/>
          </w:tcPr>
          <w:p w14:paraId="1DEECD5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7.155</w:t>
            </w:r>
          </w:p>
        </w:tc>
        <w:tc>
          <w:tcPr>
            <w:tcW w:w="1445" w:type="pct"/>
            <w:tcBorders>
              <w:top w:val="nil"/>
              <w:left w:val="nil"/>
              <w:bottom w:val="nil"/>
              <w:right w:val="nil"/>
            </w:tcBorders>
            <w:shd w:val="clear" w:color="auto" w:fill="FFFFFF"/>
            <w:tcMar>
              <w:top w:w="55" w:type="dxa"/>
              <w:left w:w="55" w:type="dxa"/>
              <w:bottom w:w="55" w:type="dxa"/>
              <w:right w:w="55" w:type="dxa"/>
            </w:tcMar>
            <w:vAlign w:val="center"/>
          </w:tcPr>
          <w:p w14:paraId="588E75E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-1601.933 to 1616.244</w:t>
            </w:r>
          </w:p>
        </w:tc>
        <w:tc>
          <w:tcPr>
            <w:tcW w:w="838" w:type="pct"/>
            <w:tcBorders>
              <w:top w:val="nil"/>
              <w:left w:val="nil"/>
              <w:bottom w:val="nil"/>
              <w:right w:val="nil"/>
            </w:tcBorders>
            <w:shd w:val="clear" w:color="auto" w:fill="FFFFFF"/>
            <w:tcMar>
              <w:top w:w="55" w:type="dxa"/>
              <w:left w:w="55" w:type="dxa"/>
              <w:bottom w:w="55" w:type="dxa"/>
              <w:right w:w="55" w:type="dxa"/>
            </w:tcMar>
            <w:vAlign w:val="center"/>
          </w:tcPr>
          <w:p w14:paraId="354CEB1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w:t>
            </w:r>
          </w:p>
        </w:tc>
      </w:tr>
      <w:tr w14:paraId="6FF73548">
        <w:trPr>
          <w:trHeight w:val="193" w:hRule="atLeast"/>
          <w:jc w:val="center"/>
        </w:trPr>
        <w:tc>
          <w:tcPr>
            <w:tcW w:w="1552" w:type="pct"/>
            <w:tcBorders>
              <w:top w:val="nil"/>
              <w:left w:val="nil"/>
              <w:bottom w:val="nil"/>
              <w:right w:val="nil"/>
            </w:tcBorders>
            <w:shd w:val="clear" w:color="auto" w:fill="FFFFFF"/>
            <w:tcMar>
              <w:top w:w="55" w:type="dxa"/>
              <w:left w:w="55" w:type="dxa"/>
              <w:bottom w:w="55" w:type="dxa"/>
              <w:right w:w="55" w:type="dxa"/>
            </w:tcMar>
            <w:vAlign w:val="center"/>
          </w:tcPr>
          <w:p w14:paraId="61135F3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Baseline </w:t>
            </w:r>
            <w:r>
              <w:rPr>
                <w:rFonts w:hint="default" w:ascii="Times New Roman" w:hAnsi="Times New Roman" w:eastAsia="Times New Roman" w:cs="Times New Roman Regular"/>
                <w:sz w:val="17"/>
                <w:szCs w:val="22"/>
                <w:lang w:val="en-US" w:eastAsia="zh-CN"/>
              </w:rPr>
              <w:t>FEV₁</w:t>
            </w:r>
          </w:p>
        </w:tc>
        <w:tc>
          <w:tcPr>
            <w:tcW w:w="1163" w:type="pct"/>
            <w:tcBorders>
              <w:top w:val="nil"/>
              <w:left w:val="nil"/>
              <w:bottom w:val="nil"/>
              <w:right w:val="nil"/>
            </w:tcBorders>
            <w:shd w:val="clear" w:color="auto" w:fill="FFFFFF"/>
            <w:tcMar>
              <w:top w:w="55" w:type="dxa"/>
              <w:left w:w="55" w:type="dxa"/>
              <w:bottom w:w="55" w:type="dxa"/>
              <w:right w:w="55" w:type="dxa"/>
            </w:tcMar>
            <w:vAlign w:val="center"/>
          </w:tcPr>
          <w:p w14:paraId="42CEE8C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0.569</w:t>
            </w:r>
          </w:p>
        </w:tc>
        <w:tc>
          <w:tcPr>
            <w:tcW w:w="1445" w:type="pct"/>
            <w:tcBorders>
              <w:top w:val="nil"/>
              <w:left w:val="nil"/>
              <w:bottom w:val="nil"/>
              <w:right w:val="nil"/>
            </w:tcBorders>
            <w:shd w:val="clear" w:color="auto" w:fill="FFFFFF"/>
            <w:tcMar>
              <w:top w:w="55" w:type="dxa"/>
              <w:left w:w="55" w:type="dxa"/>
              <w:bottom w:w="55" w:type="dxa"/>
              <w:right w:w="55" w:type="dxa"/>
            </w:tcMar>
            <w:vAlign w:val="center"/>
          </w:tcPr>
          <w:p w14:paraId="3968497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-2253.592 to 2578.414</w:t>
            </w:r>
          </w:p>
        </w:tc>
        <w:tc>
          <w:tcPr>
            <w:tcW w:w="838" w:type="pct"/>
            <w:tcBorders>
              <w:top w:val="nil"/>
              <w:left w:val="nil"/>
              <w:bottom w:val="nil"/>
              <w:right w:val="nil"/>
            </w:tcBorders>
            <w:shd w:val="clear" w:color="auto" w:fill="FFFFFF"/>
            <w:tcMar>
              <w:top w:w="55" w:type="dxa"/>
              <w:left w:w="55" w:type="dxa"/>
              <w:bottom w:w="55" w:type="dxa"/>
              <w:right w:w="55" w:type="dxa"/>
            </w:tcMar>
            <w:vAlign w:val="center"/>
          </w:tcPr>
          <w:p w14:paraId="177E14B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w:t>
            </w:r>
          </w:p>
        </w:tc>
      </w:tr>
      <w:tr w14:paraId="71072E09">
        <w:trPr>
          <w:trHeight w:val="193" w:hRule="atLeast"/>
          <w:jc w:val="center"/>
        </w:trPr>
        <w:tc>
          <w:tcPr>
            <w:tcW w:w="1552" w:type="pct"/>
            <w:tcBorders>
              <w:top w:val="nil"/>
              <w:left w:val="nil"/>
              <w:bottom w:val="nil"/>
              <w:right w:val="nil"/>
            </w:tcBorders>
            <w:shd w:val="clear" w:color="auto" w:fill="FFFFFF"/>
            <w:tcMar>
              <w:top w:w="55" w:type="dxa"/>
              <w:left w:w="55" w:type="dxa"/>
              <w:bottom w:w="55" w:type="dxa"/>
              <w:right w:w="55" w:type="dxa"/>
            </w:tcMar>
            <w:vAlign w:val="center"/>
          </w:tcPr>
          <w:p w14:paraId="40D9E71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w:t>
            </w:r>
          </w:p>
        </w:tc>
        <w:tc>
          <w:tcPr>
            <w:tcW w:w="1163" w:type="pct"/>
            <w:tcBorders>
              <w:top w:val="nil"/>
              <w:left w:val="nil"/>
              <w:bottom w:val="nil"/>
              <w:right w:val="nil"/>
            </w:tcBorders>
            <w:shd w:val="clear" w:color="auto" w:fill="FFFFFF"/>
            <w:tcMar>
              <w:top w:w="55" w:type="dxa"/>
              <w:left w:w="55" w:type="dxa"/>
              <w:bottom w:w="55" w:type="dxa"/>
              <w:right w:w="55" w:type="dxa"/>
            </w:tcMar>
            <w:vAlign w:val="center"/>
          </w:tcPr>
          <w:p w14:paraId="5DC2C84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0.065</w:t>
            </w:r>
          </w:p>
        </w:tc>
        <w:tc>
          <w:tcPr>
            <w:tcW w:w="1445" w:type="pct"/>
            <w:tcBorders>
              <w:top w:val="nil"/>
              <w:left w:val="nil"/>
              <w:bottom w:val="nil"/>
              <w:right w:val="nil"/>
            </w:tcBorders>
            <w:shd w:val="clear" w:color="auto" w:fill="FFFFFF"/>
            <w:tcMar>
              <w:top w:w="55" w:type="dxa"/>
              <w:left w:w="55" w:type="dxa"/>
              <w:bottom w:w="55" w:type="dxa"/>
              <w:right w:w="55" w:type="dxa"/>
            </w:tcMar>
            <w:vAlign w:val="center"/>
          </w:tcPr>
          <w:p w14:paraId="4A0CF78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-13.253 to 15.295</w:t>
            </w:r>
          </w:p>
        </w:tc>
        <w:tc>
          <w:tcPr>
            <w:tcW w:w="838" w:type="pct"/>
            <w:tcBorders>
              <w:top w:val="nil"/>
              <w:left w:val="nil"/>
              <w:bottom w:val="nil"/>
              <w:right w:val="nil"/>
            </w:tcBorders>
            <w:shd w:val="clear" w:color="auto" w:fill="FFFFFF"/>
            <w:tcMar>
              <w:top w:w="55" w:type="dxa"/>
              <w:left w:w="55" w:type="dxa"/>
              <w:bottom w:w="55" w:type="dxa"/>
              <w:right w:w="55" w:type="dxa"/>
            </w:tcMar>
            <w:vAlign w:val="center"/>
          </w:tcPr>
          <w:p w14:paraId="06A225E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w:t>
            </w:r>
          </w:p>
        </w:tc>
      </w:tr>
      <w:tr w14:paraId="0A08BAC0">
        <w:trPr>
          <w:trHeight w:val="193" w:hRule="atLeast"/>
          <w:jc w:val="center"/>
        </w:trPr>
        <w:tc>
          <w:tcPr>
            <w:tcW w:w="1552" w:type="pct"/>
            <w:tcBorders>
              <w:top w:val="nil"/>
              <w:left w:val="nil"/>
              <w:bottom w:val="nil"/>
              <w:right w:val="nil"/>
            </w:tcBorders>
            <w:shd w:val="clear" w:color="auto" w:fill="FFFFFF"/>
            <w:tcMar>
              <w:top w:w="55" w:type="dxa"/>
              <w:left w:w="55" w:type="dxa"/>
              <w:bottom w:w="55" w:type="dxa"/>
              <w:right w:w="55" w:type="dxa"/>
            </w:tcMar>
            <w:vAlign w:val="center"/>
          </w:tcPr>
          <w:p w14:paraId="07F0226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Iron fragility index</w:t>
            </w:r>
          </w:p>
        </w:tc>
        <w:tc>
          <w:tcPr>
            <w:tcW w:w="1163" w:type="pct"/>
            <w:tcBorders>
              <w:top w:val="nil"/>
              <w:left w:val="nil"/>
              <w:bottom w:val="nil"/>
              <w:right w:val="nil"/>
            </w:tcBorders>
            <w:shd w:val="clear" w:color="auto" w:fill="FFFFFF"/>
            <w:tcMar>
              <w:top w:w="55" w:type="dxa"/>
              <w:left w:w="55" w:type="dxa"/>
              <w:bottom w:w="55" w:type="dxa"/>
              <w:right w:w="55" w:type="dxa"/>
            </w:tcMar>
            <w:vAlign w:val="center"/>
          </w:tcPr>
          <w:p w14:paraId="4FC6BEA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-1.808</w:t>
            </w:r>
          </w:p>
        </w:tc>
        <w:tc>
          <w:tcPr>
            <w:tcW w:w="1445" w:type="pct"/>
            <w:tcBorders>
              <w:top w:val="nil"/>
              <w:left w:val="nil"/>
              <w:bottom w:val="nil"/>
              <w:right w:val="nil"/>
            </w:tcBorders>
            <w:shd w:val="clear" w:color="auto" w:fill="FFFFFF"/>
            <w:tcMar>
              <w:top w:w="55" w:type="dxa"/>
              <w:left w:w="55" w:type="dxa"/>
              <w:bottom w:w="55" w:type="dxa"/>
              <w:right w:w="55" w:type="dxa"/>
            </w:tcMar>
            <w:vAlign w:val="center"/>
          </w:tcPr>
          <w:p w14:paraId="4202F5A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-2383.503 to 2183.973</w:t>
            </w:r>
          </w:p>
        </w:tc>
        <w:tc>
          <w:tcPr>
            <w:tcW w:w="838" w:type="pct"/>
            <w:tcBorders>
              <w:top w:val="nil"/>
              <w:left w:val="nil"/>
              <w:bottom w:val="nil"/>
              <w:right w:val="nil"/>
            </w:tcBorders>
            <w:shd w:val="clear" w:color="auto" w:fill="FFFFFF"/>
            <w:tcMar>
              <w:top w:w="55" w:type="dxa"/>
              <w:left w:w="55" w:type="dxa"/>
              <w:bottom w:w="55" w:type="dxa"/>
              <w:right w:w="55" w:type="dxa"/>
            </w:tcMar>
            <w:vAlign w:val="center"/>
          </w:tcPr>
          <w:p w14:paraId="0991E5A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w:t>
            </w:r>
          </w:p>
        </w:tc>
      </w:tr>
      <w:tr w14:paraId="7A43EBA7">
        <w:trPr>
          <w:trHeight w:val="193" w:hRule="atLeast"/>
          <w:jc w:val="center"/>
        </w:trPr>
        <w:tc>
          <w:tcPr>
            <w:tcW w:w="1552"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661C6B7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163"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804AD8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11.692</w:t>
            </w:r>
          </w:p>
        </w:tc>
        <w:tc>
          <w:tcPr>
            <w:tcW w:w="1445"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A670BC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-21111.990 to 19397.779</w:t>
            </w:r>
          </w:p>
        </w:tc>
        <w:tc>
          <w:tcPr>
            <w:tcW w:w="838"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07BFED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w:t>
            </w:r>
          </w:p>
        </w:tc>
      </w:tr>
    </w:tbl>
    <w:p w14:paraId="4D83E7C0">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sz w:val="20"/>
          <w:szCs w:val="22"/>
          <w:lang w:val="en-US" w:eastAsia="zh-CN"/>
        </w:rPr>
        <w:t>Regression coefficients, standard errors, confidence intervals, and P values are shown from the probability model used to estimate stabilized inverse probability weights for complete-case inclusion in the IFI→symptom analysis. Baseline covariates included age, sex, smoking status, body mass index (BMI), C-reactive protein (CRP), hemoglobin (Hb), and other prespecified variables, as specified in the table. This model was used to estimate each participant’s probability of inclusion in the complete-case IFI→symptom analytic sample.</w:t>
      </w:r>
    </w:p>
    <w:p w14:paraId="43E156C0">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181720E">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A78883E">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1641F2E9">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0F38C2F7">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7885E816">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689E282">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DE00D5A">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1B34536D">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0E7E865F">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2271D90">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B4FF0A4">
      <w:pPr>
        <w:spacing w:before="0" w:after="0" w:line="240" w:lineRule="auto"/>
        <w:rPr>
          <w:rFonts w:hint="default" w:ascii="Times New Roman Regular" w:hAnsi="Times New Roman Regular" w:cs="Times New Roman Regular"/>
          <w:b/>
          <w:bCs/>
          <w:sz w:val="22"/>
          <w:szCs w:val="22"/>
          <w:lang w:val="en-US" w:eastAsia="zh-CN"/>
        </w:rPr>
      </w:pPr>
      <w:r>
        <w:rPr>
          <w:rFonts w:hint="default" w:ascii="Times New Roman Regular" w:hAnsi="Times New Roman Regular" w:cs="Times New Roman Regular"/>
          <w:b/>
          <w:bCs/>
          <w:sz w:val="22"/>
          <w:szCs w:val="22"/>
          <w:lang w:val="en-US" w:eastAsia="zh-CN"/>
        </w:rPr>
        <w:br w:type="page"/>
      </w:r>
    </w:p>
    <w:p w14:paraId="754C0BC1">
      <w:pPr>
        <w:pStyle w:val="2"/>
        <w:keepNext/>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S58. Family-wise false discovery rate summary across prespecified analysis families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80"/>
        <w:gridCol w:w="2190"/>
        <w:gridCol w:w="2162"/>
        <w:gridCol w:w="2567"/>
        <w:gridCol w:w="2567"/>
      </w:tblGrid>
      <w:tr w14:paraId="6CEC894A">
        <w:trPr>
          <w:trHeight w:val="193" w:hRule="atLeast"/>
          <w:tblHeader/>
          <w:jc w:val="center"/>
        </w:trPr>
        <w:tc>
          <w:tcPr>
            <w:tcW w:w="1698"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6BEB850F">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Analysis family</w:t>
            </w:r>
          </w:p>
        </w:tc>
        <w:tc>
          <w:tcPr>
            <w:tcW w:w="762"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8B7E1CA">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Number of tests</w:t>
            </w:r>
          </w:p>
        </w:tc>
        <w:tc>
          <w:tcPr>
            <w:tcW w:w="752"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D5AED1C">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Results retained at q &lt; 0.05</w:t>
            </w:r>
          </w:p>
        </w:tc>
        <w:tc>
          <w:tcPr>
            <w:tcW w:w="893"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096E417B">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Minimum raw P value</w:t>
            </w:r>
          </w:p>
        </w:tc>
        <w:tc>
          <w:tcPr>
            <w:tcW w:w="893"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60D59004">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Minimum q value</w:t>
            </w:r>
          </w:p>
        </w:tc>
      </w:tr>
      <w:tr w14:paraId="4EE8768D">
        <w:trPr>
          <w:trHeight w:val="193" w:hRule="atLeast"/>
          <w:jc w:val="center"/>
        </w:trPr>
        <w:tc>
          <w:tcPr>
            <w:tcW w:w="1698"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3DBB37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Lung-function family</w:t>
            </w:r>
          </w:p>
        </w:tc>
        <w:tc>
          <w:tcPr>
            <w:tcW w:w="762"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55B416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28</w:t>
            </w:r>
          </w:p>
        </w:tc>
        <w:tc>
          <w:tcPr>
            <w:tcW w:w="752"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16A58A9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7</w:t>
            </w:r>
          </w:p>
        </w:tc>
        <w:tc>
          <w:tcPr>
            <w:tcW w:w="893"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3B2F74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0.001</w:t>
            </w:r>
          </w:p>
        </w:tc>
        <w:tc>
          <w:tcPr>
            <w:tcW w:w="893"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2A862C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0.004</w:t>
            </w:r>
          </w:p>
        </w:tc>
      </w:tr>
      <w:tr w14:paraId="05B36316">
        <w:trPr>
          <w:trHeight w:val="193" w:hRule="atLeast"/>
          <w:jc w:val="center"/>
        </w:trPr>
        <w:tc>
          <w:tcPr>
            <w:tcW w:w="1698" w:type="pct"/>
            <w:tcBorders>
              <w:top w:val="nil"/>
              <w:left w:val="nil"/>
              <w:bottom w:val="nil"/>
              <w:right w:val="nil"/>
            </w:tcBorders>
            <w:shd w:val="clear" w:color="auto" w:fill="FFFFFF"/>
            <w:tcMar>
              <w:top w:w="55" w:type="dxa"/>
              <w:left w:w="55" w:type="dxa"/>
              <w:bottom w:w="55" w:type="dxa"/>
              <w:right w:w="55" w:type="dxa"/>
            </w:tcMar>
            <w:vAlign w:val="center"/>
          </w:tcPr>
          <w:p w14:paraId="28DEECC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Hemoglobin-related family</w:t>
            </w:r>
          </w:p>
        </w:tc>
        <w:tc>
          <w:tcPr>
            <w:tcW w:w="762" w:type="pct"/>
            <w:tcBorders>
              <w:top w:val="nil"/>
              <w:left w:val="nil"/>
              <w:bottom w:val="nil"/>
              <w:right w:val="nil"/>
            </w:tcBorders>
            <w:shd w:val="clear" w:color="auto" w:fill="FFFFFF"/>
            <w:tcMar>
              <w:top w:w="55" w:type="dxa"/>
              <w:left w:w="55" w:type="dxa"/>
              <w:bottom w:w="55" w:type="dxa"/>
              <w:right w:w="55" w:type="dxa"/>
            </w:tcMar>
            <w:vAlign w:val="center"/>
          </w:tcPr>
          <w:p w14:paraId="000C461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212</w:t>
            </w:r>
          </w:p>
        </w:tc>
        <w:tc>
          <w:tcPr>
            <w:tcW w:w="752" w:type="pct"/>
            <w:tcBorders>
              <w:top w:val="nil"/>
              <w:left w:val="nil"/>
              <w:bottom w:val="nil"/>
              <w:right w:val="nil"/>
            </w:tcBorders>
            <w:shd w:val="clear" w:color="auto" w:fill="FFFFFF"/>
            <w:tcMar>
              <w:top w:w="55" w:type="dxa"/>
              <w:left w:w="55" w:type="dxa"/>
              <w:bottom w:w="55" w:type="dxa"/>
              <w:right w:w="55" w:type="dxa"/>
            </w:tcMar>
            <w:vAlign w:val="center"/>
          </w:tcPr>
          <w:p w14:paraId="2BF9A13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16</w:t>
            </w:r>
          </w:p>
        </w:tc>
        <w:tc>
          <w:tcPr>
            <w:tcW w:w="893" w:type="pct"/>
            <w:tcBorders>
              <w:top w:val="nil"/>
              <w:left w:val="nil"/>
              <w:bottom w:val="nil"/>
              <w:right w:val="nil"/>
            </w:tcBorders>
            <w:shd w:val="clear" w:color="auto" w:fill="FFFFFF"/>
            <w:tcMar>
              <w:top w:w="55" w:type="dxa"/>
              <w:left w:w="55" w:type="dxa"/>
              <w:bottom w:w="55" w:type="dxa"/>
              <w:right w:w="55" w:type="dxa"/>
            </w:tcMar>
            <w:vAlign w:val="center"/>
          </w:tcPr>
          <w:p w14:paraId="3A78BD1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0.001</w:t>
            </w:r>
          </w:p>
        </w:tc>
        <w:tc>
          <w:tcPr>
            <w:tcW w:w="893" w:type="pct"/>
            <w:tcBorders>
              <w:top w:val="nil"/>
              <w:left w:val="nil"/>
              <w:bottom w:val="nil"/>
              <w:right w:val="nil"/>
            </w:tcBorders>
            <w:shd w:val="clear" w:color="auto" w:fill="FFFFFF"/>
            <w:tcMar>
              <w:top w:w="55" w:type="dxa"/>
              <w:left w:w="55" w:type="dxa"/>
              <w:bottom w:w="55" w:type="dxa"/>
              <w:right w:w="55" w:type="dxa"/>
            </w:tcMar>
            <w:vAlign w:val="center"/>
          </w:tcPr>
          <w:p w14:paraId="7BE06CF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0.028</w:t>
            </w:r>
          </w:p>
        </w:tc>
      </w:tr>
      <w:tr w14:paraId="3408CD5B">
        <w:trPr>
          <w:trHeight w:val="193" w:hRule="atLeast"/>
          <w:jc w:val="center"/>
        </w:trPr>
        <w:tc>
          <w:tcPr>
            <w:tcW w:w="1698" w:type="pct"/>
            <w:tcBorders>
              <w:top w:val="nil"/>
              <w:left w:val="nil"/>
              <w:bottom w:val="nil"/>
              <w:right w:val="nil"/>
            </w:tcBorders>
            <w:shd w:val="clear" w:color="auto" w:fill="FFFFFF"/>
            <w:tcMar>
              <w:top w:w="55" w:type="dxa"/>
              <w:left w:w="55" w:type="dxa"/>
              <w:bottom w:w="55" w:type="dxa"/>
              <w:right w:w="55" w:type="dxa"/>
            </w:tcMar>
            <w:vAlign w:val="center"/>
          </w:tcPr>
          <w:p w14:paraId="0200FD5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Age-modification family</w:t>
            </w:r>
          </w:p>
        </w:tc>
        <w:tc>
          <w:tcPr>
            <w:tcW w:w="762" w:type="pct"/>
            <w:tcBorders>
              <w:top w:val="nil"/>
              <w:left w:val="nil"/>
              <w:bottom w:val="nil"/>
              <w:right w:val="nil"/>
            </w:tcBorders>
            <w:shd w:val="clear" w:color="auto" w:fill="FFFFFF"/>
            <w:tcMar>
              <w:top w:w="55" w:type="dxa"/>
              <w:left w:w="55" w:type="dxa"/>
              <w:bottom w:w="55" w:type="dxa"/>
              <w:right w:w="55" w:type="dxa"/>
            </w:tcMar>
            <w:vAlign w:val="center"/>
          </w:tcPr>
          <w:p w14:paraId="0BB23FB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48</w:t>
            </w:r>
          </w:p>
        </w:tc>
        <w:tc>
          <w:tcPr>
            <w:tcW w:w="752" w:type="pct"/>
            <w:tcBorders>
              <w:top w:val="nil"/>
              <w:left w:val="nil"/>
              <w:bottom w:val="nil"/>
              <w:right w:val="nil"/>
            </w:tcBorders>
            <w:shd w:val="clear" w:color="auto" w:fill="FFFFFF"/>
            <w:tcMar>
              <w:top w:w="55" w:type="dxa"/>
              <w:left w:w="55" w:type="dxa"/>
              <w:bottom w:w="55" w:type="dxa"/>
              <w:right w:w="55" w:type="dxa"/>
            </w:tcMar>
            <w:vAlign w:val="center"/>
          </w:tcPr>
          <w:p w14:paraId="334D2FE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w:t>
            </w:r>
          </w:p>
        </w:tc>
        <w:tc>
          <w:tcPr>
            <w:tcW w:w="893" w:type="pct"/>
            <w:tcBorders>
              <w:top w:val="nil"/>
              <w:left w:val="nil"/>
              <w:bottom w:val="nil"/>
              <w:right w:val="nil"/>
            </w:tcBorders>
            <w:shd w:val="clear" w:color="auto" w:fill="FFFFFF"/>
            <w:tcMar>
              <w:top w:w="55" w:type="dxa"/>
              <w:left w:w="55" w:type="dxa"/>
              <w:bottom w:w="55" w:type="dxa"/>
              <w:right w:w="55" w:type="dxa"/>
            </w:tcMar>
            <w:vAlign w:val="center"/>
          </w:tcPr>
          <w:p w14:paraId="03ABE0E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0.001</w:t>
            </w:r>
          </w:p>
        </w:tc>
        <w:tc>
          <w:tcPr>
            <w:tcW w:w="893" w:type="pct"/>
            <w:tcBorders>
              <w:top w:val="nil"/>
              <w:left w:val="nil"/>
              <w:bottom w:val="nil"/>
              <w:right w:val="nil"/>
            </w:tcBorders>
            <w:shd w:val="clear" w:color="auto" w:fill="FFFFFF"/>
            <w:tcMar>
              <w:top w:w="55" w:type="dxa"/>
              <w:left w:w="55" w:type="dxa"/>
              <w:bottom w:w="55" w:type="dxa"/>
              <w:right w:w="55" w:type="dxa"/>
            </w:tcMar>
            <w:vAlign w:val="center"/>
          </w:tcPr>
          <w:p w14:paraId="3331708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0.048</w:t>
            </w:r>
          </w:p>
        </w:tc>
      </w:tr>
      <w:tr w14:paraId="255657B6">
        <w:trPr>
          <w:trHeight w:val="193" w:hRule="atLeast"/>
          <w:jc w:val="center"/>
        </w:trPr>
        <w:tc>
          <w:tcPr>
            <w:tcW w:w="1698" w:type="pct"/>
            <w:tcBorders>
              <w:top w:val="nil"/>
              <w:left w:val="nil"/>
              <w:bottom w:val="nil"/>
              <w:right w:val="nil"/>
            </w:tcBorders>
            <w:shd w:val="clear" w:color="auto" w:fill="FFFFFF"/>
            <w:tcMar>
              <w:top w:w="55" w:type="dxa"/>
              <w:left w:w="55" w:type="dxa"/>
              <w:bottom w:w="55" w:type="dxa"/>
              <w:right w:w="55" w:type="dxa"/>
            </w:tcMar>
            <w:vAlign w:val="center"/>
          </w:tcPr>
          <w:p w14:paraId="39B6D6E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Inflammation-related family</w:t>
            </w:r>
          </w:p>
        </w:tc>
        <w:tc>
          <w:tcPr>
            <w:tcW w:w="762" w:type="pct"/>
            <w:tcBorders>
              <w:top w:val="nil"/>
              <w:left w:val="nil"/>
              <w:bottom w:val="nil"/>
              <w:right w:val="nil"/>
            </w:tcBorders>
            <w:shd w:val="clear" w:color="auto" w:fill="FFFFFF"/>
            <w:tcMar>
              <w:top w:w="55" w:type="dxa"/>
              <w:left w:w="55" w:type="dxa"/>
              <w:bottom w:w="55" w:type="dxa"/>
              <w:right w:w="55" w:type="dxa"/>
            </w:tcMar>
            <w:vAlign w:val="center"/>
          </w:tcPr>
          <w:p w14:paraId="0241E07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72</w:t>
            </w:r>
          </w:p>
        </w:tc>
        <w:tc>
          <w:tcPr>
            <w:tcW w:w="752" w:type="pct"/>
            <w:tcBorders>
              <w:top w:val="nil"/>
              <w:left w:val="nil"/>
              <w:bottom w:val="nil"/>
              <w:right w:val="nil"/>
            </w:tcBorders>
            <w:shd w:val="clear" w:color="auto" w:fill="FFFFFF"/>
            <w:tcMar>
              <w:top w:w="55" w:type="dxa"/>
              <w:left w:w="55" w:type="dxa"/>
              <w:bottom w:w="55" w:type="dxa"/>
              <w:right w:w="55" w:type="dxa"/>
            </w:tcMar>
            <w:vAlign w:val="center"/>
          </w:tcPr>
          <w:p w14:paraId="1D713DF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w:t>
            </w:r>
          </w:p>
        </w:tc>
        <w:tc>
          <w:tcPr>
            <w:tcW w:w="893" w:type="pct"/>
            <w:tcBorders>
              <w:top w:val="nil"/>
              <w:left w:val="nil"/>
              <w:bottom w:val="nil"/>
              <w:right w:val="nil"/>
            </w:tcBorders>
            <w:shd w:val="clear" w:color="auto" w:fill="FFFFFF"/>
            <w:tcMar>
              <w:top w:w="55" w:type="dxa"/>
              <w:left w:w="55" w:type="dxa"/>
              <w:bottom w:w="55" w:type="dxa"/>
              <w:right w:w="55" w:type="dxa"/>
            </w:tcMar>
            <w:vAlign w:val="center"/>
          </w:tcPr>
          <w:p w14:paraId="1EAEDA4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0.003</w:t>
            </w:r>
          </w:p>
        </w:tc>
        <w:tc>
          <w:tcPr>
            <w:tcW w:w="893" w:type="pct"/>
            <w:tcBorders>
              <w:top w:val="nil"/>
              <w:left w:val="nil"/>
              <w:bottom w:val="nil"/>
              <w:right w:val="nil"/>
            </w:tcBorders>
            <w:shd w:val="clear" w:color="auto" w:fill="FFFFFF"/>
            <w:tcMar>
              <w:top w:w="55" w:type="dxa"/>
              <w:left w:w="55" w:type="dxa"/>
              <w:bottom w:w="55" w:type="dxa"/>
              <w:right w:w="55" w:type="dxa"/>
            </w:tcMar>
            <w:vAlign w:val="center"/>
          </w:tcPr>
          <w:p w14:paraId="3EB4EB3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0.108</w:t>
            </w:r>
          </w:p>
        </w:tc>
      </w:tr>
      <w:tr w14:paraId="0306DC3C">
        <w:trPr>
          <w:trHeight w:val="193" w:hRule="atLeast"/>
          <w:jc w:val="center"/>
        </w:trPr>
        <w:tc>
          <w:tcPr>
            <w:tcW w:w="1698" w:type="pct"/>
            <w:tcBorders>
              <w:top w:val="nil"/>
              <w:left w:val="nil"/>
              <w:bottom w:val="nil"/>
              <w:right w:val="nil"/>
            </w:tcBorders>
            <w:shd w:val="clear" w:color="auto" w:fill="FFFFFF"/>
            <w:tcMar>
              <w:top w:w="55" w:type="dxa"/>
              <w:left w:w="55" w:type="dxa"/>
              <w:bottom w:w="55" w:type="dxa"/>
              <w:right w:w="55" w:type="dxa"/>
            </w:tcMar>
            <w:vAlign w:val="center"/>
          </w:tcPr>
          <w:p w14:paraId="5F10CD1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Symptom family</w:t>
            </w:r>
          </w:p>
        </w:tc>
        <w:tc>
          <w:tcPr>
            <w:tcW w:w="762" w:type="pct"/>
            <w:tcBorders>
              <w:top w:val="nil"/>
              <w:left w:val="nil"/>
              <w:bottom w:val="nil"/>
              <w:right w:val="nil"/>
            </w:tcBorders>
            <w:shd w:val="clear" w:color="auto" w:fill="FFFFFF"/>
            <w:tcMar>
              <w:top w:w="55" w:type="dxa"/>
              <w:left w:w="55" w:type="dxa"/>
              <w:bottom w:w="55" w:type="dxa"/>
              <w:right w:w="55" w:type="dxa"/>
            </w:tcMar>
            <w:vAlign w:val="center"/>
          </w:tcPr>
          <w:p w14:paraId="2FD04AF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6</w:t>
            </w:r>
          </w:p>
        </w:tc>
        <w:tc>
          <w:tcPr>
            <w:tcW w:w="752" w:type="pct"/>
            <w:tcBorders>
              <w:top w:val="nil"/>
              <w:left w:val="nil"/>
              <w:bottom w:val="nil"/>
              <w:right w:val="nil"/>
            </w:tcBorders>
            <w:shd w:val="clear" w:color="auto" w:fill="FFFFFF"/>
            <w:tcMar>
              <w:top w:w="55" w:type="dxa"/>
              <w:left w:w="55" w:type="dxa"/>
              <w:bottom w:w="55" w:type="dxa"/>
              <w:right w:w="55" w:type="dxa"/>
            </w:tcMar>
            <w:vAlign w:val="center"/>
          </w:tcPr>
          <w:p w14:paraId="1E179B5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w:t>
            </w:r>
          </w:p>
        </w:tc>
        <w:tc>
          <w:tcPr>
            <w:tcW w:w="893" w:type="pct"/>
            <w:tcBorders>
              <w:top w:val="nil"/>
              <w:left w:val="nil"/>
              <w:bottom w:val="nil"/>
              <w:right w:val="nil"/>
            </w:tcBorders>
            <w:shd w:val="clear" w:color="auto" w:fill="FFFFFF"/>
            <w:tcMar>
              <w:top w:w="55" w:type="dxa"/>
              <w:left w:w="55" w:type="dxa"/>
              <w:bottom w:w="55" w:type="dxa"/>
              <w:right w:w="55" w:type="dxa"/>
            </w:tcMar>
            <w:vAlign w:val="center"/>
          </w:tcPr>
          <w:p w14:paraId="74C4886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0.05</w:t>
            </w:r>
          </w:p>
        </w:tc>
        <w:tc>
          <w:tcPr>
            <w:tcW w:w="893" w:type="pct"/>
            <w:tcBorders>
              <w:top w:val="nil"/>
              <w:left w:val="nil"/>
              <w:bottom w:val="nil"/>
              <w:right w:val="nil"/>
            </w:tcBorders>
            <w:shd w:val="clear" w:color="auto" w:fill="FFFFFF"/>
            <w:tcMar>
              <w:top w:w="55" w:type="dxa"/>
              <w:left w:w="55" w:type="dxa"/>
              <w:bottom w:w="55" w:type="dxa"/>
              <w:right w:w="55" w:type="dxa"/>
            </w:tcMar>
            <w:vAlign w:val="center"/>
          </w:tcPr>
          <w:p w14:paraId="5848093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0.21</w:t>
            </w:r>
          </w:p>
        </w:tc>
      </w:tr>
      <w:tr w14:paraId="47159DAA">
        <w:trPr>
          <w:trHeight w:val="193" w:hRule="atLeast"/>
          <w:jc w:val="center"/>
        </w:trPr>
        <w:tc>
          <w:tcPr>
            <w:tcW w:w="1698" w:type="pct"/>
            <w:tcBorders>
              <w:top w:val="nil"/>
              <w:left w:val="nil"/>
              <w:bottom w:val="nil"/>
              <w:right w:val="nil"/>
            </w:tcBorders>
            <w:shd w:val="clear" w:color="auto" w:fill="FFFFFF"/>
            <w:tcMar>
              <w:top w:w="55" w:type="dxa"/>
              <w:left w:w="55" w:type="dxa"/>
              <w:bottom w:w="55" w:type="dxa"/>
              <w:right w:w="55" w:type="dxa"/>
            </w:tcMar>
            <w:vAlign w:val="center"/>
          </w:tcPr>
          <w:p w14:paraId="4D97FE1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Mediation family</w:t>
            </w:r>
          </w:p>
        </w:tc>
        <w:tc>
          <w:tcPr>
            <w:tcW w:w="762" w:type="pct"/>
            <w:tcBorders>
              <w:top w:val="nil"/>
              <w:left w:val="nil"/>
              <w:bottom w:val="nil"/>
              <w:right w:val="nil"/>
            </w:tcBorders>
            <w:shd w:val="clear" w:color="auto" w:fill="FFFFFF"/>
            <w:tcMar>
              <w:top w:w="55" w:type="dxa"/>
              <w:left w:w="55" w:type="dxa"/>
              <w:bottom w:w="55" w:type="dxa"/>
              <w:right w:w="55" w:type="dxa"/>
            </w:tcMar>
            <w:vAlign w:val="center"/>
          </w:tcPr>
          <w:p w14:paraId="2BF90A7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12</w:t>
            </w:r>
          </w:p>
        </w:tc>
        <w:tc>
          <w:tcPr>
            <w:tcW w:w="752" w:type="pct"/>
            <w:tcBorders>
              <w:top w:val="nil"/>
              <w:left w:val="nil"/>
              <w:bottom w:val="nil"/>
              <w:right w:val="nil"/>
            </w:tcBorders>
            <w:shd w:val="clear" w:color="auto" w:fill="FFFFFF"/>
            <w:tcMar>
              <w:top w:w="55" w:type="dxa"/>
              <w:left w:w="55" w:type="dxa"/>
              <w:bottom w:w="55" w:type="dxa"/>
              <w:right w:w="55" w:type="dxa"/>
            </w:tcMar>
            <w:vAlign w:val="center"/>
          </w:tcPr>
          <w:p w14:paraId="39017E6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w:t>
            </w:r>
          </w:p>
        </w:tc>
        <w:tc>
          <w:tcPr>
            <w:tcW w:w="893" w:type="pct"/>
            <w:tcBorders>
              <w:top w:val="nil"/>
              <w:left w:val="nil"/>
              <w:bottom w:val="nil"/>
              <w:right w:val="nil"/>
            </w:tcBorders>
            <w:shd w:val="clear" w:color="auto" w:fill="FFFFFF"/>
            <w:tcMar>
              <w:top w:w="55" w:type="dxa"/>
              <w:left w:w="55" w:type="dxa"/>
              <w:bottom w:w="55" w:type="dxa"/>
              <w:right w:w="55" w:type="dxa"/>
            </w:tcMar>
            <w:vAlign w:val="center"/>
          </w:tcPr>
          <w:p w14:paraId="482C0C7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0.022</w:t>
            </w:r>
          </w:p>
        </w:tc>
        <w:tc>
          <w:tcPr>
            <w:tcW w:w="893" w:type="pct"/>
            <w:tcBorders>
              <w:top w:val="nil"/>
              <w:left w:val="nil"/>
              <w:bottom w:val="nil"/>
              <w:right w:val="nil"/>
            </w:tcBorders>
            <w:shd w:val="clear" w:color="auto" w:fill="FFFFFF"/>
            <w:tcMar>
              <w:top w:w="55" w:type="dxa"/>
              <w:left w:w="55" w:type="dxa"/>
              <w:bottom w:w="55" w:type="dxa"/>
              <w:right w:w="55" w:type="dxa"/>
            </w:tcMar>
            <w:vAlign w:val="center"/>
          </w:tcPr>
          <w:p w14:paraId="7690F5C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0.246</w:t>
            </w:r>
          </w:p>
        </w:tc>
      </w:tr>
      <w:tr w14:paraId="2920D6ED">
        <w:trPr>
          <w:trHeight w:val="193" w:hRule="atLeast"/>
          <w:jc w:val="center"/>
        </w:trPr>
        <w:tc>
          <w:tcPr>
            <w:tcW w:w="1698" w:type="pct"/>
            <w:tcBorders>
              <w:top w:val="nil"/>
              <w:left w:val="nil"/>
              <w:bottom w:val="nil"/>
              <w:right w:val="nil"/>
            </w:tcBorders>
            <w:shd w:val="clear" w:color="auto" w:fill="FFFFFF"/>
            <w:tcMar>
              <w:top w:w="55" w:type="dxa"/>
              <w:left w:w="55" w:type="dxa"/>
              <w:bottom w:w="55" w:type="dxa"/>
              <w:right w:w="55" w:type="dxa"/>
            </w:tcMar>
            <w:vAlign w:val="center"/>
          </w:tcPr>
          <w:p w14:paraId="0E65E69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Smoking-related family</w:t>
            </w:r>
          </w:p>
        </w:tc>
        <w:tc>
          <w:tcPr>
            <w:tcW w:w="762" w:type="pct"/>
            <w:tcBorders>
              <w:top w:val="nil"/>
              <w:left w:val="nil"/>
              <w:bottom w:val="nil"/>
              <w:right w:val="nil"/>
            </w:tcBorders>
            <w:shd w:val="clear" w:color="auto" w:fill="FFFFFF"/>
            <w:tcMar>
              <w:top w:w="55" w:type="dxa"/>
              <w:left w:w="55" w:type="dxa"/>
              <w:bottom w:w="55" w:type="dxa"/>
              <w:right w:w="55" w:type="dxa"/>
            </w:tcMar>
            <w:vAlign w:val="center"/>
          </w:tcPr>
          <w:p w14:paraId="51D101A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12</w:t>
            </w:r>
          </w:p>
        </w:tc>
        <w:tc>
          <w:tcPr>
            <w:tcW w:w="752" w:type="pct"/>
            <w:tcBorders>
              <w:top w:val="nil"/>
              <w:left w:val="nil"/>
              <w:bottom w:val="nil"/>
              <w:right w:val="nil"/>
            </w:tcBorders>
            <w:shd w:val="clear" w:color="auto" w:fill="FFFFFF"/>
            <w:tcMar>
              <w:top w:w="55" w:type="dxa"/>
              <w:left w:w="55" w:type="dxa"/>
              <w:bottom w:w="55" w:type="dxa"/>
              <w:right w:w="55" w:type="dxa"/>
            </w:tcMar>
            <w:vAlign w:val="center"/>
          </w:tcPr>
          <w:p w14:paraId="02FE695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w:t>
            </w:r>
          </w:p>
        </w:tc>
        <w:tc>
          <w:tcPr>
            <w:tcW w:w="893" w:type="pct"/>
            <w:tcBorders>
              <w:top w:val="nil"/>
              <w:left w:val="nil"/>
              <w:bottom w:val="nil"/>
              <w:right w:val="nil"/>
            </w:tcBorders>
            <w:shd w:val="clear" w:color="auto" w:fill="FFFFFF"/>
            <w:tcMar>
              <w:top w:w="55" w:type="dxa"/>
              <w:left w:w="55" w:type="dxa"/>
              <w:bottom w:w="55" w:type="dxa"/>
              <w:right w:w="55" w:type="dxa"/>
            </w:tcMar>
            <w:vAlign w:val="center"/>
          </w:tcPr>
          <w:p w14:paraId="2AF6EBB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0.053</w:t>
            </w:r>
          </w:p>
        </w:tc>
        <w:tc>
          <w:tcPr>
            <w:tcW w:w="893" w:type="pct"/>
            <w:tcBorders>
              <w:top w:val="nil"/>
              <w:left w:val="nil"/>
              <w:bottom w:val="nil"/>
              <w:right w:val="nil"/>
            </w:tcBorders>
            <w:shd w:val="clear" w:color="auto" w:fill="FFFFFF"/>
            <w:tcMar>
              <w:top w:w="55" w:type="dxa"/>
              <w:left w:w="55" w:type="dxa"/>
              <w:bottom w:w="55" w:type="dxa"/>
              <w:right w:w="55" w:type="dxa"/>
            </w:tcMar>
            <w:vAlign w:val="center"/>
          </w:tcPr>
          <w:p w14:paraId="206CAD2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0.402</w:t>
            </w:r>
          </w:p>
        </w:tc>
      </w:tr>
      <w:tr w14:paraId="673E6F2E">
        <w:trPr>
          <w:trHeight w:val="193" w:hRule="atLeast"/>
          <w:jc w:val="center"/>
        </w:trPr>
        <w:tc>
          <w:tcPr>
            <w:tcW w:w="1698"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80E830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Sex-by-age family</w:t>
            </w:r>
          </w:p>
        </w:tc>
        <w:tc>
          <w:tcPr>
            <w:tcW w:w="762"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A61545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54</w:t>
            </w:r>
          </w:p>
        </w:tc>
        <w:tc>
          <w:tcPr>
            <w:tcW w:w="752"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F2CFD5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w:t>
            </w:r>
          </w:p>
        </w:tc>
        <w:tc>
          <w:tcPr>
            <w:tcW w:w="893"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687005C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0.017</w:t>
            </w:r>
          </w:p>
        </w:tc>
        <w:tc>
          <w:tcPr>
            <w:tcW w:w="893"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D3046A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0.45</w:t>
            </w:r>
          </w:p>
        </w:tc>
      </w:tr>
    </w:tbl>
    <w:p w14:paraId="44E6450B">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sz w:val="20"/>
          <w:szCs w:val="22"/>
          <w:lang w:val="en-US" w:eastAsia="zh-CN"/>
        </w:rPr>
        <w:t>This table summarizes the family-wise false discovery rate (FDR) results across prespecified analysis families. For each family, the table reports the number of tests, the number of retained results after Benjamini–Hochberg correction, and summary indicators of the strongest raw P values and corrected q values, as specified in the table. Families were defined according to the prespecified analytic structure of the study and included lung-function, symptom, age-modification, mediation, sex-by-age, smoking-related, hemoglobin-related, and inflammation-related analyses, among others. These results were used to assess the relative strength of statistical support across major analytic domains.</w:t>
      </w:r>
    </w:p>
    <w:p w14:paraId="69D6038A">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0E7B334B">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790A00C">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5990891">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4A99CEC">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82F6D20">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B7A98A7">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9AA6430">
      <w:pPr>
        <w:spacing w:before="0" w:after="0" w:line="240" w:lineRule="auto"/>
        <w:rPr>
          <w:rFonts w:hint="default" w:ascii="Times New Roman Regular" w:hAnsi="Times New Roman Regular" w:eastAsia="宋体" w:cs="Times New Roman Regular"/>
          <w:b/>
          <w:bCs/>
          <w:kern w:val="0"/>
          <w:sz w:val="22"/>
          <w:szCs w:val="22"/>
          <w:lang w:val="en-US" w:eastAsia="zh-CN" w:bidi="ar"/>
        </w:rPr>
      </w:pPr>
      <w:r>
        <w:rPr>
          <w:rFonts w:hint="default" w:ascii="Times New Roman Regular" w:hAnsi="Times New Roman Regular" w:eastAsia="宋体" w:cs="Times New Roman Regular"/>
          <w:b/>
          <w:bCs/>
          <w:kern w:val="0"/>
          <w:sz w:val="22"/>
          <w:szCs w:val="22"/>
          <w:lang w:val="en-US" w:eastAsia="zh-CN" w:bidi="ar"/>
        </w:rPr>
        <w:br w:type="page"/>
      </w:r>
    </w:p>
    <w:p w14:paraId="446625CF">
      <w:pPr>
        <w:pStyle w:val="2"/>
        <w:keepNext/>
        <w:keepLines w:val="0"/>
        <w:widowControl/>
        <w:suppressLineNumbers w:val="0"/>
        <w:spacing w:before="0" w:after="120" w:line="240" w:lineRule="auto"/>
        <w:jc w:val="left"/>
        <w:rPr>
          <w:rFonts w:hint="default" w:ascii="Times New Roman Regular" w:hAnsi="Times New Roman Regular" w:eastAsia="宋体" w:cs="Times New Roman Regular"/>
          <w:b/>
          <w:bCs/>
          <w:kern w:val="0"/>
          <w:sz w:val="22"/>
          <w:szCs w:val="22"/>
          <w:lang w:val="en-US" w:eastAsia="zh-CN" w:bidi="ar"/>
        </w:rPr>
      </w:pPr>
      <w:r>
        <w:rPr>
          <w:rFonts w:hint="default" w:ascii="Times New Roman" w:hAnsi="Times New Roman" w:eastAsia="Times New Roman" w:cs="Times New Roman Regular"/>
          <w:b/>
          <w:bCs/>
          <w:kern w:val="0"/>
          <w:sz w:val="20"/>
          <w:szCs w:val="22"/>
          <w:lang w:val="en-US" w:eastAsia="zh-CN" w:bidi="ar"/>
        </w:rPr>
        <w:t>Supplementary Table S59. False discovery rate–adjusted results across key analysis families.</w:t>
      </w:r>
    </w:p>
    <w:p w14:paraId="1CCF6585">
      <w:pPr>
        <w:tabs>
          <w:tab w:val="left" w:pos="1206"/>
        </w:tabs>
        <w:bidi w:val="0"/>
        <w:spacing w:before="0" w:after="120" w:line="240" w:lineRule="auto"/>
        <w:jc w:val="both"/>
        <w:rPr>
          <w:rFonts w:hint="default" w:ascii="Times New Roman Regular" w:hAnsi="Times New Roman Regular" w:cs="Times New Roman Regular"/>
          <w:b w:val="0"/>
          <w:bCs w:val="0"/>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val="0"/>
          <w:bCs w:val="0"/>
          <w:sz w:val="20"/>
          <w:szCs w:val="22"/>
          <w:lang w:val="en-US" w:eastAsia="zh-CN"/>
        </w:rPr>
        <w:br w:type="textWrapping"/>
      </w:r>
      <w:r>
        <w:rPr>
          <w:rFonts w:hint="default" w:ascii="Times New Roman" w:hAnsi="Times New Roman" w:eastAsia="Times New Roman" w:cs="Times New Roman Regular"/>
          <w:b w:val="0"/>
          <w:bCs w:val="0"/>
          <w:sz w:val="20"/>
          <w:szCs w:val="22"/>
          <w:lang w:val="en-US" w:eastAsia="zh-CN"/>
        </w:rPr>
        <w:t>This table presents selected key results from family-wise false discovery rate (FDR) analyses across prespecified analysis families. Raw P values and family-specific q values are shown for selected principal and borderline findings. Benjamini–Hochberg correction was applied separately within each family. The table summarizes the relative robustness of key findings across analysis families after within-family FDR correction. Because of its size, Supplementary Table S59 is provided as a separate spreadsheet. Extended supplementary tables that are too large for inclusion in the Supplementary Appendix are provided in Supplementary Data 1.</w:t>
      </w:r>
    </w:p>
    <w:p w14:paraId="16EB9F9F">
      <w:pPr>
        <w:tabs>
          <w:tab w:val="left" w:pos="1206"/>
        </w:tabs>
        <w:bidi w:val="0"/>
        <w:spacing w:before="0" w:after="0" w:line="240" w:lineRule="auto"/>
        <w:jc w:val="both"/>
        <w:rPr>
          <w:rFonts w:hint="default" w:ascii="Times New Roman Regular" w:hAnsi="Times New Roman Regular" w:cs="Times New Roman Regular"/>
          <w:b w:val="0"/>
          <w:bCs w:val="0"/>
          <w:sz w:val="22"/>
          <w:szCs w:val="22"/>
          <w:lang w:val="en-US" w:eastAsia="zh-CN"/>
        </w:rPr>
      </w:pPr>
    </w:p>
    <w:p w14:paraId="31D3F785">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7E83C5F3">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639565FD">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577F6105">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78770DC1">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385CCDCB">
      <w:pPr>
        <w:tabs>
          <w:tab w:val="left" w:pos="1206"/>
        </w:tabs>
        <w:bidi w:val="0"/>
        <w:spacing w:before="0" w:after="0" w:line="240" w:lineRule="auto"/>
        <w:jc w:val="left"/>
        <w:rPr>
          <w:rFonts w:hint="default" w:ascii="Times New Roman Regular" w:hAnsi="Times New Roman Regular" w:cs="Times New Roman Regular"/>
          <w:b/>
          <w:bCs/>
          <w:sz w:val="22"/>
          <w:szCs w:val="22"/>
          <w:lang w:val="en-US" w:eastAsia="zh-CN"/>
        </w:rPr>
      </w:pPr>
    </w:p>
    <w:p w14:paraId="4FCD30B0">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398D82C">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118EC80E">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9A6CD77">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4FE97E5">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7847B319">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70380250">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0C37FD0">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7168FEA">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B547853">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2D5F73A">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0BAFB706">
      <w:pPr>
        <w:spacing w:before="0" w:after="0" w:line="240" w:lineRule="auto"/>
        <w:rPr>
          <w:rFonts w:hint="default" w:ascii="Times New Roman Regular" w:hAnsi="Times New Roman Regular" w:cs="Times New Roman Regular"/>
          <w:b/>
          <w:bCs/>
          <w:sz w:val="22"/>
          <w:szCs w:val="22"/>
          <w:lang w:val="en-US" w:eastAsia="zh-CN"/>
        </w:rPr>
      </w:pPr>
      <w:r>
        <w:rPr>
          <w:rFonts w:hint="default" w:ascii="Times New Roman Regular" w:hAnsi="Times New Roman Regular" w:cs="Times New Roman Regular"/>
          <w:b/>
          <w:bCs/>
          <w:sz w:val="22"/>
          <w:szCs w:val="22"/>
          <w:lang w:val="en-US" w:eastAsia="zh-CN"/>
        </w:rPr>
        <w:br w:type="page"/>
      </w:r>
    </w:p>
    <w:p w14:paraId="5464F1C2">
      <w:pPr>
        <w:pStyle w:val="2"/>
        <w:keepNext/>
        <w:keepLines w:val="0"/>
        <w:widowControl/>
        <w:suppressLineNumbers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S60. Master false discovery rate–adjusted results across all analysis families.</w:t>
      </w:r>
    </w:p>
    <w:p w14:paraId="5894B175">
      <w:pPr>
        <w:tabs>
          <w:tab w:val="left" w:pos="1206"/>
        </w:tabs>
        <w:bidi w:val="0"/>
        <w:spacing w:before="0" w:after="120" w:line="240" w:lineRule="auto"/>
        <w:jc w:val="both"/>
        <w:rPr>
          <w:rFonts w:hint="default" w:ascii="Times New Roman Regular" w:hAnsi="Times New Roman Regular" w:cs="Times New Roman Regular"/>
          <w:b w:val="0"/>
          <w:bCs w:val="0"/>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b w:val="0"/>
          <w:bCs w:val="0"/>
          <w:sz w:val="20"/>
          <w:szCs w:val="22"/>
          <w:lang w:val="en-US" w:eastAsia="zh-CN"/>
        </w:rPr>
        <w:t>This table presents family-wise false discovery rate (FDR) results across all prespecified analysis families. Raw P values and family-specific q values are shown for all included tests. Benjamini–Hochberg correction was applied separately within each family rather than across the entire manuscript. This table provides a comprehensive reference for the FDR correction framework and should be interpreted alongside the summary and key-result tables. Extended supplementary tables that are too large for inclusion in the Supplementary Appendix are provided in Supplementary Data 1.</w:t>
      </w:r>
    </w:p>
    <w:p w14:paraId="0CEE56AC">
      <w:pPr>
        <w:tabs>
          <w:tab w:val="left" w:pos="1206"/>
        </w:tabs>
        <w:bidi w:val="0"/>
        <w:spacing w:before="0" w:after="0" w:line="240" w:lineRule="auto"/>
        <w:jc w:val="both"/>
        <w:rPr>
          <w:rFonts w:hint="default" w:ascii="Times New Roman Regular" w:hAnsi="Times New Roman Regular" w:cs="Times New Roman Regular"/>
          <w:b w:val="0"/>
          <w:bCs w:val="0"/>
          <w:sz w:val="22"/>
          <w:szCs w:val="22"/>
          <w:lang w:val="en-US" w:eastAsia="zh-CN"/>
        </w:rPr>
      </w:pPr>
    </w:p>
    <w:p w14:paraId="0767572C">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196D3908">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1C7E285">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51752EB">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0BEC56FF">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623F9E2">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172E6D8">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09816B6">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AED98E5">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74159C49">
      <w:pPr>
        <w:spacing w:before="0" w:after="0" w:line="240" w:lineRule="auto"/>
        <w:rPr>
          <w:rFonts w:hint="default" w:ascii="Times New Roman Regular" w:hAnsi="Times New Roman Regular" w:cs="Times New Roman Regular"/>
          <w:b/>
          <w:bCs/>
          <w:sz w:val="22"/>
          <w:szCs w:val="22"/>
          <w:lang w:val="en-US" w:eastAsia="zh-CN"/>
        </w:rPr>
      </w:pPr>
      <w:r>
        <w:rPr>
          <w:rFonts w:hint="default" w:ascii="Times New Roman Regular" w:hAnsi="Times New Roman Regular" w:cs="Times New Roman Regular"/>
          <w:b/>
          <w:bCs/>
          <w:sz w:val="22"/>
          <w:szCs w:val="22"/>
          <w:lang w:val="en-US" w:eastAsia="zh-CN"/>
        </w:rPr>
        <w:br w:type="page"/>
      </w:r>
    </w:p>
    <w:p w14:paraId="46DD35B2">
      <w:pPr>
        <w:pStyle w:val="2"/>
        <w:keepNext/>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 xml:space="preserve">Supplementary Table S61. Extreme-value sensitivity analyses for the association between ferritin variability and repeated </w:t>
      </w:r>
      <w:r>
        <w:rPr>
          <w:rFonts w:hint="default" w:ascii="Times New Roman" w:hAnsi="Times New Roman" w:eastAsia="Times New Roman" w:cs="Times New Roman Regular"/>
          <w:b/>
          <w:sz w:val="20"/>
          <w:szCs w:val="22"/>
          <w:lang w:val="en-US" w:eastAsia="zh-CN"/>
        </w:rPr>
        <w:t>FEV₁</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89"/>
        <w:gridCol w:w="4996"/>
        <w:gridCol w:w="4360"/>
        <w:gridCol w:w="1521"/>
      </w:tblGrid>
      <w:tr w14:paraId="12835849">
        <w:trPr>
          <w:trHeight w:val="193" w:hRule="atLeast"/>
          <w:tblHeader/>
          <w:jc w:val="center"/>
        </w:trPr>
        <w:tc>
          <w:tcPr>
            <w:tcW w:w="1214"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8B176EE">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Analysis</w:t>
            </w:r>
          </w:p>
        </w:tc>
        <w:tc>
          <w:tcPr>
            <w:tcW w:w="1738"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31B22A4">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Term</w:t>
            </w:r>
          </w:p>
        </w:tc>
        <w:tc>
          <w:tcPr>
            <w:tcW w:w="1517"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DC3A853">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β (95% CI)</w:t>
            </w:r>
          </w:p>
        </w:tc>
        <w:tc>
          <w:tcPr>
            <w:tcW w:w="52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0343DBE">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4CCF39CC">
        <w:trPr>
          <w:trHeight w:val="193" w:hRule="atLeast"/>
          <w:jc w:val="center"/>
        </w:trPr>
        <w:tc>
          <w:tcPr>
            <w:tcW w:w="1214"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4DB5E6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Primary</w:t>
            </w:r>
          </w:p>
        </w:tc>
        <w:tc>
          <w:tcPr>
            <w:tcW w:w="1738"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178E682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517"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29A5C08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-0.339 (-0.553, -0.125)</w:t>
            </w:r>
          </w:p>
        </w:tc>
        <w:tc>
          <w:tcPr>
            <w:tcW w:w="52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62B4950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0.002</w:t>
            </w:r>
          </w:p>
        </w:tc>
      </w:tr>
      <w:tr w14:paraId="7960A6EB">
        <w:trPr>
          <w:trHeight w:val="193" w:hRule="atLeast"/>
          <w:jc w:val="center"/>
        </w:trPr>
        <w:tc>
          <w:tcPr>
            <w:tcW w:w="1214" w:type="pct"/>
            <w:tcBorders>
              <w:top w:val="nil"/>
              <w:left w:val="nil"/>
              <w:bottom w:val="nil"/>
              <w:right w:val="nil"/>
            </w:tcBorders>
            <w:shd w:val="clear" w:color="auto" w:fill="FFFFFF"/>
            <w:tcMar>
              <w:top w:w="55" w:type="dxa"/>
              <w:left w:w="55" w:type="dxa"/>
              <w:bottom w:w="55" w:type="dxa"/>
              <w:right w:w="55" w:type="dxa"/>
            </w:tcMar>
            <w:vAlign w:val="center"/>
          </w:tcPr>
          <w:p w14:paraId="440ECF9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Primary</w:t>
            </w:r>
          </w:p>
        </w:tc>
        <w:tc>
          <w:tcPr>
            <w:tcW w:w="1738" w:type="pct"/>
            <w:tcBorders>
              <w:top w:val="nil"/>
              <w:left w:val="nil"/>
              <w:bottom w:val="nil"/>
              <w:right w:val="nil"/>
            </w:tcBorders>
            <w:shd w:val="clear" w:color="auto" w:fill="FFFFFF"/>
            <w:tcMar>
              <w:top w:w="55" w:type="dxa"/>
              <w:left w:w="55" w:type="dxa"/>
              <w:bottom w:w="55" w:type="dxa"/>
              <w:right w:w="55" w:type="dxa"/>
            </w:tcMar>
            <w:vAlign w:val="center"/>
          </w:tcPr>
          <w:p w14:paraId="5CC807D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 Time</w:t>
            </w:r>
          </w:p>
        </w:tc>
        <w:tc>
          <w:tcPr>
            <w:tcW w:w="1517" w:type="pct"/>
            <w:tcBorders>
              <w:top w:val="nil"/>
              <w:left w:val="nil"/>
              <w:bottom w:val="nil"/>
              <w:right w:val="nil"/>
            </w:tcBorders>
            <w:shd w:val="clear" w:color="auto" w:fill="FFFFFF"/>
            <w:tcMar>
              <w:top w:w="55" w:type="dxa"/>
              <w:left w:w="55" w:type="dxa"/>
              <w:bottom w:w="55" w:type="dxa"/>
              <w:right w:w="55" w:type="dxa"/>
            </w:tcMar>
            <w:vAlign w:val="center"/>
          </w:tcPr>
          <w:p w14:paraId="6AAA2AB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0.009 (-0.019, 0.037)</w:t>
            </w:r>
          </w:p>
        </w:tc>
        <w:tc>
          <w:tcPr>
            <w:tcW w:w="529" w:type="pct"/>
            <w:tcBorders>
              <w:top w:val="nil"/>
              <w:left w:val="nil"/>
              <w:bottom w:val="nil"/>
              <w:right w:val="nil"/>
            </w:tcBorders>
            <w:shd w:val="clear" w:color="auto" w:fill="FFFFFF"/>
            <w:tcMar>
              <w:top w:w="55" w:type="dxa"/>
              <w:left w:w="55" w:type="dxa"/>
              <w:bottom w:w="55" w:type="dxa"/>
              <w:right w:w="55" w:type="dxa"/>
            </w:tcMar>
            <w:vAlign w:val="center"/>
          </w:tcPr>
          <w:p w14:paraId="6DAD367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0.525</w:t>
            </w:r>
          </w:p>
        </w:tc>
      </w:tr>
      <w:tr w14:paraId="26D5682C">
        <w:trPr>
          <w:trHeight w:val="193" w:hRule="atLeast"/>
          <w:jc w:val="center"/>
        </w:trPr>
        <w:tc>
          <w:tcPr>
            <w:tcW w:w="1214" w:type="pct"/>
            <w:tcBorders>
              <w:top w:val="nil"/>
              <w:left w:val="nil"/>
              <w:bottom w:val="nil"/>
              <w:right w:val="nil"/>
            </w:tcBorders>
            <w:shd w:val="clear" w:color="auto" w:fill="FFFFFF"/>
            <w:tcMar>
              <w:top w:w="55" w:type="dxa"/>
              <w:left w:w="55" w:type="dxa"/>
              <w:bottom w:w="55" w:type="dxa"/>
              <w:right w:w="55" w:type="dxa"/>
            </w:tcMar>
            <w:vAlign w:val="center"/>
          </w:tcPr>
          <w:p w14:paraId="7C03E5A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Winsorized CV</w:t>
            </w:r>
          </w:p>
        </w:tc>
        <w:tc>
          <w:tcPr>
            <w:tcW w:w="1738" w:type="pct"/>
            <w:tcBorders>
              <w:top w:val="nil"/>
              <w:left w:val="nil"/>
              <w:bottom w:val="nil"/>
              <w:right w:val="nil"/>
            </w:tcBorders>
            <w:shd w:val="clear" w:color="auto" w:fill="FFFFFF"/>
            <w:tcMar>
              <w:top w:w="55" w:type="dxa"/>
              <w:left w:w="55" w:type="dxa"/>
              <w:bottom w:w="55" w:type="dxa"/>
              <w:right w:w="55" w:type="dxa"/>
            </w:tcMar>
            <w:vAlign w:val="center"/>
          </w:tcPr>
          <w:p w14:paraId="5680540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517" w:type="pct"/>
            <w:tcBorders>
              <w:top w:val="nil"/>
              <w:left w:val="nil"/>
              <w:bottom w:val="nil"/>
              <w:right w:val="nil"/>
            </w:tcBorders>
            <w:shd w:val="clear" w:color="auto" w:fill="FFFFFF"/>
            <w:tcMar>
              <w:top w:w="55" w:type="dxa"/>
              <w:left w:w="55" w:type="dxa"/>
              <w:bottom w:w="55" w:type="dxa"/>
              <w:right w:w="55" w:type="dxa"/>
            </w:tcMar>
            <w:vAlign w:val="center"/>
          </w:tcPr>
          <w:p w14:paraId="666220C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-0.352 (-0.570, -0.135)</w:t>
            </w:r>
          </w:p>
        </w:tc>
        <w:tc>
          <w:tcPr>
            <w:tcW w:w="529" w:type="pct"/>
            <w:tcBorders>
              <w:top w:val="nil"/>
              <w:left w:val="nil"/>
              <w:bottom w:val="nil"/>
              <w:right w:val="nil"/>
            </w:tcBorders>
            <w:shd w:val="clear" w:color="auto" w:fill="FFFFFF"/>
            <w:tcMar>
              <w:top w:w="55" w:type="dxa"/>
              <w:left w:w="55" w:type="dxa"/>
              <w:bottom w:w="55" w:type="dxa"/>
              <w:right w:w="55" w:type="dxa"/>
            </w:tcMar>
            <w:vAlign w:val="center"/>
          </w:tcPr>
          <w:p w14:paraId="21DB022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0.002</w:t>
            </w:r>
          </w:p>
        </w:tc>
      </w:tr>
      <w:tr w14:paraId="6E7A4F99">
        <w:trPr>
          <w:trHeight w:val="193" w:hRule="atLeast"/>
          <w:jc w:val="center"/>
        </w:trPr>
        <w:tc>
          <w:tcPr>
            <w:tcW w:w="1214" w:type="pct"/>
            <w:tcBorders>
              <w:top w:val="nil"/>
              <w:left w:val="nil"/>
              <w:bottom w:val="nil"/>
              <w:right w:val="nil"/>
            </w:tcBorders>
            <w:shd w:val="clear" w:color="auto" w:fill="FFFFFF"/>
            <w:tcMar>
              <w:top w:w="55" w:type="dxa"/>
              <w:left w:w="55" w:type="dxa"/>
              <w:bottom w:w="55" w:type="dxa"/>
              <w:right w:w="55" w:type="dxa"/>
            </w:tcMar>
            <w:vAlign w:val="center"/>
          </w:tcPr>
          <w:p w14:paraId="393E59F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Winsorized CV</w:t>
            </w:r>
          </w:p>
        </w:tc>
        <w:tc>
          <w:tcPr>
            <w:tcW w:w="1738" w:type="pct"/>
            <w:tcBorders>
              <w:top w:val="nil"/>
              <w:left w:val="nil"/>
              <w:bottom w:val="nil"/>
              <w:right w:val="nil"/>
            </w:tcBorders>
            <w:shd w:val="clear" w:color="auto" w:fill="FFFFFF"/>
            <w:tcMar>
              <w:top w:w="55" w:type="dxa"/>
              <w:left w:w="55" w:type="dxa"/>
              <w:bottom w:w="55" w:type="dxa"/>
              <w:right w:w="55" w:type="dxa"/>
            </w:tcMar>
            <w:vAlign w:val="center"/>
          </w:tcPr>
          <w:p w14:paraId="2D82BCD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 Time</w:t>
            </w:r>
          </w:p>
        </w:tc>
        <w:tc>
          <w:tcPr>
            <w:tcW w:w="1517" w:type="pct"/>
            <w:tcBorders>
              <w:top w:val="nil"/>
              <w:left w:val="nil"/>
              <w:bottom w:val="nil"/>
              <w:right w:val="nil"/>
            </w:tcBorders>
            <w:shd w:val="clear" w:color="auto" w:fill="FFFFFF"/>
            <w:tcMar>
              <w:top w:w="55" w:type="dxa"/>
              <w:left w:w="55" w:type="dxa"/>
              <w:bottom w:w="55" w:type="dxa"/>
              <w:right w:w="55" w:type="dxa"/>
            </w:tcMar>
            <w:vAlign w:val="center"/>
          </w:tcPr>
          <w:p w14:paraId="03C18E6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0.011 (-0.017, 0.039)</w:t>
            </w:r>
          </w:p>
        </w:tc>
        <w:tc>
          <w:tcPr>
            <w:tcW w:w="529" w:type="pct"/>
            <w:tcBorders>
              <w:top w:val="nil"/>
              <w:left w:val="nil"/>
              <w:bottom w:val="nil"/>
              <w:right w:val="nil"/>
            </w:tcBorders>
            <w:shd w:val="clear" w:color="auto" w:fill="FFFFFF"/>
            <w:tcMar>
              <w:top w:w="55" w:type="dxa"/>
              <w:left w:w="55" w:type="dxa"/>
              <w:bottom w:w="55" w:type="dxa"/>
              <w:right w:w="55" w:type="dxa"/>
            </w:tcMar>
            <w:vAlign w:val="center"/>
          </w:tcPr>
          <w:p w14:paraId="1EEF36E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0.435</w:t>
            </w:r>
          </w:p>
        </w:tc>
      </w:tr>
      <w:tr w14:paraId="63E93494">
        <w:trPr>
          <w:trHeight w:val="193" w:hRule="atLeast"/>
          <w:jc w:val="center"/>
        </w:trPr>
        <w:tc>
          <w:tcPr>
            <w:tcW w:w="1214" w:type="pct"/>
            <w:tcBorders>
              <w:top w:val="nil"/>
              <w:left w:val="nil"/>
              <w:bottom w:val="nil"/>
              <w:right w:val="nil"/>
            </w:tcBorders>
            <w:shd w:val="clear" w:color="auto" w:fill="FFFFFF"/>
            <w:tcMar>
              <w:top w:w="55" w:type="dxa"/>
              <w:left w:w="55" w:type="dxa"/>
              <w:bottom w:w="55" w:type="dxa"/>
              <w:right w:w="55" w:type="dxa"/>
            </w:tcMar>
            <w:vAlign w:val="center"/>
          </w:tcPr>
          <w:p w14:paraId="6125C1C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Trimmed 1% tails</w:t>
            </w:r>
          </w:p>
        </w:tc>
        <w:tc>
          <w:tcPr>
            <w:tcW w:w="1738" w:type="pct"/>
            <w:tcBorders>
              <w:top w:val="nil"/>
              <w:left w:val="nil"/>
              <w:bottom w:val="nil"/>
              <w:right w:val="nil"/>
            </w:tcBorders>
            <w:shd w:val="clear" w:color="auto" w:fill="FFFFFF"/>
            <w:tcMar>
              <w:top w:w="55" w:type="dxa"/>
              <w:left w:w="55" w:type="dxa"/>
              <w:bottom w:w="55" w:type="dxa"/>
              <w:right w:w="55" w:type="dxa"/>
            </w:tcMar>
            <w:vAlign w:val="center"/>
          </w:tcPr>
          <w:p w14:paraId="1E55F25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517" w:type="pct"/>
            <w:tcBorders>
              <w:top w:val="nil"/>
              <w:left w:val="nil"/>
              <w:bottom w:val="nil"/>
              <w:right w:val="nil"/>
            </w:tcBorders>
            <w:shd w:val="clear" w:color="auto" w:fill="FFFFFF"/>
            <w:tcMar>
              <w:top w:w="55" w:type="dxa"/>
              <w:left w:w="55" w:type="dxa"/>
              <w:bottom w:w="55" w:type="dxa"/>
              <w:right w:w="55" w:type="dxa"/>
            </w:tcMar>
            <w:vAlign w:val="center"/>
          </w:tcPr>
          <w:p w14:paraId="620DD63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-0.334 (-0.564, -0.105)</w:t>
            </w:r>
          </w:p>
        </w:tc>
        <w:tc>
          <w:tcPr>
            <w:tcW w:w="529" w:type="pct"/>
            <w:tcBorders>
              <w:top w:val="nil"/>
              <w:left w:val="nil"/>
              <w:bottom w:val="nil"/>
              <w:right w:val="nil"/>
            </w:tcBorders>
            <w:shd w:val="clear" w:color="auto" w:fill="FFFFFF"/>
            <w:tcMar>
              <w:top w:w="55" w:type="dxa"/>
              <w:left w:w="55" w:type="dxa"/>
              <w:bottom w:w="55" w:type="dxa"/>
              <w:right w:w="55" w:type="dxa"/>
            </w:tcMar>
            <w:vAlign w:val="center"/>
          </w:tcPr>
          <w:p w14:paraId="59933FF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0.004</w:t>
            </w:r>
          </w:p>
        </w:tc>
      </w:tr>
      <w:tr w14:paraId="6EAE3510">
        <w:trPr>
          <w:trHeight w:val="193" w:hRule="atLeast"/>
          <w:jc w:val="center"/>
        </w:trPr>
        <w:tc>
          <w:tcPr>
            <w:tcW w:w="1214"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B3900A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Trimmed 1% tails</w:t>
            </w:r>
          </w:p>
        </w:tc>
        <w:tc>
          <w:tcPr>
            <w:tcW w:w="1738"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137AE3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 Time</w:t>
            </w:r>
          </w:p>
        </w:tc>
        <w:tc>
          <w:tcPr>
            <w:tcW w:w="151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0FA702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0.011 (-0.019, 0.041)</w:t>
            </w:r>
          </w:p>
        </w:tc>
        <w:tc>
          <w:tcPr>
            <w:tcW w:w="52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2EC36E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0.472</w:t>
            </w:r>
          </w:p>
        </w:tc>
      </w:tr>
    </w:tbl>
    <w:p w14:paraId="462CFE8F">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sz w:val="20"/>
          <w:szCs w:val="22"/>
          <w:lang w:val="en-US" w:eastAsia="zh-CN"/>
        </w:rPr>
        <w:t>Regression coefficients (β), 95% confidence intervals (CIs), and P values are shown from sensitivity analyses evaluating whether the association between ferritin coefficient of variation (CV) and repeated forced expiratory volume in 1 second (FEV₁) was materially influenced by extreme values. The primary model is shown together with models using winsorized ferritin CV values and models after trimming the upper and lower 1% of the ferritin CV distribution. Corresponding ferritin CV × time interaction terms are also shown to assess whether conclusions regarding longitudinal change were altered under these alternative specifications. Models were fitted using the same Hb-adjusted linear mixed-effects framework as in the main analyses.</w:t>
      </w:r>
    </w:p>
    <w:p w14:paraId="2185DE71">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452BF2C">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CE858B9">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7D46D86">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5DA9AD3">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A421453">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04E47877">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9720EC9">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3A58469">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30A224F">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E0F77A8">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76623768">
      <w:pPr>
        <w:spacing w:before="0" w:after="0" w:line="240" w:lineRule="auto"/>
        <w:rPr>
          <w:rFonts w:hint="default" w:ascii="Times New Roman Regular" w:hAnsi="Times New Roman Regular" w:cs="Times New Roman Regular"/>
          <w:b/>
          <w:bCs/>
          <w:sz w:val="22"/>
          <w:szCs w:val="22"/>
          <w:lang w:val="en-US" w:eastAsia="zh-CN"/>
        </w:rPr>
      </w:pPr>
      <w:r>
        <w:rPr>
          <w:rFonts w:hint="default" w:ascii="Times New Roman Regular" w:hAnsi="Times New Roman Regular" w:cs="Times New Roman Regular"/>
          <w:b/>
          <w:bCs/>
          <w:sz w:val="22"/>
          <w:szCs w:val="22"/>
          <w:lang w:val="en-US" w:eastAsia="zh-CN"/>
        </w:rPr>
        <w:br w:type="page"/>
      </w:r>
    </w:p>
    <w:p w14:paraId="10E1F31A">
      <w:pPr>
        <w:pStyle w:val="2"/>
        <w:keepNext/>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S62. Hb-adjusted associations between ferritin variability and mean log(C-reactive protein) by age group</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87"/>
        <w:gridCol w:w="4788"/>
        <w:gridCol w:w="4791"/>
      </w:tblGrid>
      <w:tr w14:paraId="71A3549C">
        <w:trPr>
          <w:trHeight w:val="193" w:hRule="atLeast"/>
          <w:tblHeader/>
          <w:jc w:val="center"/>
        </w:trPr>
        <w:tc>
          <w:tcPr>
            <w:tcW w:w="1666"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0077B88">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Age group, years</w:t>
            </w:r>
          </w:p>
        </w:tc>
        <w:tc>
          <w:tcPr>
            <w:tcW w:w="1666"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E92AC0F">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β (95% CI)</w:t>
            </w:r>
          </w:p>
        </w:tc>
        <w:tc>
          <w:tcPr>
            <w:tcW w:w="1667"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E345EAC">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25A54C62">
        <w:trPr>
          <w:trHeight w:val="193" w:hRule="atLeast"/>
          <w:jc w:val="center"/>
        </w:trPr>
        <w:tc>
          <w:tcPr>
            <w:tcW w:w="1666"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A6CB75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50–59</w:t>
            </w:r>
          </w:p>
        </w:tc>
        <w:tc>
          <w:tcPr>
            <w:tcW w:w="1666"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2575FFA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0.431 (-0.350 to 1.213)</w:t>
            </w:r>
          </w:p>
        </w:tc>
        <w:tc>
          <w:tcPr>
            <w:tcW w:w="1667"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972B60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0.281</w:t>
            </w:r>
          </w:p>
        </w:tc>
      </w:tr>
      <w:tr w14:paraId="00D87800">
        <w:trPr>
          <w:trHeight w:val="193" w:hRule="atLeast"/>
          <w:jc w:val="center"/>
        </w:trPr>
        <w:tc>
          <w:tcPr>
            <w:tcW w:w="1666" w:type="pct"/>
            <w:tcBorders>
              <w:top w:val="nil"/>
              <w:left w:val="nil"/>
              <w:bottom w:val="nil"/>
              <w:right w:val="nil"/>
            </w:tcBorders>
            <w:shd w:val="clear" w:color="auto" w:fill="FFFFFF"/>
            <w:tcMar>
              <w:top w:w="55" w:type="dxa"/>
              <w:left w:w="55" w:type="dxa"/>
              <w:bottom w:w="55" w:type="dxa"/>
              <w:right w:w="55" w:type="dxa"/>
            </w:tcMar>
            <w:vAlign w:val="center"/>
          </w:tcPr>
          <w:p w14:paraId="5B0576D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60–69</w:t>
            </w:r>
          </w:p>
        </w:tc>
        <w:tc>
          <w:tcPr>
            <w:tcW w:w="1666" w:type="pct"/>
            <w:tcBorders>
              <w:top w:val="nil"/>
              <w:left w:val="nil"/>
              <w:bottom w:val="nil"/>
              <w:right w:val="nil"/>
            </w:tcBorders>
            <w:shd w:val="clear" w:color="auto" w:fill="FFFFFF"/>
            <w:tcMar>
              <w:top w:w="55" w:type="dxa"/>
              <w:left w:w="55" w:type="dxa"/>
              <w:bottom w:w="55" w:type="dxa"/>
              <w:right w:w="55" w:type="dxa"/>
            </w:tcMar>
            <w:vAlign w:val="center"/>
          </w:tcPr>
          <w:p w14:paraId="43296B8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0.852 (0.022 to 1.683)</w:t>
            </w:r>
          </w:p>
        </w:tc>
        <w:tc>
          <w:tcPr>
            <w:tcW w:w="1667" w:type="pct"/>
            <w:tcBorders>
              <w:top w:val="nil"/>
              <w:left w:val="nil"/>
              <w:bottom w:val="nil"/>
              <w:right w:val="nil"/>
            </w:tcBorders>
            <w:shd w:val="clear" w:color="auto" w:fill="FFFFFF"/>
            <w:tcMar>
              <w:top w:w="55" w:type="dxa"/>
              <w:left w:w="55" w:type="dxa"/>
              <w:bottom w:w="55" w:type="dxa"/>
              <w:right w:w="55" w:type="dxa"/>
            </w:tcMar>
            <w:vAlign w:val="center"/>
          </w:tcPr>
          <w:p w14:paraId="3551BCE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0.046</w:t>
            </w:r>
          </w:p>
        </w:tc>
      </w:tr>
      <w:tr w14:paraId="64A933B7">
        <w:trPr>
          <w:trHeight w:val="193" w:hRule="atLeast"/>
          <w:jc w:val="center"/>
        </w:trPr>
        <w:tc>
          <w:tcPr>
            <w:tcW w:w="1666"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EF0FD0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≥70</w:t>
            </w:r>
          </w:p>
        </w:tc>
        <w:tc>
          <w:tcPr>
            <w:tcW w:w="1666"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01E4BC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0.205 (-0.659 to 1.069)</w:t>
            </w:r>
          </w:p>
        </w:tc>
        <w:tc>
          <w:tcPr>
            <w:tcW w:w="166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BD2B86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0.643</w:t>
            </w:r>
          </w:p>
        </w:tc>
      </w:tr>
    </w:tbl>
    <w:p w14:paraId="08D9B109">
      <w:pPr>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Footnote</w:t>
      </w:r>
    </w:p>
    <w:p w14:paraId="6A094370">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sz w:val="20"/>
          <w:szCs w:val="22"/>
          <w:lang w:val="en-US" w:eastAsia="zh-CN"/>
        </w:rPr>
        <w:t>Regression coefficients (β), 95% confidence intervals (CIs), and P values are shown from Hb-adjusted linear regression models examining the association between ferritin coefficient of variation (CV) and mean log-transformed C-reactive protein (CRP) within prespecified age groups. Age groups were defined as 50–59 years, 60–69 years, and ≥70 years. Models were adjusted for sex, smoking status, body mass index (BMI), and hemoglobin (Hb), as applicable. These analyses were used to assess whether the association between ferritin variability and long-term inflammatory burden differed across age groups.</w:t>
      </w:r>
    </w:p>
    <w:p w14:paraId="4BA2FD61">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B5F1F4D">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7E702EB">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038351E">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BE4AB29">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41D9A6C">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774076CF">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9F714C9">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0EC19E19">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CE7D84D">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5563D67">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AA45D2D">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A0ED8D1">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1E931B75">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2DBF474">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71E192F">
      <w:pPr>
        <w:spacing w:before="0" w:after="0" w:line="240" w:lineRule="auto"/>
        <w:rPr>
          <w:rFonts w:hint="default" w:ascii="Times New Roman Regular" w:hAnsi="Times New Roman Regular" w:cs="Times New Roman Regular"/>
          <w:b/>
          <w:bCs/>
          <w:sz w:val="22"/>
          <w:szCs w:val="22"/>
          <w:lang w:val="en-US" w:eastAsia="zh-CN"/>
        </w:rPr>
      </w:pPr>
      <w:r>
        <w:rPr>
          <w:rFonts w:hint="default" w:ascii="Times New Roman Regular" w:hAnsi="Times New Roman Regular" w:cs="Times New Roman Regular"/>
          <w:b/>
          <w:bCs/>
          <w:sz w:val="22"/>
          <w:szCs w:val="22"/>
          <w:lang w:val="en-US" w:eastAsia="zh-CN"/>
        </w:rPr>
        <w:br w:type="page"/>
      </w:r>
    </w:p>
    <w:p w14:paraId="0CCF7892">
      <w:pPr>
        <w:pStyle w:val="2"/>
        <w:keepNext/>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S63. Hb-adjusted indirect effects for mediation of the ferritin variability–</w:t>
      </w:r>
      <w:r>
        <w:rPr>
          <w:rFonts w:hint="default" w:ascii="Times New Roman" w:hAnsi="Times New Roman" w:eastAsia="Times New Roman" w:cs="Times New Roman Regular"/>
          <w:b/>
          <w:sz w:val="20"/>
          <w:szCs w:val="22"/>
          <w:lang w:val="en-US" w:eastAsia="zh-CN"/>
        </w:rPr>
        <w:t>FEV₁</w:t>
      </w:r>
      <w:r>
        <w:rPr>
          <w:rFonts w:hint="default" w:ascii="Times New Roman" w:hAnsi="Times New Roman" w:eastAsia="Times New Roman" w:cs="Times New Roman Regular"/>
          <w:b/>
          <w:bCs/>
          <w:sz w:val="20"/>
          <w:szCs w:val="22"/>
          <w:lang w:val="en-US" w:eastAsia="zh-CN"/>
        </w:rPr>
        <w:t xml:space="preserve"> association by C-reactive protein, overall and by age group</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880"/>
        <w:gridCol w:w="8022"/>
        <w:gridCol w:w="2464"/>
      </w:tblGrid>
      <w:tr w14:paraId="31D5A2F7">
        <w:trPr>
          <w:trHeight w:val="193" w:hRule="atLeast"/>
          <w:tblHeader/>
          <w:jc w:val="center"/>
        </w:trPr>
        <w:tc>
          <w:tcPr>
            <w:tcW w:w="135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7E97010">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Group</w:t>
            </w:r>
          </w:p>
        </w:tc>
        <w:tc>
          <w:tcPr>
            <w:tcW w:w="2791"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3729CFAE">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Indirect effect (95% CI)</w:t>
            </w:r>
          </w:p>
        </w:tc>
        <w:tc>
          <w:tcPr>
            <w:tcW w:w="857"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DE14E33">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1ECEC6F1">
        <w:trPr>
          <w:trHeight w:val="193" w:hRule="atLeast"/>
          <w:jc w:val="center"/>
        </w:trPr>
        <w:tc>
          <w:tcPr>
            <w:tcW w:w="135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96C8553">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Overall</w:t>
            </w:r>
          </w:p>
        </w:tc>
        <w:tc>
          <w:tcPr>
            <w:tcW w:w="2791"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104A8F74">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-0.0651 (-0.126 to -0.012)</w:t>
            </w:r>
          </w:p>
        </w:tc>
        <w:tc>
          <w:tcPr>
            <w:tcW w:w="857"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478E850">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0.022</w:t>
            </w:r>
          </w:p>
        </w:tc>
      </w:tr>
      <w:tr w14:paraId="1C768AE0">
        <w:trPr>
          <w:trHeight w:val="193" w:hRule="atLeast"/>
          <w:jc w:val="center"/>
        </w:trPr>
        <w:tc>
          <w:tcPr>
            <w:tcW w:w="1350" w:type="pct"/>
            <w:tcBorders>
              <w:top w:val="nil"/>
              <w:left w:val="nil"/>
              <w:bottom w:val="nil"/>
              <w:right w:val="nil"/>
            </w:tcBorders>
            <w:shd w:val="clear" w:color="auto" w:fill="FFFFFF"/>
            <w:tcMar>
              <w:top w:w="55" w:type="dxa"/>
              <w:left w:w="55" w:type="dxa"/>
              <w:bottom w:w="55" w:type="dxa"/>
              <w:right w:w="55" w:type="dxa"/>
            </w:tcMar>
            <w:vAlign w:val="center"/>
          </w:tcPr>
          <w:p w14:paraId="4870948D">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50–59 years</w:t>
            </w:r>
          </w:p>
        </w:tc>
        <w:tc>
          <w:tcPr>
            <w:tcW w:w="2791" w:type="pct"/>
            <w:tcBorders>
              <w:top w:val="nil"/>
              <w:left w:val="nil"/>
              <w:bottom w:val="nil"/>
              <w:right w:val="nil"/>
            </w:tcBorders>
            <w:shd w:val="clear" w:color="auto" w:fill="FFFFFF"/>
            <w:tcMar>
              <w:top w:w="55" w:type="dxa"/>
              <w:left w:w="55" w:type="dxa"/>
              <w:bottom w:w="55" w:type="dxa"/>
              <w:right w:w="55" w:type="dxa"/>
            </w:tcMar>
            <w:vAlign w:val="center"/>
          </w:tcPr>
          <w:p w14:paraId="561DB50F">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-0.0454 (-0.156 to 0.048)</w:t>
            </w:r>
          </w:p>
        </w:tc>
        <w:tc>
          <w:tcPr>
            <w:tcW w:w="857" w:type="pct"/>
            <w:tcBorders>
              <w:top w:val="nil"/>
              <w:left w:val="nil"/>
              <w:bottom w:val="nil"/>
              <w:right w:val="nil"/>
            </w:tcBorders>
            <w:shd w:val="clear" w:color="auto" w:fill="FFFFFF"/>
            <w:tcMar>
              <w:top w:w="55" w:type="dxa"/>
              <w:left w:w="55" w:type="dxa"/>
              <w:bottom w:w="55" w:type="dxa"/>
              <w:right w:w="55" w:type="dxa"/>
            </w:tcMar>
            <w:vAlign w:val="center"/>
          </w:tcPr>
          <w:p w14:paraId="31E7FC17">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0.374</w:t>
            </w:r>
          </w:p>
        </w:tc>
      </w:tr>
      <w:tr w14:paraId="03390040">
        <w:trPr>
          <w:trHeight w:val="193" w:hRule="atLeast"/>
          <w:jc w:val="center"/>
        </w:trPr>
        <w:tc>
          <w:tcPr>
            <w:tcW w:w="1350" w:type="pct"/>
            <w:tcBorders>
              <w:top w:val="nil"/>
              <w:left w:val="nil"/>
              <w:bottom w:val="nil"/>
              <w:right w:val="nil"/>
            </w:tcBorders>
            <w:shd w:val="clear" w:color="auto" w:fill="FFFFFF"/>
            <w:tcMar>
              <w:top w:w="55" w:type="dxa"/>
              <w:left w:w="55" w:type="dxa"/>
              <w:bottom w:w="55" w:type="dxa"/>
              <w:right w:w="55" w:type="dxa"/>
            </w:tcMar>
            <w:vAlign w:val="center"/>
          </w:tcPr>
          <w:p w14:paraId="435C9946">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60–69 years</w:t>
            </w:r>
          </w:p>
        </w:tc>
        <w:tc>
          <w:tcPr>
            <w:tcW w:w="2791" w:type="pct"/>
            <w:tcBorders>
              <w:top w:val="nil"/>
              <w:left w:val="nil"/>
              <w:bottom w:val="nil"/>
              <w:right w:val="nil"/>
            </w:tcBorders>
            <w:shd w:val="clear" w:color="auto" w:fill="FFFFFF"/>
            <w:tcMar>
              <w:top w:w="55" w:type="dxa"/>
              <w:left w:w="55" w:type="dxa"/>
              <w:bottom w:w="55" w:type="dxa"/>
              <w:right w:w="55" w:type="dxa"/>
            </w:tcMar>
            <w:vAlign w:val="center"/>
          </w:tcPr>
          <w:p w14:paraId="10508BCB">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-0.1046 (-0.206 to -0.005)</w:t>
            </w:r>
          </w:p>
        </w:tc>
        <w:tc>
          <w:tcPr>
            <w:tcW w:w="857" w:type="pct"/>
            <w:tcBorders>
              <w:top w:val="nil"/>
              <w:left w:val="nil"/>
              <w:bottom w:val="nil"/>
              <w:right w:val="nil"/>
            </w:tcBorders>
            <w:shd w:val="clear" w:color="auto" w:fill="FFFFFF"/>
            <w:tcMar>
              <w:top w:w="55" w:type="dxa"/>
              <w:left w:w="55" w:type="dxa"/>
              <w:bottom w:w="55" w:type="dxa"/>
              <w:right w:w="55" w:type="dxa"/>
            </w:tcMar>
            <w:vAlign w:val="center"/>
          </w:tcPr>
          <w:p w14:paraId="22B12252">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0.041</w:t>
            </w:r>
          </w:p>
        </w:tc>
      </w:tr>
      <w:tr w14:paraId="4E331763">
        <w:trPr>
          <w:trHeight w:val="193" w:hRule="atLeast"/>
          <w:jc w:val="center"/>
        </w:trPr>
        <w:tc>
          <w:tcPr>
            <w:tcW w:w="135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E61E9CA">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≥70 years</w:t>
            </w:r>
          </w:p>
        </w:tc>
        <w:tc>
          <w:tcPr>
            <w:tcW w:w="2791"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6DEE4A2">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-0.0188 (-0.108 to 0.083)</w:t>
            </w:r>
          </w:p>
        </w:tc>
        <w:tc>
          <w:tcPr>
            <w:tcW w:w="85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6959AEB3">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0.674</w:t>
            </w:r>
          </w:p>
        </w:tc>
      </w:tr>
    </w:tbl>
    <w:p w14:paraId="21F61293">
      <w:pPr>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Footnote</w:t>
      </w:r>
    </w:p>
    <w:p w14:paraId="79F05D33">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sz w:val="20"/>
          <w:szCs w:val="22"/>
          <w:lang w:val="en-US" w:eastAsia="zh-CN"/>
        </w:rPr>
        <w:t>Indirect effects, 95% confidence intervals (CIs), and P values are shown from Hb-adjusted mediation models evaluating whether mean log-transformed C-reactive protein (CRP) mediated the association between ferritin coefficient of variation (CV) and forced expiratory volume in 1 second (FEV₁). Results are shown for the overall sample and separately for prespecified age groups. Models were adjusted for sex, smoking status, body mass index (BMI), and hemoglobin (Hb), as applicable. This table is provided as a concise summary of the age-specific indirect effects underlying the mediation analyses.</w:t>
      </w:r>
    </w:p>
    <w:p w14:paraId="31C74431">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D9A65E2">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B8BCE53">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B34FC8E">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72A3DA03">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06F8EF97">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E3364CC">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5960CC3">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1E47889C">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D003C4B">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77BDEE60">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7B01478">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14C9F0A">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2F6E630">
      <w:pPr>
        <w:spacing w:before="0" w:after="0" w:line="240" w:lineRule="auto"/>
        <w:rPr>
          <w:rFonts w:hint="default" w:ascii="Times New Roman Regular" w:hAnsi="Times New Roman Regular" w:cs="Times New Roman Regular"/>
          <w:b/>
          <w:bCs/>
          <w:sz w:val="22"/>
          <w:szCs w:val="22"/>
          <w:lang w:val="en-US" w:eastAsia="zh-CN"/>
        </w:rPr>
      </w:pPr>
      <w:r>
        <w:rPr>
          <w:rFonts w:hint="default" w:ascii="Times New Roman Regular" w:hAnsi="Times New Roman Regular" w:cs="Times New Roman Regular"/>
          <w:b/>
          <w:bCs/>
          <w:sz w:val="22"/>
          <w:szCs w:val="22"/>
          <w:lang w:val="en-US" w:eastAsia="zh-CN"/>
        </w:rPr>
        <w:br w:type="page"/>
      </w:r>
    </w:p>
    <w:p w14:paraId="4A0BB525">
      <w:pPr>
        <w:pStyle w:val="2"/>
        <w:keepNext/>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S64. Full mediation model output for ferritin variability, C-reactive protein, and FEV₁, overall and by age group</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64"/>
        <w:gridCol w:w="4998"/>
        <w:gridCol w:w="4325"/>
        <w:gridCol w:w="1779"/>
      </w:tblGrid>
      <w:tr w14:paraId="3016F240">
        <w:trPr>
          <w:trHeight w:val="193" w:hRule="atLeast"/>
          <w:tblHeader/>
          <w:jc w:val="center"/>
        </w:trPr>
        <w:tc>
          <w:tcPr>
            <w:tcW w:w="1136"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5A1E36B">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Group</w:t>
            </w:r>
          </w:p>
        </w:tc>
        <w:tc>
          <w:tcPr>
            <w:tcW w:w="173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8EC1F3D">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Path / effect</w:t>
            </w:r>
          </w:p>
        </w:tc>
        <w:tc>
          <w:tcPr>
            <w:tcW w:w="1505"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77B06AA">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Estimate (95% CI)</w:t>
            </w:r>
          </w:p>
        </w:tc>
        <w:tc>
          <w:tcPr>
            <w:tcW w:w="61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086E0AF">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2325B8F8">
        <w:trPr>
          <w:trHeight w:val="193" w:hRule="atLeast"/>
          <w:jc w:val="center"/>
        </w:trPr>
        <w:tc>
          <w:tcPr>
            <w:tcW w:w="1136"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B6872A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Overall</w:t>
            </w:r>
          </w:p>
        </w:tc>
        <w:tc>
          <w:tcPr>
            <w:tcW w:w="173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B26D35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 mean log(CRP)</w:t>
            </w:r>
          </w:p>
        </w:tc>
        <w:tc>
          <w:tcPr>
            <w:tcW w:w="1505"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DB6F88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0.5827 (0.104 to 1.050)</w:t>
            </w:r>
          </w:p>
        </w:tc>
        <w:tc>
          <w:tcPr>
            <w:tcW w:w="61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16E4A2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0.014</w:t>
            </w:r>
          </w:p>
        </w:tc>
      </w:tr>
      <w:tr w14:paraId="5333A4DA">
        <w:trPr>
          <w:trHeight w:val="193" w:hRule="atLeast"/>
          <w:jc w:val="center"/>
        </w:trPr>
        <w:tc>
          <w:tcPr>
            <w:tcW w:w="1136" w:type="pct"/>
            <w:tcBorders>
              <w:top w:val="nil"/>
              <w:left w:val="nil"/>
              <w:bottom w:val="nil"/>
              <w:right w:val="nil"/>
            </w:tcBorders>
            <w:shd w:val="clear" w:color="auto" w:fill="FFFFFF"/>
            <w:tcMar>
              <w:top w:w="55" w:type="dxa"/>
              <w:left w:w="55" w:type="dxa"/>
              <w:bottom w:w="55" w:type="dxa"/>
              <w:right w:w="55" w:type="dxa"/>
            </w:tcMar>
            <w:vAlign w:val="center"/>
          </w:tcPr>
          <w:p w14:paraId="2C7D150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Overall</w:t>
            </w:r>
          </w:p>
        </w:tc>
        <w:tc>
          <w:tcPr>
            <w:tcW w:w="1739" w:type="pct"/>
            <w:tcBorders>
              <w:top w:val="nil"/>
              <w:left w:val="nil"/>
              <w:bottom w:val="nil"/>
              <w:right w:val="nil"/>
            </w:tcBorders>
            <w:shd w:val="clear" w:color="auto" w:fill="FFFFFF"/>
            <w:tcMar>
              <w:top w:w="55" w:type="dxa"/>
              <w:left w:w="55" w:type="dxa"/>
              <w:bottom w:w="55" w:type="dxa"/>
              <w:right w:w="55" w:type="dxa"/>
            </w:tcMar>
            <w:vAlign w:val="center"/>
          </w:tcPr>
          <w:p w14:paraId="5DD7BD0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Direct effect on </w:t>
            </w:r>
            <w:r>
              <w:rPr>
                <w:rFonts w:hint="default" w:ascii="Times New Roman" w:hAnsi="Times New Roman" w:eastAsia="Times New Roman" w:cs="Times New Roman Regular"/>
                <w:sz w:val="17"/>
                <w:szCs w:val="22"/>
                <w:lang w:val="en-US" w:eastAsia="zh-CN"/>
              </w:rPr>
              <w:t>FEV₁</w:t>
            </w:r>
          </w:p>
        </w:tc>
        <w:tc>
          <w:tcPr>
            <w:tcW w:w="1505" w:type="pct"/>
            <w:tcBorders>
              <w:top w:val="nil"/>
              <w:left w:val="nil"/>
              <w:bottom w:val="nil"/>
              <w:right w:val="nil"/>
            </w:tcBorders>
            <w:shd w:val="clear" w:color="auto" w:fill="FFFFFF"/>
            <w:tcMar>
              <w:top w:w="55" w:type="dxa"/>
              <w:left w:w="55" w:type="dxa"/>
              <w:bottom w:w="55" w:type="dxa"/>
              <w:right w:w="55" w:type="dxa"/>
            </w:tcMar>
            <w:vAlign w:val="center"/>
          </w:tcPr>
          <w:p w14:paraId="5476F32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-0.2414 (-0.431 to -0.054)</w:t>
            </w:r>
          </w:p>
        </w:tc>
        <w:tc>
          <w:tcPr>
            <w:tcW w:w="619" w:type="pct"/>
            <w:tcBorders>
              <w:top w:val="nil"/>
              <w:left w:val="nil"/>
              <w:bottom w:val="nil"/>
              <w:right w:val="nil"/>
            </w:tcBorders>
            <w:shd w:val="clear" w:color="auto" w:fill="FFFFFF"/>
            <w:tcMar>
              <w:top w:w="55" w:type="dxa"/>
              <w:left w:w="55" w:type="dxa"/>
              <w:bottom w:w="55" w:type="dxa"/>
              <w:right w:w="55" w:type="dxa"/>
            </w:tcMar>
            <w:vAlign w:val="center"/>
          </w:tcPr>
          <w:p w14:paraId="6BDDD56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0.01</w:t>
            </w:r>
          </w:p>
        </w:tc>
      </w:tr>
      <w:tr w14:paraId="386DA0FE">
        <w:trPr>
          <w:trHeight w:val="193" w:hRule="atLeast"/>
          <w:jc w:val="center"/>
        </w:trPr>
        <w:tc>
          <w:tcPr>
            <w:tcW w:w="1136" w:type="pct"/>
            <w:tcBorders>
              <w:top w:val="nil"/>
              <w:left w:val="nil"/>
              <w:bottom w:val="nil"/>
              <w:right w:val="nil"/>
            </w:tcBorders>
            <w:shd w:val="clear" w:color="auto" w:fill="FFFFFF"/>
            <w:tcMar>
              <w:top w:w="55" w:type="dxa"/>
              <w:left w:w="55" w:type="dxa"/>
              <w:bottom w:w="55" w:type="dxa"/>
              <w:right w:w="55" w:type="dxa"/>
            </w:tcMar>
            <w:vAlign w:val="center"/>
          </w:tcPr>
          <w:p w14:paraId="5F4C028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Overall</w:t>
            </w:r>
          </w:p>
        </w:tc>
        <w:tc>
          <w:tcPr>
            <w:tcW w:w="1739" w:type="pct"/>
            <w:tcBorders>
              <w:top w:val="nil"/>
              <w:left w:val="nil"/>
              <w:bottom w:val="nil"/>
              <w:right w:val="nil"/>
            </w:tcBorders>
            <w:shd w:val="clear" w:color="auto" w:fill="FFFFFF"/>
            <w:tcMar>
              <w:top w:w="55" w:type="dxa"/>
              <w:left w:w="55" w:type="dxa"/>
              <w:bottom w:w="55" w:type="dxa"/>
              <w:right w:w="55" w:type="dxa"/>
            </w:tcMar>
            <w:vAlign w:val="center"/>
          </w:tcPr>
          <w:p w14:paraId="310524E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Mean log(CRP) → </w:t>
            </w:r>
            <w:r>
              <w:rPr>
                <w:rFonts w:hint="default" w:ascii="Times New Roman" w:hAnsi="Times New Roman" w:eastAsia="Times New Roman" w:cs="Times New Roman Regular"/>
                <w:sz w:val="17"/>
                <w:szCs w:val="22"/>
                <w:lang w:val="en-US" w:eastAsia="zh-CN"/>
              </w:rPr>
              <w:t>FEV₁</w:t>
            </w:r>
          </w:p>
        </w:tc>
        <w:tc>
          <w:tcPr>
            <w:tcW w:w="1505" w:type="pct"/>
            <w:tcBorders>
              <w:top w:val="nil"/>
              <w:left w:val="nil"/>
              <w:bottom w:val="nil"/>
              <w:right w:val="nil"/>
            </w:tcBorders>
            <w:shd w:val="clear" w:color="auto" w:fill="FFFFFF"/>
            <w:tcMar>
              <w:top w:w="55" w:type="dxa"/>
              <w:left w:w="55" w:type="dxa"/>
              <w:bottom w:w="55" w:type="dxa"/>
              <w:right w:w="55" w:type="dxa"/>
            </w:tcMar>
            <w:vAlign w:val="center"/>
          </w:tcPr>
          <w:p w14:paraId="678A219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-0.1117 (-0.144 to -0.077)</w:t>
            </w:r>
          </w:p>
        </w:tc>
        <w:tc>
          <w:tcPr>
            <w:tcW w:w="619" w:type="pct"/>
            <w:tcBorders>
              <w:top w:val="nil"/>
              <w:left w:val="nil"/>
              <w:bottom w:val="nil"/>
              <w:right w:val="nil"/>
            </w:tcBorders>
            <w:shd w:val="clear" w:color="auto" w:fill="FFFFFF"/>
            <w:tcMar>
              <w:top w:w="55" w:type="dxa"/>
              <w:left w:w="55" w:type="dxa"/>
              <w:bottom w:w="55" w:type="dxa"/>
              <w:right w:w="55" w:type="dxa"/>
            </w:tcMar>
            <w:vAlign w:val="center"/>
          </w:tcPr>
          <w:p w14:paraId="66C5E65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&lt;0.001</w:t>
            </w:r>
          </w:p>
        </w:tc>
      </w:tr>
      <w:tr w14:paraId="432FF6F9">
        <w:trPr>
          <w:trHeight w:val="193" w:hRule="atLeast"/>
          <w:jc w:val="center"/>
        </w:trPr>
        <w:tc>
          <w:tcPr>
            <w:tcW w:w="1136" w:type="pct"/>
            <w:tcBorders>
              <w:top w:val="nil"/>
              <w:left w:val="nil"/>
              <w:bottom w:val="nil"/>
              <w:right w:val="nil"/>
            </w:tcBorders>
            <w:shd w:val="clear" w:color="auto" w:fill="FFFFFF"/>
            <w:tcMar>
              <w:top w:w="55" w:type="dxa"/>
              <w:left w:w="55" w:type="dxa"/>
              <w:bottom w:w="55" w:type="dxa"/>
              <w:right w:w="55" w:type="dxa"/>
            </w:tcMar>
            <w:vAlign w:val="center"/>
          </w:tcPr>
          <w:p w14:paraId="4DF3EBD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Overall</w:t>
            </w:r>
          </w:p>
        </w:tc>
        <w:tc>
          <w:tcPr>
            <w:tcW w:w="1739" w:type="pct"/>
            <w:tcBorders>
              <w:top w:val="nil"/>
              <w:left w:val="nil"/>
              <w:bottom w:val="nil"/>
              <w:right w:val="nil"/>
            </w:tcBorders>
            <w:shd w:val="clear" w:color="auto" w:fill="FFFFFF"/>
            <w:tcMar>
              <w:top w:w="55" w:type="dxa"/>
              <w:left w:w="55" w:type="dxa"/>
              <w:bottom w:w="55" w:type="dxa"/>
              <w:right w:w="55" w:type="dxa"/>
            </w:tcMar>
            <w:vAlign w:val="center"/>
          </w:tcPr>
          <w:p w14:paraId="5BE0A5E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Indirect effect</w:t>
            </w:r>
          </w:p>
        </w:tc>
        <w:tc>
          <w:tcPr>
            <w:tcW w:w="1505" w:type="pct"/>
            <w:tcBorders>
              <w:top w:val="nil"/>
              <w:left w:val="nil"/>
              <w:bottom w:val="nil"/>
              <w:right w:val="nil"/>
            </w:tcBorders>
            <w:shd w:val="clear" w:color="auto" w:fill="FFFFFF"/>
            <w:tcMar>
              <w:top w:w="55" w:type="dxa"/>
              <w:left w:w="55" w:type="dxa"/>
              <w:bottom w:w="55" w:type="dxa"/>
              <w:right w:w="55" w:type="dxa"/>
            </w:tcMar>
            <w:vAlign w:val="center"/>
          </w:tcPr>
          <w:p w14:paraId="4AD2D2F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-0.0651 (-0.126 to -0.012)</w:t>
            </w:r>
          </w:p>
        </w:tc>
        <w:tc>
          <w:tcPr>
            <w:tcW w:w="619" w:type="pct"/>
            <w:tcBorders>
              <w:top w:val="nil"/>
              <w:left w:val="nil"/>
              <w:bottom w:val="nil"/>
              <w:right w:val="nil"/>
            </w:tcBorders>
            <w:shd w:val="clear" w:color="auto" w:fill="FFFFFF"/>
            <w:tcMar>
              <w:top w:w="55" w:type="dxa"/>
              <w:left w:w="55" w:type="dxa"/>
              <w:bottom w:w="55" w:type="dxa"/>
              <w:right w:w="55" w:type="dxa"/>
            </w:tcMar>
            <w:vAlign w:val="center"/>
          </w:tcPr>
          <w:p w14:paraId="03BFDD1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0.022</w:t>
            </w:r>
          </w:p>
        </w:tc>
      </w:tr>
      <w:tr w14:paraId="0C76EFA6">
        <w:trPr>
          <w:trHeight w:val="193" w:hRule="atLeast"/>
          <w:jc w:val="center"/>
        </w:trPr>
        <w:tc>
          <w:tcPr>
            <w:tcW w:w="1136" w:type="pct"/>
            <w:tcBorders>
              <w:top w:val="nil"/>
              <w:left w:val="nil"/>
              <w:bottom w:val="nil"/>
              <w:right w:val="nil"/>
            </w:tcBorders>
            <w:shd w:val="clear" w:color="auto" w:fill="FFFFFF"/>
            <w:tcMar>
              <w:top w:w="55" w:type="dxa"/>
              <w:left w:w="55" w:type="dxa"/>
              <w:bottom w:w="55" w:type="dxa"/>
              <w:right w:w="55" w:type="dxa"/>
            </w:tcMar>
            <w:vAlign w:val="center"/>
          </w:tcPr>
          <w:p w14:paraId="7E7636E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Overall</w:t>
            </w:r>
          </w:p>
        </w:tc>
        <w:tc>
          <w:tcPr>
            <w:tcW w:w="1739" w:type="pct"/>
            <w:tcBorders>
              <w:top w:val="nil"/>
              <w:left w:val="nil"/>
              <w:bottom w:val="nil"/>
              <w:right w:val="nil"/>
            </w:tcBorders>
            <w:shd w:val="clear" w:color="auto" w:fill="FFFFFF"/>
            <w:tcMar>
              <w:top w:w="55" w:type="dxa"/>
              <w:left w:w="55" w:type="dxa"/>
              <w:bottom w:w="55" w:type="dxa"/>
              <w:right w:w="55" w:type="dxa"/>
            </w:tcMar>
            <w:vAlign w:val="center"/>
          </w:tcPr>
          <w:p w14:paraId="6DEA97A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Total effect</w:t>
            </w:r>
          </w:p>
        </w:tc>
        <w:tc>
          <w:tcPr>
            <w:tcW w:w="1505" w:type="pct"/>
            <w:tcBorders>
              <w:top w:val="nil"/>
              <w:left w:val="nil"/>
              <w:bottom w:val="nil"/>
              <w:right w:val="nil"/>
            </w:tcBorders>
            <w:shd w:val="clear" w:color="auto" w:fill="FFFFFF"/>
            <w:tcMar>
              <w:top w:w="55" w:type="dxa"/>
              <w:left w:w="55" w:type="dxa"/>
              <w:bottom w:w="55" w:type="dxa"/>
              <w:right w:w="55" w:type="dxa"/>
            </w:tcMar>
            <w:vAlign w:val="center"/>
          </w:tcPr>
          <w:p w14:paraId="7C20601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-0.3065 (-0.497 to -0.110)</w:t>
            </w:r>
          </w:p>
        </w:tc>
        <w:tc>
          <w:tcPr>
            <w:tcW w:w="619" w:type="pct"/>
            <w:tcBorders>
              <w:top w:val="nil"/>
              <w:left w:val="nil"/>
              <w:bottom w:val="nil"/>
              <w:right w:val="nil"/>
            </w:tcBorders>
            <w:shd w:val="clear" w:color="auto" w:fill="FFFFFF"/>
            <w:tcMar>
              <w:top w:w="55" w:type="dxa"/>
              <w:left w:w="55" w:type="dxa"/>
              <w:bottom w:w="55" w:type="dxa"/>
              <w:right w:w="55" w:type="dxa"/>
            </w:tcMar>
            <w:vAlign w:val="center"/>
          </w:tcPr>
          <w:p w14:paraId="2390FAA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0.001</w:t>
            </w:r>
          </w:p>
        </w:tc>
      </w:tr>
      <w:tr w14:paraId="4F65F019">
        <w:trPr>
          <w:trHeight w:val="193" w:hRule="atLeast"/>
          <w:jc w:val="center"/>
        </w:trPr>
        <w:tc>
          <w:tcPr>
            <w:tcW w:w="1136" w:type="pct"/>
            <w:tcBorders>
              <w:top w:val="nil"/>
              <w:left w:val="nil"/>
              <w:bottom w:val="nil"/>
              <w:right w:val="nil"/>
            </w:tcBorders>
            <w:shd w:val="clear" w:color="auto" w:fill="FFFFFF"/>
            <w:tcMar>
              <w:top w:w="55" w:type="dxa"/>
              <w:left w:w="55" w:type="dxa"/>
              <w:bottom w:w="55" w:type="dxa"/>
              <w:right w:w="55" w:type="dxa"/>
            </w:tcMar>
            <w:vAlign w:val="center"/>
          </w:tcPr>
          <w:p w14:paraId="54B3500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Overall</w:t>
            </w:r>
          </w:p>
        </w:tc>
        <w:tc>
          <w:tcPr>
            <w:tcW w:w="1739" w:type="pct"/>
            <w:tcBorders>
              <w:top w:val="nil"/>
              <w:left w:val="nil"/>
              <w:bottom w:val="nil"/>
              <w:right w:val="nil"/>
            </w:tcBorders>
            <w:shd w:val="clear" w:color="auto" w:fill="FFFFFF"/>
            <w:tcMar>
              <w:top w:w="55" w:type="dxa"/>
              <w:left w:w="55" w:type="dxa"/>
              <w:bottom w:w="55" w:type="dxa"/>
              <w:right w:w="55" w:type="dxa"/>
            </w:tcMar>
            <w:vAlign w:val="center"/>
          </w:tcPr>
          <w:p w14:paraId="69AF58B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Proportion mediated</w:t>
            </w:r>
          </w:p>
        </w:tc>
        <w:tc>
          <w:tcPr>
            <w:tcW w:w="1505" w:type="pct"/>
            <w:tcBorders>
              <w:top w:val="nil"/>
              <w:left w:val="nil"/>
              <w:bottom w:val="nil"/>
              <w:right w:val="nil"/>
            </w:tcBorders>
            <w:shd w:val="clear" w:color="auto" w:fill="FFFFFF"/>
            <w:tcMar>
              <w:top w:w="55" w:type="dxa"/>
              <w:left w:w="55" w:type="dxa"/>
              <w:bottom w:w="55" w:type="dxa"/>
              <w:right w:w="55" w:type="dxa"/>
            </w:tcMar>
            <w:vAlign w:val="center"/>
          </w:tcPr>
          <w:p w14:paraId="7225A9C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0.2124 (0.042 to 0.558)</w:t>
            </w:r>
          </w:p>
        </w:tc>
        <w:tc>
          <w:tcPr>
            <w:tcW w:w="619" w:type="pct"/>
            <w:tcBorders>
              <w:top w:val="nil"/>
              <w:left w:val="nil"/>
              <w:bottom w:val="nil"/>
              <w:right w:val="nil"/>
            </w:tcBorders>
            <w:shd w:val="clear" w:color="auto" w:fill="FFFFFF"/>
            <w:tcMar>
              <w:top w:w="55" w:type="dxa"/>
              <w:left w:w="55" w:type="dxa"/>
              <w:bottom w:w="55" w:type="dxa"/>
              <w:right w:w="55" w:type="dxa"/>
            </w:tcMar>
            <w:vAlign w:val="center"/>
          </w:tcPr>
          <w:p w14:paraId="6282EE4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0.634</w:t>
            </w:r>
          </w:p>
        </w:tc>
      </w:tr>
      <w:tr w14:paraId="4C1B304D">
        <w:trPr>
          <w:trHeight w:val="193" w:hRule="atLeast"/>
          <w:jc w:val="center"/>
        </w:trPr>
        <w:tc>
          <w:tcPr>
            <w:tcW w:w="1136" w:type="pct"/>
            <w:tcBorders>
              <w:top w:val="nil"/>
              <w:left w:val="nil"/>
              <w:bottom w:val="nil"/>
              <w:right w:val="nil"/>
            </w:tcBorders>
            <w:shd w:val="clear" w:color="auto" w:fill="FFFFFF"/>
            <w:tcMar>
              <w:top w:w="55" w:type="dxa"/>
              <w:left w:w="55" w:type="dxa"/>
              <w:bottom w:w="55" w:type="dxa"/>
              <w:right w:w="55" w:type="dxa"/>
            </w:tcMar>
            <w:vAlign w:val="center"/>
          </w:tcPr>
          <w:p w14:paraId="47FE93B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50–59 years</w:t>
            </w:r>
          </w:p>
        </w:tc>
        <w:tc>
          <w:tcPr>
            <w:tcW w:w="1739" w:type="pct"/>
            <w:tcBorders>
              <w:top w:val="nil"/>
              <w:left w:val="nil"/>
              <w:bottom w:val="nil"/>
              <w:right w:val="nil"/>
            </w:tcBorders>
            <w:shd w:val="clear" w:color="auto" w:fill="FFFFFF"/>
            <w:tcMar>
              <w:top w:w="55" w:type="dxa"/>
              <w:left w:w="55" w:type="dxa"/>
              <w:bottom w:w="55" w:type="dxa"/>
              <w:right w:w="55" w:type="dxa"/>
            </w:tcMar>
            <w:vAlign w:val="center"/>
          </w:tcPr>
          <w:p w14:paraId="15983B0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 mean log(CRP)</w:t>
            </w:r>
          </w:p>
        </w:tc>
        <w:tc>
          <w:tcPr>
            <w:tcW w:w="1505" w:type="pct"/>
            <w:tcBorders>
              <w:top w:val="nil"/>
              <w:left w:val="nil"/>
              <w:bottom w:val="nil"/>
              <w:right w:val="nil"/>
            </w:tcBorders>
            <w:shd w:val="clear" w:color="auto" w:fill="FFFFFF"/>
            <w:tcMar>
              <w:top w:w="55" w:type="dxa"/>
              <w:left w:w="55" w:type="dxa"/>
              <w:bottom w:w="55" w:type="dxa"/>
              <w:right w:w="55" w:type="dxa"/>
            </w:tcMar>
            <w:vAlign w:val="center"/>
          </w:tcPr>
          <w:p w14:paraId="22A40B7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0.4525 (-0.514 to 1.397)</w:t>
            </w:r>
          </w:p>
        </w:tc>
        <w:tc>
          <w:tcPr>
            <w:tcW w:w="619" w:type="pct"/>
            <w:tcBorders>
              <w:top w:val="nil"/>
              <w:left w:val="nil"/>
              <w:bottom w:val="nil"/>
              <w:right w:val="nil"/>
            </w:tcBorders>
            <w:shd w:val="clear" w:color="auto" w:fill="FFFFFF"/>
            <w:tcMar>
              <w:top w:w="55" w:type="dxa"/>
              <w:left w:w="55" w:type="dxa"/>
              <w:bottom w:w="55" w:type="dxa"/>
              <w:right w:w="55" w:type="dxa"/>
            </w:tcMar>
            <w:vAlign w:val="center"/>
          </w:tcPr>
          <w:p w14:paraId="300746A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0.324</w:t>
            </w:r>
          </w:p>
        </w:tc>
      </w:tr>
      <w:tr w14:paraId="53B03F51">
        <w:trPr>
          <w:trHeight w:val="193" w:hRule="atLeast"/>
          <w:jc w:val="center"/>
        </w:trPr>
        <w:tc>
          <w:tcPr>
            <w:tcW w:w="1136" w:type="pct"/>
            <w:tcBorders>
              <w:top w:val="nil"/>
              <w:left w:val="nil"/>
              <w:bottom w:val="nil"/>
              <w:right w:val="nil"/>
            </w:tcBorders>
            <w:shd w:val="clear" w:color="auto" w:fill="FFFFFF"/>
            <w:tcMar>
              <w:top w:w="55" w:type="dxa"/>
              <w:left w:w="55" w:type="dxa"/>
              <w:bottom w:w="55" w:type="dxa"/>
              <w:right w:w="55" w:type="dxa"/>
            </w:tcMar>
            <w:vAlign w:val="center"/>
          </w:tcPr>
          <w:p w14:paraId="3275E79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50–59 years</w:t>
            </w:r>
          </w:p>
        </w:tc>
        <w:tc>
          <w:tcPr>
            <w:tcW w:w="1739" w:type="pct"/>
            <w:tcBorders>
              <w:top w:val="nil"/>
              <w:left w:val="nil"/>
              <w:bottom w:val="nil"/>
              <w:right w:val="nil"/>
            </w:tcBorders>
            <w:shd w:val="clear" w:color="auto" w:fill="FFFFFF"/>
            <w:tcMar>
              <w:top w:w="55" w:type="dxa"/>
              <w:left w:w="55" w:type="dxa"/>
              <w:bottom w:w="55" w:type="dxa"/>
              <w:right w:w="55" w:type="dxa"/>
            </w:tcMar>
            <w:vAlign w:val="center"/>
          </w:tcPr>
          <w:p w14:paraId="755BAC3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Direct effect on </w:t>
            </w:r>
            <w:r>
              <w:rPr>
                <w:rFonts w:hint="default" w:ascii="Times New Roman" w:hAnsi="Times New Roman" w:eastAsia="Times New Roman" w:cs="Times New Roman Regular"/>
                <w:sz w:val="17"/>
                <w:szCs w:val="22"/>
                <w:lang w:val="en-US" w:eastAsia="zh-CN"/>
              </w:rPr>
              <w:t>FEV₁</w:t>
            </w:r>
          </w:p>
        </w:tc>
        <w:tc>
          <w:tcPr>
            <w:tcW w:w="1505" w:type="pct"/>
            <w:tcBorders>
              <w:top w:val="nil"/>
              <w:left w:val="nil"/>
              <w:bottom w:val="nil"/>
              <w:right w:val="nil"/>
            </w:tcBorders>
            <w:shd w:val="clear" w:color="auto" w:fill="FFFFFF"/>
            <w:tcMar>
              <w:top w:w="55" w:type="dxa"/>
              <w:left w:w="55" w:type="dxa"/>
              <w:bottom w:w="55" w:type="dxa"/>
              <w:right w:w="55" w:type="dxa"/>
            </w:tcMar>
            <w:vAlign w:val="center"/>
          </w:tcPr>
          <w:p w14:paraId="47D009A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-0.1622 (-0.441 to 0.142)</w:t>
            </w:r>
          </w:p>
        </w:tc>
        <w:tc>
          <w:tcPr>
            <w:tcW w:w="619" w:type="pct"/>
            <w:tcBorders>
              <w:top w:val="nil"/>
              <w:left w:val="nil"/>
              <w:bottom w:val="nil"/>
              <w:right w:val="nil"/>
            </w:tcBorders>
            <w:shd w:val="clear" w:color="auto" w:fill="FFFFFF"/>
            <w:tcMar>
              <w:top w:w="55" w:type="dxa"/>
              <w:left w:w="55" w:type="dxa"/>
              <w:bottom w:w="55" w:type="dxa"/>
              <w:right w:w="55" w:type="dxa"/>
            </w:tcMar>
            <w:vAlign w:val="center"/>
          </w:tcPr>
          <w:p w14:paraId="68576A7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0.282</w:t>
            </w:r>
          </w:p>
        </w:tc>
      </w:tr>
      <w:tr w14:paraId="0B08CDD8">
        <w:trPr>
          <w:trHeight w:val="193" w:hRule="atLeast"/>
          <w:jc w:val="center"/>
        </w:trPr>
        <w:tc>
          <w:tcPr>
            <w:tcW w:w="1136" w:type="pct"/>
            <w:tcBorders>
              <w:top w:val="nil"/>
              <w:left w:val="nil"/>
              <w:bottom w:val="nil"/>
              <w:right w:val="nil"/>
            </w:tcBorders>
            <w:shd w:val="clear" w:color="auto" w:fill="FFFFFF"/>
            <w:tcMar>
              <w:top w:w="55" w:type="dxa"/>
              <w:left w:w="55" w:type="dxa"/>
              <w:bottom w:w="55" w:type="dxa"/>
              <w:right w:w="55" w:type="dxa"/>
            </w:tcMar>
            <w:vAlign w:val="center"/>
          </w:tcPr>
          <w:p w14:paraId="74B36C9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50–59 years</w:t>
            </w:r>
          </w:p>
        </w:tc>
        <w:tc>
          <w:tcPr>
            <w:tcW w:w="1739" w:type="pct"/>
            <w:tcBorders>
              <w:top w:val="nil"/>
              <w:left w:val="nil"/>
              <w:bottom w:val="nil"/>
              <w:right w:val="nil"/>
            </w:tcBorders>
            <w:shd w:val="clear" w:color="auto" w:fill="FFFFFF"/>
            <w:tcMar>
              <w:top w:w="55" w:type="dxa"/>
              <w:left w:w="55" w:type="dxa"/>
              <w:bottom w:w="55" w:type="dxa"/>
              <w:right w:w="55" w:type="dxa"/>
            </w:tcMar>
            <w:vAlign w:val="center"/>
          </w:tcPr>
          <w:p w14:paraId="4A2764F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Mean log(CRP) → </w:t>
            </w:r>
            <w:r>
              <w:rPr>
                <w:rFonts w:hint="default" w:ascii="Times New Roman" w:hAnsi="Times New Roman" w:eastAsia="Times New Roman" w:cs="Times New Roman Regular"/>
                <w:sz w:val="17"/>
                <w:szCs w:val="22"/>
                <w:lang w:val="en-US" w:eastAsia="zh-CN"/>
              </w:rPr>
              <w:t>FEV₁</w:t>
            </w:r>
          </w:p>
        </w:tc>
        <w:tc>
          <w:tcPr>
            <w:tcW w:w="1505" w:type="pct"/>
            <w:tcBorders>
              <w:top w:val="nil"/>
              <w:left w:val="nil"/>
              <w:bottom w:val="nil"/>
              <w:right w:val="nil"/>
            </w:tcBorders>
            <w:shd w:val="clear" w:color="auto" w:fill="FFFFFF"/>
            <w:tcMar>
              <w:top w:w="55" w:type="dxa"/>
              <w:left w:w="55" w:type="dxa"/>
              <w:bottom w:w="55" w:type="dxa"/>
              <w:right w:w="55" w:type="dxa"/>
            </w:tcMar>
            <w:vAlign w:val="center"/>
          </w:tcPr>
          <w:p w14:paraId="7994F6A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-0.1004 (-0.161 to -0.039)</w:t>
            </w:r>
          </w:p>
        </w:tc>
        <w:tc>
          <w:tcPr>
            <w:tcW w:w="619" w:type="pct"/>
            <w:tcBorders>
              <w:top w:val="nil"/>
              <w:left w:val="nil"/>
              <w:bottom w:val="nil"/>
              <w:right w:val="nil"/>
            </w:tcBorders>
            <w:shd w:val="clear" w:color="auto" w:fill="FFFFFF"/>
            <w:tcMar>
              <w:top w:w="55" w:type="dxa"/>
              <w:left w:w="55" w:type="dxa"/>
              <w:bottom w:w="55" w:type="dxa"/>
              <w:right w:w="55" w:type="dxa"/>
            </w:tcMar>
            <w:vAlign w:val="center"/>
          </w:tcPr>
          <w:p w14:paraId="5F18174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&lt;0.001</w:t>
            </w:r>
          </w:p>
        </w:tc>
      </w:tr>
      <w:tr w14:paraId="7C574555">
        <w:trPr>
          <w:trHeight w:val="193" w:hRule="atLeast"/>
          <w:jc w:val="center"/>
        </w:trPr>
        <w:tc>
          <w:tcPr>
            <w:tcW w:w="1136" w:type="pct"/>
            <w:tcBorders>
              <w:top w:val="nil"/>
              <w:left w:val="nil"/>
              <w:bottom w:val="nil"/>
              <w:right w:val="nil"/>
            </w:tcBorders>
            <w:shd w:val="clear" w:color="auto" w:fill="FFFFFF"/>
            <w:tcMar>
              <w:top w:w="55" w:type="dxa"/>
              <w:left w:w="55" w:type="dxa"/>
              <w:bottom w:w="55" w:type="dxa"/>
              <w:right w:w="55" w:type="dxa"/>
            </w:tcMar>
            <w:vAlign w:val="center"/>
          </w:tcPr>
          <w:p w14:paraId="48588ED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50–59 years</w:t>
            </w:r>
          </w:p>
        </w:tc>
        <w:tc>
          <w:tcPr>
            <w:tcW w:w="1739" w:type="pct"/>
            <w:tcBorders>
              <w:top w:val="nil"/>
              <w:left w:val="nil"/>
              <w:bottom w:val="nil"/>
              <w:right w:val="nil"/>
            </w:tcBorders>
            <w:shd w:val="clear" w:color="auto" w:fill="FFFFFF"/>
            <w:tcMar>
              <w:top w:w="55" w:type="dxa"/>
              <w:left w:w="55" w:type="dxa"/>
              <w:bottom w:w="55" w:type="dxa"/>
              <w:right w:w="55" w:type="dxa"/>
            </w:tcMar>
            <w:vAlign w:val="center"/>
          </w:tcPr>
          <w:p w14:paraId="078DD2D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Indirect effect</w:t>
            </w:r>
          </w:p>
        </w:tc>
        <w:tc>
          <w:tcPr>
            <w:tcW w:w="1505" w:type="pct"/>
            <w:tcBorders>
              <w:top w:val="nil"/>
              <w:left w:val="nil"/>
              <w:bottom w:val="nil"/>
              <w:right w:val="nil"/>
            </w:tcBorders>
            <w:shd w:val="clear" w:color="auto" w:fill="FFFFFF"/>
            <w:tcMar>
              <w:top w:w="55" w:type="dxa"/>
              <w:left w:w="55" w:type="dxa"/>
              <w:bottom w:w="55" w:type="dxa"/>
              <w:right w:w="55" w:type="dxa"/>
            </w:tcMar>
            <w:vAlign w:val="center"/>
          </w:tcPr>
          <w:p w14:paraId="7472450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-0.0454 (-0.156 to 0.048)</w:t>
            </w:r>
          </w:p>
        </w:tc>
        <w:tc>
          <w:tcPr>
            <w:tcW w:w="619" w:type="pct"/>
            <w:tcBorders>
              <w:top w:val="nil"/>
              <w:left w:val="nil"/>
              <w:bottom w:val="nil"/>
              <w:right w:val="nil"/>
            </w:tcBorders>
            <w:shd w:val="clear" w:color="auto" w:fill="FFFFFF"/>
            <w:tcMar>
              <w:top w:w="55" w:type="dxa"/>
              <w:left w:w="55" w:type="dxa"/>
              <w:bottom w:w="55" w:type="dxa"/>
              <w:right w:w="55" w:type="dxa"/>
            </w:tcMar>
            <w:vAlign w:val="center"/>
          </w:tcPr>
          <w:p w14:paraId="48B850E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0.374</w:t>
            </w:r>
          </w:p>
        </w:tc>
      </w:tr>
      <w:tr w14:paraId="2BC834CF">
        <w:trPr>
          <w:trHeight w:val="193" w:hRule="atLeast"/>
          <w:jc w:val="center"/>
        </w:trPr>
        <w:tc>
          <w:tcPr>
            <w:tcW w:w="1136" w:type="pct"/>
            <w:tcBorders>
              <w:top w:val="nil"/>
              <w:left w:val="nil"/>
              <w:bottom w:val="nil"/>
              <w:right w:val="nil"/>
            </w:tcBorders>
            <w:shd w:val="clear" w:color="auto" w:fill="FFFFFF"/>
            <w:tcMar>
              <w:top w:w="55" w:type="dxa"/>
              <w:left w:w="55" w:type="dxa"/>
              <w:bottom w:w="55" w:type="dxa"/>
              <w:right w:w="55" w:type="dxa"/>
            </w:tcMar>
            <w:vAlign w:val="center"/>
          </w:tcPr>
          <w:p w14:paraId="1C8578F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50–59 years</w:t>
            </w:r>
          </w:p>
        </w:tc>
        <w:tc>
          <w:tcPr>
            <w:tcW w:w="1739" w:type="pct"/>
            <w:tcBorders>
              <w:top w:val="nil"/>
              <w:left w:val="nil"/>
              <w:bottom w:val="nil"/>
              <w:right w:val="nil"/>
            </w:tcBorders>
            <w:shd w:val="clear" w:color="auto" w:fill="FFFFFF"/>
            <w:tcMar>
              <w:top w:w="55" w:type="dxa"/>
              <w:left w:w="55" w:type="dxa"/>
              <w:bottom w:w="55" w:type="dxa"/>
              <w:right w:w="55" w:type="dxa"/>
            </w:tcMar>
            <w:vAlign w:val="center"/>
          </w:tcPr>
          <w:p w14:paraId="0FA680D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Total effect</w:t>
            </w:r>
          </w:p>
        </w:tc>
        <w:tc>
          <w:tcPr>
            <w:tcW w:w="1505" w:type="pct"/>
            <w:tcBorders>
              <w:top w:val="nil"/>
              <w:left w:val="nil"/>
              <w:bottom w:val="nil"/>
              <w:right w:val="nil"/>
            </w:tcBorders>
            <w:shd w:val="clear" w:color="auto" w:fill="FFFFFF"/>
            <w:tcMar>
              <w:top w:w="55" w:type="dxa"/>
              <w:left w:w="55" w:type="dxa"/>
              <w:bottom w:w="55" w:type="dxa"/>
              <w:right w:w="55" w:type="dxa"/>
            </w:tcMar>
            <w:vAlign w:val="center"/>
          </w:tcPr>
          <w:p w14:paraId="04CDE88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-0.2076 (-0.504 to 0.112)</w:t>
            </w:r>
          </w:p>
        </w:tc>
        <w:tc>
          <w:tcPr>
            <w:tcW w:w="619" w:type="pct"/>
            <w:tcBorders>
              <w:top w:val="nil"/>
              <w:left w:val="nil"/>
              <w:bottom w:val="nil"/>
              <w:right w:val="nil"/>
            </w:tcBorders>
            <w:shd w:val="clear" w:color="auto" w:fill="FFFFFF"/>
            <w:tcMar>
              <w:top w:w="55" w:type="dxa"/>
              <w:left w:w="55" w:type="dxa"/>
              <w:bottom w:w="55" w:type="dxa"/>
              <w:right w:w="55" w:type="dxa"/>
            </w:tcMar>
            <w:vAlign w:val="center"/>
          </w:tcPr>
          <w:p w14:paraId="0C64A4A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0.182</w:t>
            </w:r>
          </w:p>
        </w:tc>
      </w:tr>
      <w:tr w14:paraId="43BF6A84">
        <w:trPr>
          <w:trHeight w:val="193" w:hRule="atLeast"/>
          <w:jc w:val="center"/>
        </w:trPr>
        <w:tc>
          <w:tcPr>
            <w:tcW w:w="1136" w:type="pct"/>
            <w:tcBorders>
              <w:top w:val="nil"/>
              <w:left w:val="nil"/>
              <w:bottom w:val="nil"/>
              <w:right w:val="nil"/>
            </w:tcBorders>
            <w:shd w:val="clear" w:color="auto" w:fill="FFFFFF"/>
            <w:tcMar>
              <w:top w:w="55" w:type="dxa"/>
              <w:left w:w="55" w:type="dxa"/>
              <w:bottom w:w="55" w:type="dxa"/>
              <w:right w:w="55" w:type="dxa"/>
            </w:tcMar>
            <w:vAlign w:val="center"/>
          </w:tcPr>
          <w:p w14:paraId="0D75C47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50–59 years</w:t>
            </w:r>
          </w:p>
        </w:tc>
        <w:tc>
          <w:tcPr>
            <w:tcW w:w="1739" w:type="pct"/>
            <w:tcBorders>
              <w:top w:val="nil"/>
              <w:left w:val="nil"/>
              <w:bottom w:val="nil"/>
              <w:right w:val="nil"/>
            </w:tcBorders>
            <w:shd w:val="clear" w:color="auto" w:fill="FFFFFF"/>
            <w:tcMar>
              <w:top w:w="55" w:type="dxa"/>
              <w:left w:w="55" w:type="dxa"/>
              <w:bottom w:w="55" w:type="dxa"/>
              <w:right w:w="55" w:type="dxa"/>
            </w:tcMar>
            <w:vAlign w:val="center"/>
          </w:tcPr>
          <w:p w14:paraId="54493AF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Proportion mediated</w:t>
            </w:r>
          </w:p>
        </w:tc>
        <w:tc>
          <w:tcPr>
            <w:tcW w:w="1505" w:type="pct"/>
            <w:tcBorders>
              <w:top w:val="nil"/>
              <w:left w:val="nil"/>
              <w:bottom w:val="nil"/>
              <w:right w:val="nil"/>
            </w:tcBorders>
            <w:shd w:val="clear" w:color="auto" w:fill="FFFFFF"/>
            <w:tcMar>
              <w:top w:w="55" w:type="dxa"/>
              <w:left w:w="55" w:type="dxa"/>
              <w:bottom w:w="55" w:type="dxa"/>
              <w:right w:w="55" w:type="dxa"/>
            </w:tcMar>
            <w:vAlign w:val="center"/>
          </w:tcPr>
          <w:p w14:paraId="635FF4E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0.2188 (-1.722 to 1.975)</w:t>
            </w:r>
          </w:p>
        </w:tc>
        <w:tc>
          <w:tcPr>
            <w:tcW w:w="619" w:type="pct"/>
            <w:tcBorders>
              <w:top w:val="nil"/>
              <w:left w:val="nil"/>
              <w:bottom w:val="nil"/>
              <w:right w:val="nil"/>
            </w:tcBorders>
            <w:shd w:val="clear" w:color="auto" w:fill="FFFFFF"/>
            <w:tcMar>
              <w:top w:w="55" w:type="dxa"/>
              <w:left w:w="55" w:type="dxa"/>
              <w:bottom w:w="55" w:type="dxa"/>
              <w:right w:w="55" w:type="dxa"/>
            </w:tcMar>
            <w:vAlign w:val="center"/>
          </w:tcPr>
          <w:p w14:paraId="6DF6FFA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0.967</w:t>
            </w:r>
          </w:p>
        </w:tc>
      </w:tr>
      <w:tr w14:paraId="6816295E">
        <w:trPr>
          <w:trHeight w:val="193" w:hRule="atLeast"/>
          <w:jc w:val="center"/>
        </w:trPr>
        <w:tc>
          <w:tcPr>
            <w:tcW w:w="1136" w:type="pct"/>
            <w:tcBorders>
              <w:top w:val="nil"/>
              <w:left w:val="nil"/>
              <w:bottom w:val="nil"/>
              <w:right w:val="nil"/>
            </w:tcBorders>
            <w:shd w:val="clear" w:color="auto" w:fill="FFFFFF"/>
            <w:tcMar>
              <w:top w:w="55" w:type="dxa"/>
              <w:left w:w="55" w:type="dxa"/>
              <w:bottom w:w="55" w:type="dxa"/>
              <w:right w:w="55" w:type="dxa"/>
            </w:tcMar>
            <w:vAlign w:val="center"/>
          </w:tcPr>
          <w:p w14:paraId="70151D7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60–69 years</w:t>
            </w:r>
          </w:p>
        </w:tc>
        <w:tc>
          <w:tcPr>
            <w:tcW w:w="1739" w:type="pct"/>
            <w:tcBorders>
              <w:top w:val="nil"/>
              <w:left w:val="nil"/>
              <w:bottom w:val="nil"/>
              <w:right w:val="nil"/>
            </w:tcBorders>
            <w:shd w:val="clear" w:color="auto" w:fill="FFFFFF"/>
            <w:tcMar>
              <w:top w:w="55" w:type="dxa"/>
              <w:left w:w="55" w:type="dxa"/>
              <w:bottom w:w="55" w:type="dxa"/>
              <w:right w:w="55" w:type="dxa"/>
            </w:tcMar>
            <w:vAlign w:val="center"/>
          </w:tcPr>
          <w:p w14:paraId="0ADD88D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 mean log(CRP)</w:t>
            </w:r>
          </w:p>
        </w:tc>
        <w:tc>
          <w:tcPr>
            <w:tcW w:w="1505" w:type="pct"/>
            <w:tcBorders>
              <w:top w:val="nil"/>
              <w:left w:val="nil"/>
              <w:bottom w:val="nil"/>
              <w:right w:val="nil"/>
            </w:tcBorders>
            <w:shd w:val="clear" w:color="auto" w:fill="FFFFFF"/>
            <w:tcMar>
              <w:top w:w="55" w:type="dxa"/>
              <w:left w:w="55" w:type="dxa"/>
              <w:bottom w:w="55" w:type="dxa"/>
              <w:right w:w="55" w:type="dxa"/>
            </w:tcMar>
            <w:vAlign w:val="center"/>
          </w:tcPr>
          <w:p w14:paraId="18F5BA7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0.8342 (0.037 to 1.557)</w:t>
            </w:r>
          </w:p>
        </w:tc>
        <w:tc>
          <w:tcPr>
            <w:tcW w:w="619" w:type="pct"/>
            <w:tcBorders>
              <w:top w:val="nil"/>
              <w:left w:val="nil"/>
              <w:bottom w:val="nil"/>
              <w:right w:val="nil"/>
            </w:tcBorders>
            <w:shd w:val="clear" w:color="auto" w:fill="FFFFFF"/>
            <w:tcMar>
              <w:top w:w="55" w:type="dxa"/>
              <w:left w:w="55" w:type="dxa"/>
              <w:bottom w:w="55" w:type="dxa"/>
              <w:right w:w="55" w:type="dxa"/>
            </w:tcMar>
            <w:vAlign w:val="center"/>
          </w:tcPr>
          <w:p w14:paraId="3C7A399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0.031</w:t>
            </w:r>
          </w:p>
        </w:tc>
      </w:tr>
      <w:tr w14:paraId="1D9BAA4B">
        <w:trPr>
          <w:trHeight w:val="193" w:hRule="atLeast"/>
          <w:jc w:val="center"/>
        </w:trPr>
        <w:tc>
          <w:tcPr>
            <w:tcW w:w="1136" w:type="pct"/>
            <w:tcBorders>
              <w:top w:val="nil"/>
              <w:left w:val="nil"/>
              <w:bottom w:val="nil"/>
              <w:right w:val="nil"/>
            </w:tcBorders>
            <w:shd w:val="clear" w:color="auto" w:fill="FFFFFF"/>
            <w:tcMar>
              <w:top w:w="55" w:type="dxa"/>
              <w:left w:w="55" w:type="dxa"/>
              <w:bottom w:w="55" w:type="dxa"/>
              <w:right w:w="55" w:type="dxa"/>
            </w:tcMar>
            <w:vAlign w:val="center"/>
          </w:tcPr>
          <w:p w14:paraId="43F585F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60–69 years</w:t>
            </w:r>
          </w:p>
        </w:tc>
        <w:tc>
          <w:tcPr>
            <w:tcW w:w="1739" w:type="pct"/>
            <w:tcBorders>
              <w:top w:val="nil"/>
              <w:left w:val="nil"/>
              <w:bottom w:val="nil"/>
              <w:right w:val="nil"/>
            </w:tcBorders>
            <w:shd w:val="clear" w:color="auto" w:fill="FFFFFF"/>
            <w:tcMar>
              <w:top w:w="55" w:type="dxa"/>
              <w:left w:w="55" w:type="dxa"/>
              <w:bottom w:w="55" w:type="dxa"/>
              <w:right w:w="55" w:type="dxa"/>
            </w:tcMar>
            <w:vAlign w:val="center"/>
          </w:tcPr>
          <w:p w14:paraId="6848C62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Direct effect on </w:t>
            </w:r>
            <w:r>
              <w:rPr>
                <w:rFonts w:hint="default" w:ascii="Times New Roman" w:hAnsi="Times New Roman" w:eastAsia="Times New Roman" w:cs="Times New Roman Regular"/>
                <w:sz w:val="17"/>
                <w:szCs w:val="22"/>
                <w:lang w:val="en-US" w:eastAsia="zh-CN"/>
              </w:rPr>
              <w:t>FEV₁</w:t>
            </w:r>
          </w:p>
        </w:tc>
        <w:tc>
          <w:tcPr>
            <w:tcW w:w="1505" w:type="pct"/>
            <w:tcBorders>
              <w:top w:val="nil"/>
              <w:left w:val="nil"/>
              <w:bottom w:val="nil"/>
              <w:right w:val="nil"/>
            </w:tcBorders>
            <w:shd w:val="clear" w:color="auto" w:fill="FFFFFF"/>
            <w:tcMar>
              <w:top w:w="55" w:type="dxa"/>
              <w:left w:w="55" w:type="dxa"/>
              <w:bottom w:w="55" w:type="dxa"/>
              <w:right w:w="55" w:type="dxa"/>
            </w:tcMar>
            <w:vAlign w:val="center"/>
          </w:tcPr>
          <w:p w14:paraId="2396DCF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-0.3036 (-0.621 to 0.032)</w:t>
            </w:r>
          </w:p>
        </w:tc>
        <w:tc>
          <w:tcPr>
            <w:tcW w:w="619" w:type="pct"/>
            <w:tcBorders>
              <w:top w:val="nil"/>
              <w:left w:val="nil"/>
              <w:bottom w:val="nil"/>
              <w:right w:val="nil"/>
            </w:tcBorders>
            <w:shd w:val="clear" w:color="auto" w:fill="FFFFFF"/>
            <w:tcMar>
              <w:top w:w="55" w:type="dxa"/>
              <w:left w:w="55" w:type="dxa"/>
              <w:bottom w:w="55" w:type="dxa"/>
              <w:right w:w="55" w:type="dxa"/>
            </w:tcMar>
            <w:vAlign w:val="center"/>
          </w:tcPr>
          <w:p w14:paraId="0E06A30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0.064</w:t>
            </w:r>
          </w:p>
        </w:tc>
      </w:tr>
      <w:tr w14:paraId="47ABE2C0">
        <w:trPr>
          <w:trHeight w:val="193" w:hRule="atLeast"/>
          <w:jc w:val="center"/>
        </w:trPr>
        <w:tc>
          <w:tcPr>
            <w:tcW w:w="1136" w:type="pct"/>
            <w:tcBorders>
              <w:top w:val="nil"/>
              <w:left w:val="nil"/>
              <w:bottom w:val="nil"/>
              <w:right w:val="nil"/>
            </w:tcBorders>
            <w:shd w:val="clear" w:color="auto" w:fill="FFFFFF"/>
            <w:tcMar>
              <w:top w:w="55" w:type="dxa"/>
              <w:left w:w="55" w:type="dxa"/>
              <w:bottom w:w="55" w:type="dxa"/>
              <w:right w:w="55" w:type="dxa"/>
            </w:tcMar>
            <w:vAlign w:val="center"/>
          </w:tcPr>
          <w:p w14:paraId="64C15A9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60–69 years</w:t>
            </w:r>
          </w:p>
        </w:tc>
        <w:tc>
          <w:tcPr>
            <w:tcW w:w="1739" w:type="pct"/>
            <w:tcBorders>
              <w:top w:val="nil"/>
              <w:left w:val="nil"/>
              <w:bottom w:val="nil"/>
              <w:right w:val="nil"/>
            </w:tcBorders>
            <w:shd w:val="clear" w:color="auto" w:fill="FFFFFF"/>
            <w:tcMar>
              <w:top w:w="55" w:type="dxa"/>
              <w:left w:w="55" w:type="dxa"/>
              <w:bottom w:w="55" w:type="dxa"/>
              <w:right w:w="55" w:type="dxa"/>
            </w:tcMar>
            <w:vAlign w:val="center"/>
          </w:tcPr>
          <w:p w14:paraId="1E6C25A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Mean log(CRP) → </w:t>
            </w:r>
            <w:r>
              <w:rPr>
                <w:rFonts w:hint="default" w:ascii="Times New Roman" w:hAnsi="Times New Roman" w:eastAsia="Times New Roman" w:cs="Times New Roman Regular"/>
                <w:sz w:val="17"/>
                <w:szCs w:val="22"/>
                <w:lang w:val="en-US" w:eastAsia="zh-CN"/>
              </w:rPr>
              <w:t>FEV₁</w:t>
            </w:r>
          </w:p>
        </w:tc>
        <w:tc>
          <w:tcPr>
            <w:tcW w:w="1505" w:type="pct"/>
            <w:tcBorders>
              <w:top w:val="nil"/>
              <w:left w:val="nil"/>
              <w:bottom w:val="nil"/>
              <w:right w:val="nil"/>
            </w:tcBorders>
            <w:shd w:val="clear" w:color="auto" w:fill="FFFFFF"/>
            <w:tcMar>
              <w:top w:w="55" w:type="dxa"/>
              <w:left w:w="55" w:type="dxa"/>
              <w:bottom w:w="55" w:type="dxa"/>
              <w:right w:w="55" w:type="dxa"/>
            </w:tcMar>
            <w:vAlign w:val="center"/>
          </w:tcPr>
          <w:p w14:paraId="3BC6110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-0.1253 (-0.173 to -0.072)</w:t>
            </w:r>
          </w:p>
        </w:tc>
        <w:tc>
          <w:tcPr>
            <w:tcW w:w="619" w:type="pct"/>
            <w:tcBorders>
              <w:top w:val="nil"/>
              <w:left w:val="nil"/>
              <w:bottom w:val="nil"/>
              <w:right w:val="nil"/>
            </w:tcBorders>
            <w:shd w:val="clear" w:color="auto" w:fill="FFFFFF"/>
            <w:tcMar>
              <w:top w:w="55" w:type="dxa"/>
              <w:left w:w="55" w:type="dxa"/>
              <w:bottom w:w="55" w:type="dxa"/>
              <w:right w:w="55" w:type="dxa"/>
            </w:tcMar>
            <w:vAlign w:val="center"/>
          </w:tcPr>
          <w:p w14:paraId="7F9A918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&lt;0.001</w:t>
            </w:r>
          </w:p>
        </w:tc>
      </w:tr>
      <w:tr w14:paraId="04ADFD1D">
        <w:trPr>
          <w:trHeight w:val="193" w:hRule="atLeast"/>
          <w:jc w:val="center"/>
        </w:trPr>
        <w:tc>
          <w:tcPr>
            <w:tcW w:w="1136" w:type="pct"/>
            <w:tcBorders>
              <w:top w:val="nil"/>
              <w:left w:val="nil"/>
              <w:bottom w:val="nil"/>
              <w:right w:val="nil"/>
            </w:tcBorders>
            <w:shd w:val="clear" w:color="auto" w:fill="FFFFFF"/>
            <w:tcMar>
              <w:top w:w="55" w:type="dxa"/>
              <w:left w:w="55" w:type="dxa"/>
              <w:bottom w:w="55" w:type="dxa"/>
              <w:right w:w="55" w:type="dxa"/>
            </w:tcMar>
            <w:vAlign w:val="center"/>
          </w:tcPr>
          <w:p w14:paraId="26ADF49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60–69 years</w:t>
            </w:r>
          </w:p>
        </w:tc>
        <w:tc>
          <w:tcPr>
            <w:tcW w:w="1739" w:type="pct"/>
            <w:tcBorders>
              <w:top w:val="nil"/>
              <w:left w:val="nil"/>
              <w:bottom w:val="nil"/>
              <w:right w:val="nil"/>
            </w:tcBorders>
            <w:shd w:val="clear" w:color="auto" w:fill="FFFFFF"/>
            <w:tcMar>
              <w:top w:w="55" w:type="dxa"/>
              <w:left w:w="55" w:type="dxa"/>
              <w:bottom w:w="55" w:type="dxa"/>
              <w:right w:w="55" w:type="dxa"/>
            </w:tcMar>
            <w:vAlign w:val="center"/>
          </w:tcPr>
          <w:p w14:paraId="77A2B56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Indirect effect</w:t>
            </w:r>
          </w:p>
        </w:tc>
        <w:tc>
          <w:tcPr>
            <w:tcW w:w="1505" w:type="pct"/>
            <w:tcBorders>
              <w:top w:val="nil"/>
              <w:left w:val="nil"/>
              <w:bottom w:val="nil"/>
              <w:right w:val="nil"/>
            </w:tcBorders>
            <w:shd w:val="clear" w:color="auto" w:fill="FFFFFF"/>
            <w:tcMar>
              <w:top w:w="55" w:type="dxa"/>
              <w:left w:w="55" w:type="dxa"/>
              <w:bottom w:w="55" w:type="dxa"/>
              <w:right w:w="55" w:type="dxa"/>
            </w:tcMar>
            <w:vAlign w:val="center"/>
          </w:tcPr>
          <w:p w14:paraId="5A05964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-0.1046 (-0.206 to -0.005)</w:t>
            </w:r>
          </w:p>
        </w:tc>
        <w:tc>
          <w:tcPr>
            <w:tcW w:w="619" w:type="pct"/>
            <w:tcBorders>
              <w:top w:val="nil"/>
              <w:left w:val="nil"/>
              <w:bottom w:val="nil"/>
              <w:right w:val="nil"/>
            </w:tcBorders>
            <w:shd w:val="clear" w:color="auto" w:fill="FFFFFF"/>
            <w:tcMar>
              <w:top w:w="55" w:type="dxa"/>
              <w:left w:w="55" w:type="dxa"/>
              <w:bottom w:w="55" w:type="dxa"/>
              <w:right w:w="55" w:type="dxa"/>
            </w:tcMar>
            <w:vAlign w:val="center"/>
          </w:tcPr>
          <w:p w14:paraId="2118928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0.041</w:t>
            </w:r>
          </w:p>
        </w:tc>
      </w:tr>
      <w:tr w14:paraId="4AA1AEC4">
        <w:trPr>
          <w:trHeight w:val="193" w:hRule="atLeast"/>
          <w:jc w:val="center"/>
        </w:trPr>
        <w:tc>
          <w:tcPr>
            <w:tcW w:w="1136" w:type="pct"/>
            <w:tcBorders>
              <w:top w:val="nil"/>
              <w:left w:val="nil"/>
              <w:bottom w:val="nil"/>
              <w:right w:val="nil"/>
            </w:tcBorders>
            <w:shd w:val="clear" w:color="auto" w:fill="FFFFFF"/>
            <w:tcMar>
              <w:top w:w="55" w:type="dxa"/>
              <w:left w:w="55" w:type="dxa"/>
              <w:bottom w:w="55" w:type="dxa"/>
              <w:right w:w="55" w:type="dxa"/>
            </w:tcMar>
            <w:vAlign w:val="center"/>
          </w:tcPr>
          <w:p w14:paraId="33F8E20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60–69 years</w:t>
            </w:r>
          </w:p>
        </w:tc>
        <w:tc>
          <w:tcPr>
            <w:tcW w:w="1739" w:type="pct"/>
            <w:tcBorders>
              <w:top w:val="nil"/>
              <w:left w:val="nil"/>
              <w:bottom w:val="nil"/>
              <w:right w:val="nil"/>
            </w:tcBorders>
            <w:shd w:val="clear" w:color="auto" w:fill="FFFFFF"/>
            <w:tcMar>
              <w:top w:w="55" w:type="dxa"/>
              <w:left w:w="55" w:type="dxa"/>
              <w:bottom w:w="55" w:type="dxa"/>
              <w:right w:w="55" w:type="dxa"/>
            </w:tcMar>
            <w:vAlign w:val="center"/>
          </w:tcPr>
          <w:p w14:paraId="5697CB2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Total effect</w:t>
            </w:r>
          </w:p>
        </w:tc>
        <w:tc>
          <w:tcPr>
            <w:tcW w:w="1505" w:type="pct"/>
            <w:tcBorders>
              <w:top w:val="nil"/>
              <w:left w:val="nil"/>
              <w:bottom w:val="nil"/>
              <w:right w:val="nil"/>
            </w:tcBorders>
            <w:shd w:val="clear" w:color="auto" w:fill="FFFFFF"/>
            <w:tcMar>
              <w:top w:w="55" w:type="dxa"/>
              <w:left w:w="55" w:type="dxa"/>
              <w:bottom w:w="55" w:type="dxa"/>
              <w:right w:w="55" w:type="dxa"/>
            </w:tcMar>
            <w:vAlign w:val="center"/>
          </w:tcPr>
          <w:p w14:paraId="44BAE8B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-0.4081 (-0.747 to -0.079)</w:t>
            </w:r>
          </w:p>
        </w:tc>
        <w:tc>
          <w:tcPr>
            <w:tcW w:w="619" w:type="pct"/>
            <w:tcBorders>
              <w:top w:val="nil"/>
              <w:left w:val="nil"/>
              <w:bottom w:val="nil"/>
              <w:right w:val="nil"/>
            </w:tcBorders>
            <w:shd w:val="clear" w:color="auto" w:fill="FFFFFF"/>
            <w:tcMar>
              <w:top w:w="55" w:type="dxa"/>
              <w:left w:w="55" w:type="dxa"/>
              <w:bottom w:w="55" w:type="dxa"/>
              <w:right w:w="55" w:type="dxa"/>
            </w:tcMar>
            <w:vAlign w:val="center"/>
          </w:tcPr>
          <w:p w14:paraId="14BF86C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0.013</w:t>
            </w:r>
          </w:p>
        </w:tc>
      </w:tr>
      <w:tr w14:paraId="3F91903D">
        <w:trPr>
          <w:trHeight w:val="193" w:hRule="atLeast"/>
          <w:jc w:val="center"/>
        </w:trPr>
        <w:tc>
          <w:tcPr>
            <w:tcW w:w="1136" w:type="pct"/>
            <w:tcBorders>
              <w:top w:val="nil"/>
              <w:left w:val="nil"/>
              <w:bottom w:val="nil"/>
              <w:right w:val="nil"/>
            </w:tcBorders>
            <w:shd w:val="clear" w:color="auto" w:fill="FFFFFF"/>
            <w:tcMar>
              <w:top w:w="55" w:type="dxa"/>
              <w:left w:w="55" w:type="dxa"/>
              <w:bottom w:w="55" w:type="dxa"/>
              <w:right w:w="55" w:type="dxa"/>
            </w:tcMar>
            <w:vAlign w:val="center"/>
          </w:tcPr>
          <w:p w14:paraId="26D0AC9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60–69 years</w:t>
            </w:r>
          </w:p>
        </w:tc>
        <w:tc>
          <w:tcPr>
            <w:tcW w:w="1739" w:type="pct"/>
            <w:tcBorders>
              <w:top w:val="nil"/>
              <w:left w:val="nil"/>
              <w:bottom w:val="nil"/>
              <w:right w:val="nil"/>
            </w:tcBorders>
            <w:shd w:val="clear" w:color="auto" w:fill="FFFFFF"/>
            <w:tcMar>
              <w:top w:w="55" w:type="dxa"/>
              <w:left w:w="55" w:type="dxa"/>
              <w:bottom w:w="55" w:type="dxa"/>
              <w:right w:w="55" w:type="dxa"/>
            </w:tcMar>
            <w:vAlign w:val="center"/>
          </w:tcPr>
          <w:p w14:paraId="50DA8D1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Proportion mediated</w:t>
            </w:r>
          </w:p>
        </w:tc>
        <w:tc>
          <w:tcPr>
            <w:tcW w:w="1505" w:type="pct"/>
            <w:tcBorders>
              <w:top w:val="nil"/>
              <w:left w:val="nil"/>
              <w:bottom w:val="nil"/>
              <w:right w:val="nil"/>
            </w:tcBorders>
            <w:shd w:val="clear" w:color="auto" w:fill="FFFFFF"/>
            <w:tcMar>
              <w:top w:w="55" w:type="dxa"/>
              <w:left w:w="55" w:type="dxa"/>
              <w:bottom w:w="55" w:type="dxa"/>
              <w:right w:w="55" w:type="dxa"/>
            </w:tcMar>
            <w:vAlign w:val="center"/>
          </w:tcPr>
          <w:p w14:paraId="2755CA8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0.2562 (-0.016 to 1.008)</w:t>
            </w:r>
          </w:p>
        </w:tc>
        <w:tc>
          <w:tcPr>
            <w:tcW w:w="619" w:type="pct"/>
            <w:tcBorders>
              <w:top w:val="nil"/>
              <w:left w:val="nil"/>
              <w:bottom w:val="nil"/>
              <w:right w:val="nil"/>
            </w:tcBorders>
            <w:shd w:val="clear" w:color="auto" w:fill="FFFFFF"/>
            <w:tcMar>
              <w:top w:w="55" w:type="dxa"/>
              <w:left w:w="55" w:type="dxa"/>
              <w:bottom w:w="55" w:type="dxa"/>
              <w:right w:w="55" w:type="dxa"/>
            </w:tcMar>
            <w:vAlign w:val="center"/>
          </w:tcPr>
          <w:p w14:paraId="44484E5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0.676</w:t>
            </w:r>
          </w:p>
        </w:tc>
      </w:tr>
      <w:tr w14:paraId="725D89E2">
        <w:trPr>
          <w:trHeight w:val="193" w:hRule="atLeast"/>
          <w:jc w:val="center"/>
        </w:trPr>
        <w:tc>
          <w:tcPr>
            <w:tcW w:w="1136" w:type="pct"/>
            <w:tcBorders>
              <w:top w:val="nil"/>
              <w:left w:val="nil"/>
              <w:bottom w:val="nil"/>
              <w:right w:val="nil"/>
            </w:tcBorders>
            <w:shd w:val="clear" w:color="auto" w:fill="FFFFFF"/>
            <w:tcMar>
              <w:top w:w="55" w:type="dxa"/>
              <w:left w:w="55" w:type="dxa"/>
              <w:bottom w:w="55" w:type="dxa"/>
              <w:right w:w="55" w:type="dxa"/>
            </w:tcMar>
            <w:vAlign w:val="center"/>
          </w:tcPr>
          <w:p w14:paraId="6F44A70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≥70 years</w:t>
            </w:r>
          </w:p>
        </w:tc>
        <w:tc>
          <w:tcPr>
            <w:tcW w:w="1739" w:type="pct"/>
            <w:tcBorders>
              <w:top w:val="nil"/>
              <w:left w:val="nil"/>
              <w:bottom w:val="nil"/>
              <w:right w:val="nil"/>
            </w:tcBorders>
            <w:shd w:val="clear" w:color="auto" w:fill="FFFFFF"/>
            <w:tcMar>
              <w:top w:w="55" w:type="dxa"/>
              <w:left w:w="55" w:type="dxa"/>
              <w:bottom w:w="55" w:type="dxa"/>
              <w:right w:w="55" w:type="dxa"/>
            </w:tcMar>
            <w:vAlign w:val="center"/>
          </w:tcPr>
          <w:p w14:paraId="7E9F5E2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 mean log(CRP)</w:t>
            </w:r>
          </w:p>
        </w:tc>
        <w:tc>
          <w:tcPr>
            <w:tcW w:w="1505" w:type="pct"/>
            <w:tcBorders>
              <w:top w:val="nil"/>
              <w:left w:val="nil"/>
              <w:bottom w:val="nil"/>
              <w:right w:val="nil"/>
            </w:tcBorders>
            <w:shd w:val="clear" w:color="auto" w:fill="FFFFFF"/>
            <w:tcMar>
              <w:top w:w="55" w:type="dxa"/>
              <w:left w:w="55" w:type="dxa"/>
              <w:bottom w:w="55" w:type="dxa"/>
              <w:right w:w="55" w:type="dxa"/>
            </w:tcMar>
            <w:vAlign w:val="center"/>
          </w:tcPr>
          <w:p w14:paraId="625B114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0.2047 (-0.749 to 1.100)</w:t>
            </w:r>
          </w:p>
        </w:tc>
        <w:tc>
          <w:tcPr>
            <w:tcW w:w="619" w:type="pct"/>
            <w:tcBorders>
              <w:top w:val="nil"/>
              <w:left w:val="nil"/>
              <w:bottom w:val="nil"/>
              <w:right w:val="nil"/>
            </w:tcBorders>
            <w:shd w:val="clear" w:color="auto" w:fill="FFFFFF"/>
            <w:tcMar>
              <w:top w:w="55" w:type="dxa"/>
              <w:left w:w="55" w:type="dxa"/>
              <w:bottom w:w="55" w:type="dxa"/>
              <w:right w:w="55" w:type="dxa"/>
            </w:tcMar>
            <w:vAlign w:val="center"/>
          </w:tcPr>
          <w:p w14:paraId="1E4B1AD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0.66</w:t>
            </w:r>
          </w:p>
        </w:tc>
      </w:tr>
      <w:tr w14:paraId="7E15B573">
        <w:trPr>
          <w:trHeight w:val="193" w:hRule="atLeast"/>
          <w:jc w:val="center"/>
        </w:trPr>
        <w:tc>
          <w:tcPr>
            <w:tcW w:w="1136" w:type="pct"/>
            <w:tcBorders>
              <w:top w:val="nil"/>
              <w:left w:val="nil"/>
              <w:bottom w:val="nil"/>
              <w:right w:val="nil"/>
            </w:tcBorders>
            <w:shd w:val="clear" w:color="auto" w:fill="FFFFFF"/>
            <w:tcMar>
              <w:top w:w="55" w:type="dxa"/>
              <w:left w:w="55" w:type="dxa"/>
              <w:bottom w:w="55" w:type="dxa"/>
              <w:right w:w="55" w:type="dxa"/>
            </w:tcMar>
            <w:vAlign w:val="center"/>
          </w:tcPr>
          <w:p w14:paraId="1666CC7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≥70 years</w:t>
            </w:r>
          </w:p>
        </w:tc>
        <w:tc>
          <w:tcPr>
            <w:tcW w:w="1739" w:type="pct"/>
            <w:tcBorders>
              <w:top w:val="nil"/>
              <w:left w:val="nil"/>
              <w:bottom w:val="nil"/>
              <w:right w:val="nil"/>
            </w:tcBorders>
            <w:shd w:val="clear" w:color="auto" w:fill="FFFFFF"/>
            <w:tcMar>
              <w:top w:w="55" w:type="dxa"/>
              <w:left w:w="55" w:type="dxa"/>
              <w:bottom w:w="55" w:type="dxa"/>
              <w:right w:w="55" w:type="dxa"/>
            </w:tcMar>
            <w:vAlign w:val="center"/>
          </w:tcPr>
          <w:p w14:paraId="7E8C707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Direct effect on </w:t>
            </w:r>
            <w:r>
              <w:rPr>
                <w:rFonts w:hint="default" w:ascii="Times New Roman" w:hAnsi="Times New Roman" w:eastAsia="Times New Roman" w:cs="Times New Roman Regular"/>
                <w:sz w:val="17"/>
                <w:szCs w:val="22"/>
                <w:lang w:val="en-US" w:eastAsia="zh-CN"/>
              </w:rPr>
              <w:t>FEV₁</w:t>
            </w:r>
          </w:p>
        </w:tc>
        <w:tc>
          <w:tcPr>
            <w:tcW w:w="1505" w:type="pct"/>
            <w:tcBorders>
              <w:top w:val="nil"/>
              <w:left w:val="nil"/>
              <w:bottom w:val="nil"/>
              <w:right w:val="nil"/>
            </w:tcBorders>
            <w:shd w:val="clear" w:color="auto" w:fill="FFFFFF"/>
            <w:tcMar>
              <w:top w:w="55" w:type="dxa"/>
              <w:left w:w="55" w:type="dxa"/>
              <w:bottom w:w="55" w:type="dxa"/>
              <w:right w:w="55" w:type="dxa"/>
            </w:tcMar>
            <w:vAlign w:val="center"/>
          </w:tcPr>
          <w:p w14:paraId="5F1C1E7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-0.1495 (-0.472 to 0.140)</w:t>
            </w:r>
          </w:p>
        </w:tc>
        <w:tc>
          <w:tcPr>
            <w:tcW w:w="619" w:type="pct"/>
            <w:tcBorders>
              <w:top w:val="nil"/>
              <w:left w:val="nil"/>
              <w:bottom w:val="nil"/>
              <w:right w:val="nil"/>
            </w:tcBorders>
            <w:shd w:val="clear" w:color="auto" w:fill="FFFFFF"/>
            <w:tcMar>
              <w:top w:w="55" w:type="dxa"/>
              <w:left w:w="55" w:type="dxa"/>
              <w:bottom w:w="55" w:type="dxa"/>
              <w:right w:w="55" w:type="dxa"/>
            </w:tcMar>
            <w:vAlign w:val="center"/>
          </w:tcPr>
          <w:p w14:paraId="34396A9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0.347</w:t>
            </w:r>
          </w:p>
        </w:tc>
      </w:tr>
      <w:tr w14:paraId="255BCCFF">
        <w:trPr>
          <w:trHeight w:val="193" w:hRule="atLeast"/>
          <w:jc w:val="center"/>
        </w:trPr>
        <w:tc>
          <w:tcPr>
            <w:tcW w:w="1136" w:type="pct"/>
            <w:tcBorders>
              <w:top w:val="nil"/>
              <w:left w:val="nil"/>
              <w:bottom w:val="nil"/>
              <w:right w:val="nil"/>
            </w:tcBorders>
            <w:shd w:val="clear" w:color="auto" w:fill="FFFFFF"/>
            <w:tcMar>
              <w:top w:w="55" w:type="dxa"/>
              <w:left w:w="55" w:type="dxa"/>
              <w:bottom w:w="55" w:type="dxa"/>
              <w:right w:w="55" w:type="dxa"/>
            </w:tcMar>
            <w:vAlign w:val="center"/>
          </w:tcPr>
          <w:p w14:paraId="4785C2D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≥70 years</w:t>
            </w:r>
          </w:p>
        </w:tc>
        <w:tc>
          <w:tcPr>
            <w:tcW w:w="1739" w:type="pct"/>
            <w:tcBorders>
              <w:top w:val="nil"/>
              <w:left w:val="nil"/>
              <w:bottom w:val="nil"/>
              <w:right w:val="nil"/>
            </w:tcBorders>
            <w:shd w:val="clear" w:color="auto" w:fill="FFFFFF"/>
            <w:tcMar>
              <w:top w:w="55" w:type="dxa"/>
              <w:left w:w="55" w:type="dxa"/>
              <w:bottom w:w="55" w:type="dxa"/>
              <w:right w:w="55" w:type="dxa"/>
            </w:tcMar>
            <w:vAlign w:val="center"/>
          </w:tcPr>
          <w:p w14:paraId="0A5FF7A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Mean log(CRP) → </w:t>
            </w:r>
            <w:r>
              <w:rPr>
                <w:rFonts w:hint="default" w:ascii="Times New Roman" w:hAnsi="Times New Roman" w:eastAsia="Times New Roman" w:cs="Times New Roman Regular"/>
                <w:sz w:val="17"/>
                <w:szCs w:val="22"/>
                <w:lang w:val="en-US" w:eastAsia="zh-CN"/>
              </w:rPr>
              <w:t>FEV₁</w:t>
            </w:r>
          </w:p>
        </w:tc>
        <w:tc>
          <w:tcPr>
            <w:tcW w:w="1505" w:type="pct"/>
            <w:tcBorders>
              <w:top w:val="nil"/>
              <w:left w:val="nil"/>
              <w:bottom w:val="nil"/>
              <w:right w:val="nil"/>
            </w:tcBorders>
            <w:shd w:val="clear" w:color="auto" w:fill="FFFFFF"/>
            <w:tcMar>
              <w:top w:w="55" w:type="dxa"/>
              <w:left w:w="55" w:type="dxa"/>
              <w:bottom w:w="55" w:type="dxa"/>
              <w:right w:w="55" w:type="dxa"/>
            </w:tcMar>
            <w:vAlign w:val="center"/>
          </w:tcPr>
          <w:p w14:paraId="1678B9F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-0.0920 (-0.155 to -0.013)</w:t>
            </w:r>
          </w:p>
        </w:tc>
        <w:tc>
          <w:tcPr>
            <w:tcW w:w="619" w:type="pct"/>
            <w:tcBorders>
              <w:top w:val="nil"/>
              <w:left w:val="nil"/>
              <w:bottom w:val="nil"/>
              <w:right w:val="nil"/>
            </w:tcBorders>
            <w:shd w:val="clear" w:color="auto" w:fill="FFFFFF"/>
            <w:tcMar>
              <w:top w:w="55" w:type="dxa"/>
              <w:left w:w="55" w:type="dxa"/>
              <w:bottom w:w="55" w:type="dxa"/>
              <w:right w:w="55" w:type="dxa"/>
            </w:tcMar>
            <w:vAlign w:val="center"/>
          </w:tcPr>
          <w:p w14:paraId="5EF9BEF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0.009</w:t>
            </w:r>
          </w:p>
        </w:tc>
      </w:tr>
      <w:tr w14:paraId="52FF0C2C">
        <w:trPr>
          <w:trHeight w:val="193" w:hRule="atLeast"/>
          <w:jc w:val="center"/>
        </w:trPr>
        <w:tc>
          <w:tcPr>
            <w:tcW w:w="1136" w:type="pct"/>
            <w:tcBorders>
              <w:top w:val="nil"/>
              <w:left w:val="nil"/>
              <w:bottom w:val="nil"/>
              <w:right w:val="nil"/>
            </w:tcBorders>
            <w:shd w:val="clear" w:color="auto" w:fill="FFFFFF"/>
            <w:tcMar>
              <w:top w:w="55" w:type="dxa"/>
              <w:left w:w="55" w:type="dxa"/>
              <w:bottom w:w="55" w:type="dxa"/>
              <w:right w:w="55" w:type="dxa"/>
            </w:tcMar>
            <w:vAlign w:val="center"/>
          </w:tcPr>
          <w:p w14:paraId="4720483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≥70 years</w:t>
            </w:r>
          </w:p>
        </w:tc>
        <w:tc>
          <w:tcPr>
            <w:tcW w:w="1739" w:type="pct"/>
            <w:tcBorders>
              <w:top w:val="nil"/>
              <w:left w:val="nil"/>
              <w:bottom w:val="nil"/>
              <w:right w:val="nil"/>
            </w:tcBorders>
            <w:shd w:val="clear" w:color="auto" w:fill="FFFFFF"/>
            <w:tcMar>
              <w:top w:w="55" w:type="dxa"/>
              <w:left w:w="55" w:type="dxa"/>
              <w:bottom w:w="55" w:type="dxa"/>
              <w:right w:w="55" w:type="dxa"/>
            </w:tcMar>
            <w:vAlign w:val="center"/>
          </w:tcPr>
          <w:p w14:paraId="765D98A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Indirect effect</w:t>
            </w:r>
          </w:p>
        </w:tc>
        <w:tc>
          <w:tcPr>
            <w:tcW w:w="1505" w:type="pct"/>
            <w:tcBorders>
              <w:top w:val="nil"/>
              <w:left w:val="nil"/>
              <w:bottom w:val="nil"/>
              <w:right w:val="nil"/>
            </w:tcBorders>
            <w:shd w:val="clear" w:color="auto" w:fill="FFFFFF"/>
            <w:tcMar>
              <w:top w:w="55" w:type="dxa"/>
              <w:left w:w="55" w:type="dxa"/>
              <w:bottom w:w="55" w:type="dxa"/>
              <w:right w:w="55" w:type="dxa"/>
            </w:tcMar>
            <w:vAlign w:val="center"/>
          </w:tcPr>
          <w:p w14:paraId="2F2E750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-0.0188 (-0.108 to 0.083)</w:t>
            </w:r>
          </w:p>
        </w:tc>
        <w:tc>
          <w:tcPr>
            <w:tcW w:w="619" w:type="pct"/>
            <w:tcBorders>
              <w:top w:val="nil"/>
              <w:left w:val="nil"/>
              <w:bottom w:val="nil"/>
              <w:right w:val="nil"/>
            </w:tcBorders>
            <w:shd w:val="clear" w:color="auto" w:fill="FFFFFF"/>
            <w:tcMar>
              <w:top w:w="55" w:type="dxa"/>
              <w:left w:w="55" w:type="dxa"/>
              <w:bottom w:w="55" w:type="dxa"/>
              <w:right w:w="55" w:type="dxa"/>
            </w:tcMar>
            <w:vAlign w:val="center"/>
          </w:tcPr>
          <w:p w14:paraId="73C34F9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0.674</w:t>
            </w:r>
          </w:p>
        </w:tc>
      </w:tr>
      <w:tr w14:paraId="5C32F1CC">
        <w:trPr>
          <w:trHeight w:val="193" w:hRule="atLeast"/>
          <w:jc w:val="center"/>
        </w:trPr>
        <w:tc>
          <w:tcPr>
            <w:tcW w:w="1136" w:type="pct"/>
            <w:tcBorders>
              <w:top w:val="nil"/>
              <w:left w:val="nil"/>
              <w:bottom w:val="nil"/>
              <w:right w:val="nil"/>
            </w:tcBorders>
            <w:shd w:val="clear" w:color="auto" w:fill="FFFFFF"/>
            <w:tcMar>
              <w:top w:w="55" w:type="dxa"/>
              <w:left w:w="55" w:type="dxa"/>
              <w:bottom w:w="55" w:type="dxa"/>
              <w:right w:w="55" w:type="dxa"/>
            </w:tcMar>
            <w:vAlign w:val="center"/>
          </w:tcPr>
          <w:p w14:paraId="5AC07A6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≥70 years</w:t>
            </w:r>
          </w:p>
        </w:tc>
        <w:tc>
          <w:tcPr>
            <w:tcW w:w="1739" w:type="pct"/>
            <w:tcBorders>
              <w:top w:val="nil"/>
              <w:left w:val="nil"/>
              <w:bottom w:val="nil"/>
              <w:right w:val="nil"/>
            </w:tcBorders>
            <w:shd w:val="clear" w:color="auto" w:fill="FFFFFF"/>
            <w:tcMar>
              <w:top w:w="55" w:type="dxa"/>
              <w:left w:w="55" w:type="dxa"/>
              <w:bottom w:w="55" w:type="dxa"/>
              <w:right w:w="55" w:type="dxa"/>
            </w:tcMar>
            <w:vAlign w:val="center"/>
          </w:tcPr>
          <w:p w14:paraId="4CC2C47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Total effect</w:t>
            </w:r>
          </w:p>
        </w:tc>
        <w:tc>
          <w:tcPr>
            <w:tcW w:w="1505" w:type="pct"/>
            <w:tcBorders>
              <w:top w:val="nil"/>
              <w:left w:val="nil"/>
              <w:bottom w:val="nil"/>
              <w:right w:val="nil"/>
            </w:tcBorders>
            <w:shd w:val="clear" w:color="auto" w:fill="FFFFFF"/>
            <w:tcMar>
              <w:top w:w="55" w:type="dxa"/>
              <w:left w:w="55" w:type="dxa"/>
              <w:bottom w:w="55" w:type="dxa"/>
              <w:right w:w="55" w:type="dxa"/>
            </w:tcMar>
            <w:vAlign w:val="center"/>
          </w:tcPr>
          <w:p w14:paraId="641B716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-0.1684 (-0.489 to 0.109)</w:t>
            </w:r>
          </w:p>
        </w:tc>
        <w:tc>
          <w:tcPr>
            <w:tcW w:w="619" w:type="pct"/>
            <w:tcBorders>
              <w:top w:val="nil"/>
              <w:left w:val="nil"/>
              <w:bottom w:val="nil"/>
              <w:right w:val="nil"/>
            </w:tcBorders>
            <w:shd w:val="clear" w:color="auto" w:fill="FFFFFF"/>
            <w:tcMar>
              <w:top w:w="55" w:type="dxa"/>
              <w:left w:w="55" w:type="dxa"/>
              <w:bottom w:w="55" w:type="dxa"/>
              <w:right w:w="55" w:type="dxa"/>
            </w:tcMar>
            <w:vAlign w:val="center"/>
          </w:tcPr>
          <w:p w14:paraId="2883FB2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0.28</w:t>
            </w:r>
          </w:p>
        </w:tc>
      </w:tr>
      <w:tr w14:paraId="392A83B3">
        <w:trPr>
          <w:trHeight w:val="193" w:hRule="atLeast"/>
          <w:jc w:val="center"/>
        </w:trPr>
        <w:tc>
          <w:tcPr>
            <w:tcW w:w="1136"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765F54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≥70 years</w:t>
            </w:r>
          </w:p>
        </w:tc>
        <w:tc>
          <w:tcPr>
            <w:tcW w:w="173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662BD3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Proportion mediated</w:t>
            </w:r>
          </w:p>
        </w:tc>
        <w:tc>
          <w:tcPr>
            <w:tcW w:w="1505"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66F6489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0.1118 (-2.247 to 2.272)</w:t>
            </w:r>
          </w:p>
        </w:tc>
        <w:tc>
          <w:tcPr>
            <w:tcW w:w="61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D37382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0.997</w:t>
            </w:r>
          </w:p>
        </w:tc>
      </w:tr>
    </w:tbl>
    <w:p w14:paraId="64FE3061">
      <w:pPr>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Footnote</w:t>
      </w:r>
    </w:p>
    <w:p w14:paraId="78D7E01D">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sz w:val="20"/>
          <w:szCs w:val="22"/>
          <w:lang w:val="en-US" w:eastAsia="zh-CN"/>
        </w:rPr>
        <w:t>Unstandardized estimates, standard errors (SEs), test statistics, P values, confidence intervals (CIs), and standardized estimates are shown from the full mediation models evaluating the relationships among ferritin coefficient of variation (CV), mean log-transformed C-reactive protein (CRP), and forced expiratory volume in 1 second (FEV₁), overall and within prespecified age groups. Models were adjusted for sex, smoking status, body mass index (BMI), and hemoglobin (Hb), as applicable. This table is provided as a technical supplement to document the complete model output underlying the summarized mediation results presented in the main and supplementary tables</w:t>
      </w:r>
    </w:p>
    <w:p w14:paraId="2D506616">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038219FA">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243CFED">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CC99EEC">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2648549">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48E085B">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11D74088">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15EC919">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DEA7D30">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2004002">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7BDA6A08">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1D60463">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97E540A">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06215419">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1E3067B">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733501BF">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19CC910E">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762A5060">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B84EDE8">
      <w:pPr>
        <w:spacing w:before="0" w:after="0" w:line="240" w:lineRule="auto"/>
        <w:rPr>
          <w:rFonts w:hint="default" w:ascii="Times New Roman Regular" w:hAnsi="Times New Roman Regular" w:cs="Times New Roman Regular"/>
          <w:b/>
          <w:bCs/>
          <w:sz w:val="22"/>
          <w:szCs w:val="22"/>
          <w:lang w:val="en-US" w:eastAsia="zh-CN"/>
        </w:rPr>
      </w:pPr>
      <w:r>
        <w:rPr>
          <w:rFonts w:hint="default" w:ascii="Times New Roman Regular" w:hAnsi="Times New Roman Regular" w:cs="Times New Roman Regular"/>
          <w:b/>
          <w:bCs/>
          <w:sz w:val="22"/>
          <w:szCs w:val="22"/>
          <w:lang w:val="en-US" w:eastAsia="zh-CN"/>
        </w:rPr>
        <w:br w:type="page"/>
      </w:r>
    </w:p>
    <w:p w14:paraId="2395B887">
      <w:pPr>
        <w:pStyle w:val="2"/>
        <w:keepNext/>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S65. Descriptive characteristics by age group</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33"/>
        <w:gridCol w:w="1437"/>
        <w:gridCol w:w="1437"/>
        <w:gridCol w:w="1437"/>
        <w:gridCol w:w="1437"/>
        <w:gridCol w:w="1437"/>
        <w:gridCol w:w="1437"/>
        <w:gridCol w:w="1437"/>
        <w:gridCol w:w="1437"/>
        <w:gridCol w:w="1437"/>
      </w:tblGrid>
      <w:tr w14:paraId="6DD1D1C1">
        <w:trPr>
          <w:trHeight w:val="193" w:hRule="atLeast"/>
          <w:tblHeader/>
          <w:jc w:val="center"/>
        </w:trPr>
        <w:tc>
          <w:tcPr>
            <w:tcW w:w="49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36B917A4">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Age group, years</w:t>
            </w:r>
          </w:p>
        </w:tc>
        <w:tc>
          <w:tcPr>
            <w:tcW w:w="50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3D1E4FFF">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n</w:t>
            </w:r>
          </w:p>
        </w:tc>
        <w:tc>
          <w:tcPr>
            <w:tcW w:w="50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0EAC811">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Mean CRP</w:t>
            </w:r>
          </w:p>
        </w:tc>
        <w:tc>
          <w:tcPr>
            <w:tcW w:w="50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6AF06D8F">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SD</w:t>
            </w:r>
          </w:p>
        </w:tc>
        <w:tc>
          <w:tcPr>
            <w:tcW w:w="50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A63D1E4">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 xml:space="preserve">Mean </w:t>
            </w:r>
            <w:r>
              <w:rPr>
                <w:rFonts w:hint="default" w:ascii="Times New Roman" w:hAnsi="Times New Roman" w:eastAsia="Times New Roman" w:cs="Times New Roman Regular"/>
                <w:b/>
                <w:sz w:val="16"/>
                <w:szCs w:val="22"/>
                <w:lang w:val="en-US" w:eastAsia="zh-CN"/>
              </w:rPr>
              <w:t>FEV₁</w:t>
            </w:r>
          </w:p>
        </w:tc>
        <w:tc>
          <w:tcPr>
            <w:tcW w:w="50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38C6C1C3">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SD</w:t>
            </w:r>
          </w:p>
        </w:tc>
        <w:tc>
          <w:tcPr>
            <w:tcW w:w="50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14D2C78">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Mean ferritin CV</w:t>
            </w:r>
          </w:p>
        </w:tc>
        <w:tc>
          <w:tcPr>
            <w:tcW w:w="50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2C114A3">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SD</w:t>
            </w:r>
          </w:p>
        </w:tc>
        <w:tc>
          <w:tcPr>
            <w:tcW w:w="50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86C70F8">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Mean Hb</w:t>
            </w:r>
          </w:p>
        </w:tc>
        <w:tc>
          <w:tcPr>
            <w:tcW w:w="50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40CE618">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SD</w:t>
            </w:r>
          </w:p>
        </w:tc>
      </w:tr>
      <w:tr w14:paraId="6C4BF011">
        <w:trPr>
          <w:trHeight w:val="193" w:hRule="atLeast"/>
          <w:jc w:val="center"/>
        </w:trPr>
        <w:tc>
          <w:tcPr>
            <w:tcW w:w="49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372804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50–59</w:t>
            </w:r>
          </w:p>
        </w:tc>
        <w:tc>
          <w:tcPr>
            <w:tcW w:w="50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233DC43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347</w:t>
            </w:r>
          </w:p>
        </w:tc>
        <w:tc>
          <w:tcPr>
            <w:tcW w:w="50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298E1C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1.377</w:t>
            </w:r>
          </w:p>
        </w:tc>
        <w:tc>
          <w:tcPr>
            <w:tcW w:w="50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2C3F5F4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1.195</w:t>
            </w:r>
          </w:p>
        </w:tc>
        <w:tc>
          <w:tcPr>
            <w:tcW w:w="50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6BFBBB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2.207</w:t>
            </w:r>
          </w:p>
        </w:tc>
        <w:tc>
          <w:tcPr>
            <w:tcW w:w="50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619AE30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0.663</w:t>
            </w:r>
          </w:p>
        </w:tc>
        <w:tc>
          <w:tcPr>
            <w:tcW w:w="50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5E9989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0.392</w:t>
            </w:r>
          </w:p>
        </w:tc>
        <w:tc>
          <w:tcPr>
            <w:tcW w:w="50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119B006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0.239</w:t>
            </w:r>
          </w:p>
        </w:tc>
        <w:tc>
          <w:tcPr>
            <w:tcW w:w="50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3C168B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14.091</w:t>
            </w:r>
          </w:p>
        </w:tc>
        <w:tc>
          <w:tcPr>
            <w:tcW w:w="50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9CAB18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w:t>
            </w:r>
          </w:p>
        </w:tc>
      </w:tr>
      <w:tr w14:paraId="1621B91C">
        <w:trPr>
          <w:trHeight w:val="193" w:hRule="atLeast"/>
          <w:jc w:val="center"/>
        </w:trPr>
        <w:tc>
          <w:tcPr>
            <w:tcW w:w="499" w:type="pct"/>
            <w:tcBorders>
              <w:top w:val="nil"/>
              <w:left w:val="nil"/>
              <w:bottom w:val="nil"/>
              <w:right w:val="nil"/>
            </w:tcBorders>
            <w:shd w:val="clear" w:color="auto" w:fill="FFFFFF"/>
            <w:tcMar>
              <w:top w:w="55" w:type="dxa"/>
              <w:left w:w="55" w:type="dxa"/>
              <w:bottom w:w="55" w:type="dxa"/>
              <w:right w:w="55" w:type="dxa"/>
            </w:tcMar>
            <w:vAlign w:val="center"/>
          </w:tcPr>
          <w:p w14:paraId="1B330ED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60–69</w:t>
            </w:r>
          </w:p>
        </w:tc>
        <w:tc>
          <w:tcPr>
            <w:tcW w:w="500" w:type="pct"/>
            <w:tcBorders>
              <w:top w:val="nil"/>
              <w:left w:val="nil"/>
              <w:bottom w:val="nil"/>
              <w:right w:val="nil"/>
            </w:tcBorders>
            <w:shd w:val="clear" w:color="auto" w:fill="FFFFFF"/>
            <w:tcMar>
              <w:top w:w="55" w:type="dxa"/>
              <w:left w:w="55" w:type="dxa"/>
              <w:bottom w:w="55" w:type="dxa"/>
              <w:right w:w="55" w:type="dxa"/>
            </w:tcMar>
            <w:vAlign w:val="center"/>
          </w:tcPr>
          <w:p w14:paraId="34C2058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395</w:t>
            </w:r>
          </w:p>
        </w:tc>
        <w:tc>
          <w:tcPr>
            <w:tcW w:w="500" w:type="pct"/>
            <w:tcBorders>
              <w:top w:val="nil"/>
              <w:left w:val="nil"/>
              <w:bottom w:val="nil"/>
              <w:right w:val="nil"/>
            </w:tcBorders>
            <w:shd w:val="clear" w:color="auto" w:fill="FFFFFF"/>
            <w:tcMar>
              <w:top w:w="55" w:type="dxa"/>
              <w:left w:w="55" w:type="dxa"/>
              <w:bottom w:w="55" w:type="dxa"/>
              <w:right w:w="55" w:type="dxa"/>
            </w:tcMar>
            <w:vAlign w:val="center"/>
          </w:tcPr>
          <w:p w14:paraId="1EDDCC6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1.262</w:t>
            </w:r>
          </w:p>
        </w:tc>
        <w:tc>
          <w:tcPr>
            <w:tcW w:w="500" w:type="pct"/>
            <w:tcBorders>
              <w:top w:val="nil"/>
              <w:left w:val="nil"/>
              <w:bottom w:val="nil"/>
              <w:right w:val="nil"/>
            </w:tcBorders>
            <w:shd w:val="clear" w:color="auto" w:fill="FFFFFF"/>
            <w:tcMar>
              <w:top w:w="55" w:type="dxa"/>
              <w:left w:w="55" w:type="dxa"/>
              <w:bottom w:w="55" w:type="dxa"/>
              <w:right w:w="55" w:type="dxa"/>
            </w:tcMar>
            <w:vAlign w:val="center"/>
          </w:tcPr>
          <w:p w14:paraId="224F329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1.087</w:t>
            </w:r>
          </w:p>
        </w:tc>
        <w:tc>
          <w:tcPr>
            <w:tcW w:w="500" w:type="pct"/>
            <w:tcBorders>
              <w:top w:val="nil"/>
              <w:left w:val="nil"/>
              <w:bottom w:val="nil"/>
              <w:right w:val="nil"/>
            </w:tcBorders>
            <w:shd w:val="clear" w:color="auto" w:fill="FFFFFF"/>
            <w:tcMar>
              <w:top w:w="55" w:type="dxa"/>
              <w:left w:w="55" w:type="dxa"/>
              <w:bottom w:w="55" w:type="dxa"/>
              <w:right w:w="55" w:type="dxa"/>
            </w:tcMar>
            <w:vAlign w:val="center"/>
          </w:tcPr>
          <w:p w14:paraId="0E4DA70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1.966</w:t>
            </w:r>
          </w:p>
        </w:tc>
        <w:tc>
          <w:tcPr>
            <w:tcW w:w="500" w:type="pct"/>
            <w:tcBorders>
              <w:top w:val="nil"/>
              <w:left w:val="nil"/>
              <w:bottom w:val="nil"/>
              <w:right w:val="nil"/>
            </w:tcBorders>
            <w:shd w:val="clear" w:color="auto" w:fill="FFFFFF"/>
            <w:tcMar>
              <w:top w:w="55" w:type="dxa"/>
              <w:left w:w="55" w:type="dxa"/>
              <w:bottom w:w="55" w:type="dxa"/>
              <w:right w:w="55" w:type="dxa"/>
            </w:tcMar>
            <w:vAlign w:val="center"/>
          </w:tcPr>
          <w:p w14:paraId="42BA819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0.61</w:t>
            </w:r>
          </w:p>
        </w:tc>
        <w:tc>
          <w:tcPr>
            <w:tcW w:w="500" w:type="pct"/>
            <w:tcBorders>
              <w:top w:val="nil"/>
              <w:left w:val="nil"/>
              <w:bottom w:val="nil"/>
              <w:right w:val="nil"/>
            </w:tcBorders>
            <w:shd w:val="clear" w:color="auto" w:fill="FFFFFF"/>
            <w:tcMar>
              <w:top w:w="55" w:type="dxa"/>
              <w:left w:w="55" w:type="dxa"/>
              <w:bottom w:w="55" w:type="dxa"/>
              <w:right w:w="55" w:type="dxa"/>
            </w:tcMar>
            <w:vAlign w:val="center"/>
          </w:tcPr>
          <w:p w14:paraId="6478304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0.414</w:t>
            </w:r>
          </w:p>
        </w:tc>
        <w:tc>
          <w:tcPr>
            <w:tcW w:w="500" w:type="pct"/>
            <w:tcBorders>
              <w:top w:val="nil"/>
              <w:left w:val="nil"/>
              <w:bottom w:val="nil"/>
              <w:right w:val="nil"/>
            </w:tcBorders>
            <w:shd w:val="clear" w:color="auto" w:fill="FFFFFF"/>
            <w:tcMar>
              <w:top w:w="55" w:type="dxa"/>
              <w:left w:w="55" w:type="dxa"/>
              <w:bottom w:w="55" w:type="dxa"/>
              <w:right w:w="55" w:type="dxa"/>
            </w:tcMar>
            <w:vAlign w:val="center"/>
          </w:tcPr>
          <w:p w14:paraId="7EBFF27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0.238</w:t>
            </w:r>
          </w:p>
        </w:tc>
        <w:tc>
          <w:tcPr>
            <w:tcW w:w="500" w:type="pct"/>
            <w:tcBorders>
              <w:top w:val="nil"/>
              <w:left w:val="nil"/>
              <w:bottom w:val="nil"/>
              <w:right w:val="nil"/>
            </w:tcBorders>
            <w:shd w:val="clear" w:color="auto" w:fill="FFFFFF"/>
            <w:tcMar>
              <w:top w:w="55" w:type="dxa"/>
              <w:left w:w="55" w:type="dxa"/>
              <w:bottom w:w="55" w:type="dxa"/>
              <w:right w:w="55" w:type="dxa"/>
            </w:tcMar>
            <w:vAlign w:val="center"/>
          </w:tcPr>
          <w:p w14:paraId="2DAEC12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14.011</w:t>
            </w:r>
          </w:p>
        </w:tc>
        <w:tc>
          <w:tcPr>
            <w:tcW w:w="500" w:type="pct"/>
            <w:tcBorders>
              <w:top w:val="nil"/>
              <w:left w:val="nil"/>
              <w:bottom w:val="nil"/>
              <w:right w:val="nil"/>
            </w:tcBorders>
            <w:shd w:val="clear" w:color="auto" w:fill="FFFFFF"/>
            <w:tcMar>
              <w:top w:w="55" w:type="dxa"/>
              <w:left w:w="55" w:type="dxa"/>
              <w:bottom w:w="55" w:type="dxa"/>
              <w:right w:w="55" w:type="dxa"/>
            </w:tcMar>
            <w:vAlign w:val="center"/>
          </w:tcPr>
          <w:p w14:paraId="05D78A3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w:t>
            </w:r>
          </w:p>
        </w:tc>
      </w:tr>
      <w:tr w14:paraId="120BF3AD">
        <w:trPr>
          <w:trHeight w:val="193" w:hRule="atLeast"/>
          <w:jc w:val="center"/>
        </w:trPr>
        <w:tc>
          <w:tcPr>
            <w:tcW w:w="49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4AA27B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≥70</w:t>
            </w:r>
          </w:p>
        </w:tc>
        <w:tc>
          <w:tcPr>
            <w:tcW w:w="50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95A518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364</w:t>
            </w:r>
          </w:p>
        </w:tc>
        <w:tc>
          <w:tcPr>
            <w:tcW w:w="50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666D0A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1.623</w:t>
            </w:r>
          </w:p>
        </w:tc>
        <w:tc>
          <w:tcPr>
            <w:tcW w:w="50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D4CFFA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1.269</w:t>
            </w:r>
          </w:p>
        </w:tc>
        <w:tc>
          <w:tcPr>
            <w:tcW w:w="50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ED84D4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1.718</w:t>
            </w:r>
          </w:p>
        </w:tc>
        <w:tc>
          <w:tcPr>
            <w:tcW w:w="50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4940C7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0.545</w:t>
            </w:r>
          </w:p>
        </w:tc>
        <w:tc>
          <w:tcPr>
            <w:tcW w:w="50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297310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0.414</w:t>
            </w:r>
          </w:p>
        </w:tc>
        <w:tc>
          <w:tcPr>
            <w:tcW w:w="50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F1D807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0.248</w:t>
            </w:r>
          </w:p>
        </w:tc>
        <w:tc>
          <w:tcPr>
            <w:tcW w:w="50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E87EAB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13.784</w:t>
            </w:r>
          </w:p>
        </w:tc>
        <w:tc>
          <w:tcPr>
            <w:tcW w:w="50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315295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w:t>
            </w:r>
          </w:p>
        </w:tc>
      </w:tr>
    </w:tbl>
    <w:p w14:paraId="022F35BC">
      <w:pPr>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Footnote</w:t>
      </w:r>
    </w:p>
    <w:p w14:paraId="06813C8A">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sz w:val="20"/>
          <w:szCs w:val="22"/>
          <w:lang w:val="en-US" w:eastAsia="zh-CN"/>
        </w:rPr>
        <w:t>Descriptive characteristics are shown for the prespecified age groups included in the mediation-related analyses. Reported variables may include sample size, ferritin coefficient of variation (CV), mean log-transformed C-reactive protein (CRP), forced expiratory volume in 1 second (FEV₁), hemoglobin (Hb), and other relevant summary measures, as applicable. These results are descriptive and unadjusted and are provided to characterize baseline differences across age groups underlying the mediation and inflammation-related analyses.</w:t>
      </w:r>
    </w:p>
    <w:p w14:paraId="3FA099AC">
      <w:pPr>
        <w:spacing w:before="0" w:after="0" w:line="240" w:lineRule="auto"/>
        <w:rPr>
          <w:rFonts w:hint="default" w:ascii="Times New Roman Regular" w:hAnsi="Times New Roman Regular" w:cs="Times New Roman Regular"/>
          <w:sz w:val="22"/>
          <w:szCs w:val="22"/>
          <w:lang w:val="en-US" w:eastAsia="zh-CN"/>
        </w:rPr>
      </w:pPr>
      <w:r>
        <w:rPr>
          <w:rFonts w:hint="default" w:ascii="Times New Roman Regular" w:hAnsi="Times New Roman Regular" w:cs="Times New Roman Regular"/>
          <w:sz w:val="22"/>
          <w:szCs w:val="22"/>
          <w:lang w:val="en-US" w:eastAsia="zh-CN"/>
        </w:rPr>
        <w:br w:type="page"/>
      </w:r>
    </w:p>
    <w:p w14:paraId="465DF00E">
      <w:pPr>
        <w:pStyle w:val="2"/>
        <w:keepNext/>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 xml:space="preserve">Supplementary Table S66. Full joint Hb- and CRP-adjusted models for dynamic iron-related measures and repeated </w:t>
      </w:r>
      <w:r>
        <w:rPr>
          <w:rFonts w:hint="default" w:ascii="Times New Roman" w:hAnsi="Times New Roman" w:eastAsia="Times New Roman" w:cs="Times New Roman Regular"/>
          <w:b/>
          <w:sz w:val="20"/>
          <w:szCs w:val="22"/>
          <w:lang w:val="en-US" w:eastAsia="zh-CN"/>
        </w:rPr>
        <w:t>FEV₁</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18"/>
        <w:gridCol w:w="2518"/>
        <w:gridCol w:w="4007"/>
        <w:gridCol w:w="3765"/>
        <w:gridCol w:w="1558"/>
      </w:tblGrid>
      <w:tr w14:paraId="1E8F7FB0">
        <w:trPr>
          <w:trHeight w:val="193" w:hRule="atLeast"/>
          <w:tblHeader/>
          <w:jc w:val="center"/>
        </w:trPr>
        <w:tc>
          <w:tcPr>
            <w:tcW w:w="876"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AE5702E">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Exposure</w:t>
            </w:r>
          </w:p>
        </w:tc>
        <w:tc>
          <w:tcPr>
            <w:tcW w:w="876"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7FD881D">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Model</w:t>
            </w:r>
          </w:p>
        </w:tc>
        <w:tc>
          <w:tcPr>
            <w:tcW w:w="1394"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BC5F744">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Term</w:t>
            </w:r>
          </w:p>
        </w:tc>
        <w:tc>
          <w:tcPr>
            <w:tcW w:w="131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6E1078CB">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β (95% CI)</w:t>
            </w:r>
          </w:p>
        </w:tc>
        <w:tc>
          <w:tcPr>
            <w:tcW w:w="542"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3733482">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P value</w:t>
            </w:r>
          </w:p>
        </w:tc>
      </w:tr>
      <w:tr w14:paraId="39DE4185">
        <w:trPr>
          <w:trHeight w:val="193" w:hRule="atLeast"/>
          <w:jc w:val="center"/>
        </w:trPr>
        <w:tc>
          <w:tcPr>
            <w:tcW w:w="876"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15E863F5">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Iron fragility index</w:t>
            </w:r>
          </w:p>
        </w:tc>
        <w:tc>
          <w:tcPr>
            <w:tcW w:w="876" w:type="pct"/>
            <w:vMerge w:val="restart"/>
            <w:tcBorders>
              <w:top w:val="single" w:color="000000" w:sz="8" w:space="0"/>
              <w:left w:val="nil"/>
              <w:right w:val="nil"/>
            </w:tcBorders>
            <w:shd w:val="clear" w:color="auto" w:fill="FFFFFF"/>
            <w:tcMar>
              <w:top w:w="55" w:type="dxa"/>
              <w:left w:w="55" w:type="dxa"/>
              <w:bottom w:w="55" w:type="dxa"/>
              <w:right w:w="55" w:type="dxa"/>
            </w:tcMar>
            <w:vAlign w:val="center"/>
          </w:tcPr>
          <w:p w14:paraId="396F98F9">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IFI + Hb + CRP joint model</w:t>
            </w:r>
          </w:p>
        </w:tc>
        <w:tc>
          <w:tcPr>
            <w:tcW w:w="1394"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1783FAE">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Dynamic iron metric main effect</w:t>
            </w:r>
          </w:p>
        </w:tc>
        <w:tc>
          <w:tcPr>
            <w:tcW w:w="131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68C763E7">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-0.028 (-0.053, -0.004)</w:t>
            </w:r>
          </w:p>
        </w:tc>
        <w:tc>
          <w:tcPr>
            <w:tcW w:w="542"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C6A9B1C">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0.023</w:t>
            </w:r>
          </w:p>
        </w:tc>
      </w:tr>
      <w:tr w14:paraId="5338A68D">
        <w:trPr>
          <w:trHeight w:val="193" w:hRule="atLeast"/>
          <w:jc w:val="center"/>
        </w:trPr>
        <w:tc>
          <w:tcPr>
            <w:tcW w:w="876" w:type="pct"/>
            <w:tcBorders>
              <w:top w:val="nil"/>
              <w:left w:val="nil"/>
              <w:bottom w:val="nil"/>
              <w:right w:val="nil"/>
            </w:tcBorders>
            <w:shd w:val="clear" w:color="auto" w:fill="FFFFFF"/>
            <w:tcMar>
              <w:top w:w="55" w:type="dxa"/>
              <w:left w:w="55" w:type="dxa"/>
              <w:bottom w:w="55" w:type="dxa"/>
              <w:right w:w="55" w:type="dxa"/>
            </w:tcMar>
            <w:vAlign w:val="center"/>
          </w:tcPr>
          <w:p w14:paraId="48D89CCC">
            <w:pPr>
              <w:spacing w:before="0" w:after="0" w:line="240" w:lineRule="auto"/>
              <w:jc w:val="both"/>
              <w:rPr>
                <w:rFonts w:hint="default" w:ascii="Times New Roman Regular" w:hAnsi="Times New Roman Regular" w:eastAsia="Times New Roman Regular" w:cs="Times New Roman Regular"/>
                <w:i w:val="0"/>
                <w:iCs w:val="0"/>
                <w:color w:val="000000"/>
                <w:sz w:val="22"/>
                <w:szCs w:val="22"/>
                <w:u w:val="none"/>
              </w:rPr>
            </w:pPr>
          </w:p>
        </w:tc>
        <w:tc>
          <w:tcPr>
            <w:tcW w:w="876" w:type="pct"/>
            <w:vMerge w:val="continue"/>
            <w:tcBorders>
              <w:left w:val="nil"/>
              <w:right w:val="nil"/>
            </w:tcBorders>
            <w:shd w:val="clear" w:color="auto" w:fill="FFFFFF"/>
            <w:vAlign w:val="center"/>
          </w:tcPr>
          <w:p w14:paraId="4F8E5165">
            <w:pPr>
              <w:jc w:val="both"/>
              <w:rPr>
                <w:rFonts w:hint="default" w:ascii="Times New Roman Regular" w:hAnsi="Times New Roman Regular" w:eastAsia="Times New Roman Regular" w:cs="Times New Roman Regular"/>
                <w:i w:val="0"/>
                <w:iCs w:val="0"/>
                <w:color w:val="000000"/>
                <w:sz w:val="22"/>
                <w:szCs w:val="22"/>
                <w:u w:val="none"/>
              </w:rPr>
            </w:pPr>
          </w:p>
        </w:tc>
        <w:tc>
          <w:tcPr>
            <w:tcW w:w="1394" w:type="pct"/>
            <w:tcBorders>
              <w:top w:val="nil"/>
              <w:left w:val="nil"/>
              <w:bottom w:val="nil"/>
              <w:right w:val="nil"/>
            </w:tcBorders>
            <w:shd w:val="clear" w:color="auto" w:fill="FFFFFF"/>
            <w:tcMar>
              <w:top w:w="55" w:type="dxa"/>
              <w:left w:w="55" w:type="dxa"/>
              <w:bottom w:w="55" w:type="dxa"/>
              <w:right w:w="55" w:type="dxa"/>
            </w:tcMar>
            <w:vAlign w:val="center"/>
          </w:tcPr>
          <w:p w14:paraId="77F5810D">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Hemoglobin</w:t>
            </w:r>
          </w:p>
        </w:tc>
        <w:tc>
          <w:tcPr>
            <w:tcW w:w="1310" w:type="pct"/>
            <w:tcBorders>
              <w:top w:val="nil"/>
              <w:left w:val="nil"/>
              <w:bottom w:val="nil"/>
              <w:right w:val="nil"/>
            </w:tcBorders>
            <w:shd w:val="clear" w:color="auto" w:fill="FFFFFF"/>
            <w:tcMar>
              <w:top w:w="55" w:type="dxa"/>
              <w:left w:w="55" w:type="dxa"/>
              <w:bottom w:w="55" w:type="dxa"/>
              <w:right w:w="55" w:type="dxa"/>
            </w:tcMar>
            <w:vAlign w:val="center"/>
          </w:tcPr>
          <w:p w14:paraId="401D896D">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-0.021 (-0.046, 0.004)</w:t>
            </w:r>
          </w:p>
        </w:tc>
        <w:tc>
          <w:tcPr>
            <w:tcW w:w="542" w:type="pct"/>
            <w:tcBorders>
              <w:top w:val="nil"/>
              <w:left w:val="nil"/>
              <w:bottom w:val="nil"/>
              <w:right w:val="nil"/>
            </w:tcBorders>
            <w:shd w:val="clear" w:color="auto" w:fill="FFFFFF"/>
            <w:tcMar>
              <w:top w:w="55" w:type="dxa"/>
              <w:left w:w="55" w:type="dxa"/>
              <w:bottom w:w="55" w:type="dxa"/>
              <w:right w:w="55" w:type="dxa"/>
            </w:tcMar>
            <w:vAlign w:val="center"/>
          </w:tcPr>
          <w:p w14:paraId="7B634150">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0.095</w:t>
            </w:r>
          </w:p>
        </w:tc>
      </w:tr>
      <w:tr w14:paraId="183D4A9B">
        <w:trPr>
          <w:trHeight w:val="193" w:hRule="atLeast"/>
          <w:jc w:val="center"/>
        </w:trPr>
        <w:tc>
          <w:tcPr>
            <w:tcW w:w="876" w:type="pct"/>
            <w:tcBorders>
              <w:top w:val="nil"/>
              <w:left w:val="nil"/>
              <w:bottom w:val="nil"/>
              <w:right w:val="nil"/>
            </w:tcBorders>
            <w:shd w:val="clear" w:color="auto" w:fill="FFFFFF"/>
            <w:tcMar>
              <w:top w:w="55" w:type="dxa"/>
              <w:left w:w="55" w:type="dxa"/>
              <w:bottom w:w="55" w:type="dxa"/>
              <w:right w:w="55" w:type="dxa"/>
            </w:tcMar>
            <w:vAlign w:val="center"/>
          </w:tcPr>
          <w:p w14:paraId="3B601EF7">
            <w:pPr>
              <w:spacing w:before="0" w:after="0" w:line="240" w:lineRule="auto"/>
              <w:jc w:val="both"/>
              <w:rPr>
                <w:rFonts w:hint="default" w:ascii="Times New Roman Regular" w:hAnsi="Times New Roman Regular" w:eastAsia="Times New Roman Regular" w:cs="Times New Roman Regular"/>
                <w:i w:val="0"/>
                <w:iCs w:val="0"/>
                <w:color w:val="000000"/>
                <w:sz w:val="22"/>
                <w:szCs w:val="22"/>
                <w:u w:val="none"/>
              </w:rPr>
            </w:pPr>
          </w:p>
        </w:tc>
        <w:tc>
          <w:tcPr>
            <w:tcW w:w="876" w:type="pct"/>
            <w:vMerge w:val="continue"/>
            <w:tcBorders>
              <w:left w:val="nil"/>
              <w:right w:val="nil"/>
            </w:tcBorders>
            <w:shd w:val="clear" w:color="auto" w:fill="FFFFFF"/>
            <w:vAlign w:val="center"/>
          </w:tcPr>
          <w:p w14:paraId="2BDD1F1A">
            <w:pPr>
              <w:jc w:val="both"/>
              <w:rPr>
                <w:rFonts w:hint="default" w:ascii="Times New Roman Regular" w:hAnsi="Times New Roman Regular" w:eastAsia="Times New Roman Regular" w:cs="Times New Roman Regular"/>
                <w:i w:val="0"/>
                <w:iCs w:val="0"/>
                <w:color w:val="000000"/>
                <w:sz w:val="22"/>
                <w:szCs w:val="22"/>
                <w:u w:val="none"/>
              </w:rPr>
            </w:pPr>
          </w:p>
        </w:tc>
        <w:tc>
          <w:tcPr>
            <w:tcW w:w="1394" w:type="pct"/>
            <w:tcBorders>
              <w:top w:val="nil"/>
              <w:left w:val="nil"/>
              <w:bottom w:val="nil"/>
              <w:right w:val="nil"/>
            </w:tcBorders>
            <w:shd w:val="clear" w:color="auto" w:fill="FFFFFF"/>
            <w:tcMar>
              <w:top w:w="55" w:type="dxa"/>
              <w:left w:w="55" w:type="dxa"/>
              <w:bottom w:w="55" w:type="dxa"/>
              <w:right w:w="55" w:type="dxa"/>
            </w:tcMar>
            <w:vAlign w:val="center"/>
          </w:tcPr>
          <w:p w14:paraId="2C3AA982">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Inflammation(log CRP)</w:t>
            </w:r>
          </w:p>
        </w:tc>
        <w:tc>
          <w:tcPr>
            <w:tcW w:w="1310" w:type="pct"/>
            <w:tcBorders>
              <w:top w:val="nil"/>
              <w:left w:val="nil"/>
              <w:bottom w:val="nil"/>
              <w:right w:val="nil"/>
            </w:tcBorders>
            <w:shd w:val="clear" w:color="auto" w:fill="FFFFFF"/>
            <w:tcMar>
              <w:top w:w="55" w:type="dxa"/>
              <w:left w:w="55" w:type="dxa"/>
              <w:bottom w:w="55" w:type="dxa"/>
              <w:right w:w="55" w:type="dxa"/>
            </w:tcMar>
            <w:vAlign w:val="center"/>
          </w:tcPr>
          <w:p w14:paraId="1A60AE86">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-0.049 (-0.072, -0.026)</w:t>
            </w:r>
          </w:p>
        </w:tc>
        <w:tc>
          <w:tcPr>
            <w:tcW w:w="542" w:type="pct"/>
            <w:tcBorders>
              <w:top w:val="nil"/>
              <w:left w:val="nil"/>
              <w:bottom w:val="nil"/>
              <w:right w:val="nil"/>
            </w:tcBorders>
            <w:shd w:val="clear" w:color="auto" w:fill="FFFFFF"/>
            <w:tcMar>
              <w:top w:w="55" w:type="dxa"/>
              <w:left w:w="55" w:type="dxa"/>
              <w:bottom w:w="55" w:type="dxa"/>
              <w:right w:w="55" w:type="dxa"/>
            </w:tcMar>
            <w:vAlign w:val="center"/>
          </w:tcPr>
          <w:p w14:paraId="43E1E4F5">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&lt;0.001</w:t>
            </w:r>
          </w:p>
        </w:tc>
      </w:tr>
      <w:tr w14:paraId="042698AD">
        <w:trPr>
          <w:trHeight w:val="193" w:hRule="atLeast"/>
          <w:jc w:val="center"/>
        </w:trPr>
        <w:tc>
          <w:tcPr>
            <w:tcW w:w="876" w:type="pct"/>
            <w:tcBorders>
              <w:top w:val="nil"/>
              <w:left w:val="nil"/>
              <w:bottom w:val="nil"/>
              <w:right w:val="nil"/>
            </w:tcBorders>
            <w:shd w:val="clear" w:color="auto" w:fill="FFFFFF"/>
            <w:tcMar>
              <w:top w:w="55" w:type="dxa"/>
              <w:left w:w="55" w:type="dxa"/>
              <w:bottom w:w="55" w:type="dxa"/>
              <w:right w:w="55" w:type="dxa"/>
            </w:tcMar>
            <w:vAlign w:val="center"/>
          </w:tcPr>
          <w:p w14:paraId="171D8CDE">
            <w:pPr>
              <w:spacing w:before="0" w:after="0" w:line="240" w:lineRule="auto"/>
              <w:jc w:val="both"/>
              <w:rPr>
                <w:rFonts w:hint="default" w:ascii="Times New Roman Regular" w:hAnsi="Times New Roman Regular" w:eastAsia="Times New Roman Regular" w:cs="Times New Roman Regular"/>
                <w:i w:val="0"/>
                <w:iCs w:val="0"/>
                <w:color w:val="000000"/>
                <w:sz w:val="22"/>
                <w:szCs w:val="22"/>
                <w:u w:val="none"/>
              </w:rPr>
            </w:pPr>
          </w:p>
        </w:tc>
        <w:tc>
          <w:tcPr>
            <w:tcW w:w="876" w:type="pct"/>
            <w:vMerge w:val="continue"/>
            <w:tcBorders>
              <w:left w:val="nil"/>
              <w:bottom w:val="nil"/>
              <w:right w:val="nil"/>
            </w:tcBorders>
            <w:shd w:val="clear" w:color="auto" w:fill="FFFFFF"/>
            <w:vAlign w:val="center"/>
          </w:tcPr>
          <w:p w14:paraId="3DD347F1">
            <w:pPr>
              <w:jc w:val="both"/>
              <w:rPr>
                <w:rFonts w:hint="default" w:ascii="Times New Roman Regular" w:hAnsi="Times New Roman Regular" w:eastAsia="Times New Roman Regular" w:cs="Times New Roman Regular"/>
                <w:i w:val="0"/>
                <w:iCs w:val="0"/>
                <w:color w:val="000000"/>
                <w:sz w:val="22"/>
                <w:szCs w:val="22"/>
                <w:u w:val="none"/>
              </w:rPr>
            </w:pPr>
          </w:p>
        </w:tc>
        <w:tc>
          <w:tcPr>
            <w:tcW w:w="1394" w:type="pct"/>
            <w:tcBorders>
              <w:top w:val="nil"/>
              <w:left w:val="nil"/>
              <w:bottom w:val="nil"/>
              <w:right w:val="nil"/>
            </w:tcBorders>
            <w:shd w:val="clear" w:color="auto" w:fill="FFFFFF"/>
            <w:tcMar>
              <w:top w:w="55" w:type="dxa"/>
              <w:left w:w="55" w:type="dxa"/>
              <w:bottom w:w="55" w:type="dxa"/>
              <w:right w:w="55" w:type="dxa"/>
            </w:tcMar>
            <w:vAlign w:val="center"/>
          </w:tcPr>
          <w:p w14:paraId="2FD9EF94">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Dynamic iron metric × time</w:t>
            </w:r>
          </w:p>
        </w:tc>
        <w:tc>
          <w:tcPr>
            <w:tcW w:w="1310" w:type="pct"/>
            <w:tcBorders>
              <w:top w:val="nil"/>
              <w:left w:val="nil"/>
              <w:bottom w:val="nil"/>
              <w:right w:val="nil"/>
            </w:tcBorders>
            <w:shd w:val="clear" w:color="auto" w:fill="FFFFFF"/>
            <w:tcMar>
              <w:top w:w="55" w:type="dxa"/>
              <w:left w:w="55" w:type="dxa"/>
              <w:bottom w:w="55" w:type="dxa"/>
              <w:right w:w="55" w:type="dxa"/>
            </w:tcMar>
            <w:vAlign w:val="center"/>
          </w:tcPr>
          <w:p w14:paraId="04A9F765">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0.001 (-0.002, 0.004)</w:t>
            </w:r>
          </w:p>
        </w:tc>
        <w:tc>
          <w:tcPr>
            <w:tcW w:w="542" w:type="pct"/>
            <w:tcBorders>
              <w:top w:val="nil"/>
              <w:left w:val="nil"/>
              <w:bottom w:val="nil"/>
              <w:right w:val="nil"/>
            </w:tcBorders>
            <w:shd w:val="clear" w:color="auto" w:fill="FFFFFF"/>
            <w:tcMar>
              <w:top w:w="55" w:type="dxa"/>
              <w:left w:w="55" w:type="dxa"/>
              <w:bottom w:w="55" w:type="dxa"/>
              <w:right w:w="55" w:type="dxa"/>
            </w:tcMar>
            <w:vAlign w:val="center"/>
          </w:tcPr>
          <w:p w14:paraId="6A0E009F">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0.556</w:t>
            </w:r>
          </w:p>
        </w:tc>
      </w:tr>
      <w:tr w14:paraId="18DC2201">
        <w:trPr>
          <w:trHeight w:val="193" w:hRule="atLeast"/>
          <w:jc w:val="center"/>
        </w:trPr>
        <w:tc>
          <w:tcPr>
            <w:tcW w:w="876" w:type="pct"/>
            <w:tcBorders>
              <w:top w:val="nil"/>
              <w:left w:val="nil"/>
              <w:bottom w:val="nil"/>
              <w:right w:val="nil"/>
            </w:tcBorders>
            <w:shd w:val="clear" w:color="auto" w:fill="FFFFFF"/>
            <w:tcMar>
              <w:top w:w="55" w:type="dxa"/>
              <w:left w:w="55" w:type="dxa"/>
              <w:bottom w:w="55" w:type="dxa"/>
              <w:right w:w="55" w:type="dxa"/>
            </w:tcMar>
            <w:vAlign w:val="center"/>
          </w:tcPr>
          <w:p w14:paraId="03E82B59">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variability (CV)</w:t>
            </w:r>
          </w:p>
        </w:tc>
        <w:tc>
          <w:tcPr>
            <w:tcW w:w="876" w:type="pct"/>
            <w:tcBorders>
              <w:top w:val="nil"/>
              <w:left w:val="nil"/>
              <w:bottom w:val="nil"/>
              <w:right w:val="nil"/>
            </w:tcBorders>
            <w:shd w:val="clear" w:color="auto" w:fill="FFFFFF"/>
            <w:tcMar>
              <w:top w:w="55" w:type="dxa"/>
              <w:left w:w="55" w:type="dxa"/>
              <w:bottom w:w="55" w:type="dxa"/>
              <w:right w:w="55" w:type="dxa"/>
            </w:tcMar>
            <w:vAlign w:val="center"/>
          </w:tcPr>
          <w:p w14:paraId="2AB267C7">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CV + Hb + CRP joint model</w:t>
            </w:r>
          </w:p>
        </w:tc>
        <w:tc>
          <w:tcPr>
            <w:tcW w:w="1394" w:type="pct"/>
            <w:tcBorders>
              <w:top w:val="nil"/>
              <w:left w:val="nil"/>
              <w:bottom w:val="nil"/>
              <w:right w:val="nil"/>
            </w:tcBorders>
            <w:shd w:val="clear" w:color="auto" w:fill="FFFFFF"/>
            <w:tcMar>
              <w:top w:w="55" w:type="dxa"/>
              <w:left w:w="55" w:type="dxa"/>
              <w:bottom w:w="55" w:type="dxa"/>
              <w:right w:w="55" w:type="dxa"/>
            </w:tcMar>
            <w:vAlign w:val="center"/>
          </w:tcPr>
          <w:p w14:paraId="2833B6CA">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Dynamic iron metric main effect</w:t>
            </w:r>
          </w:p>
        </w:tc>
        <w:tc>
          <w:tcPr>
            <w:tcW w:w="1310" w:type="pct"/>
            <w:tcBorders>
              <w:top w:val="nil"/>
              <w:left w:val="nil"/>
              <w:bottom w:val="nil"/>
              <w:right w:val="nil"/>
            </w:tcBorders>
            <w:shd w:val="clear" w:color="auto" w:fill="FFFFFF"/>
            <w:tcMar>
              <w:top w:w="55" w:type="dxa"/>
              <w:left w:w="55" w:type="dxa"/>
              <w:bottom w:w="55" w:type="dxa"/>
              <w:right w:w="55" w:type="dxa"/>
            </w:tcMar>
            <w:vAlign w:val="center"/>
          </w:tcPr>
          <w:p w14:paraId="561D2478">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-0.352 (-0.562, -0.142)</w:t>
            </w:r>
          </w:p>
        </w:tc>
        <w:tc>
          <w:tcPr>
            <w:tcW w:w="542" w:type="pct"/>
            <w:tcBorders>
              <w:top w:val="nil"/>
              <w:left w:val="nil"/>
              <w:bottom w:val="nil"/>
              <w:right w:val="nil"/>
            </w:tcBorders>
            <w:shd w:val="clear" w:color="auto" w:fill="FFFFFF"/>
            <w:tcMar>
              <w:top w:w="55" w:type="dxa"/>
              <w:left w:w="55" w:type="dxa"/>
              <w:bottom w:w="55" w:type="dxa"/>
              <w:right w:w="55" w:type="dxa"/>
            </w:tcMar>
            <w:vAlign w:val="center"/>
          </w:tcPr>
          <w:p w14:paraId="0218C5C4">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0.001</w:t>
            </w:r>
          </w:p>
        </w:tc>
      </w:tr>
      <w:tr w14:paraId="5B2766EE">
        <w:trPr>
          <w:trHeight w:val="193" w:hRule="atLeast"/>
          <w:jc w:val="center"/>
        </w:trPr>
        <w:tc>
          <w:tcPr>
            <w:tcW w:w="876" w:type="pct"/>
            <w:tcBorders>
              <w:top w:val="nil"/>
              <w:left w:val="nil"/>
              <w:bottom w:val="nil"/>
              <w:right w:val="nil"/>
            </w:tcBorders>
            <w:shd w:val="clear" w:color="auto" w:fill="FFFFFF"/>
            <w:tcMar>
              <w:top w:w="55" w:type="dxa"/>
              <w:left w:w="55" w:type="dxa"/>
              <w:bottom w:w="55" w:type="dxa"/>
              <w:right w:w="55" w:type="dxa"/>
            </w:tcMar>
            <w:vAlign w:val="center"/>
          </w:tcPr>
          <w:p w14:paraId="58C80BB0">
            <w:pPr>
              <w:spacing w:before="0" w:after="0" w:line="240" w:lineRule="auto"/>
              <w:jc w:val="both"/>
              <w:rPr>
                <w:rFonts w:hint="default" w:ascii="Times New Roman Regular" w:hAnsi="Times New Roman Regular" w:eastAsia="Times New Roman Regular" w:cs="Times New Roman Regular"/>
                <w:i w:val="0"/>
                <w:iCs w:val="0"/>
                <w:color w:val="000000"/>
                <w:sz w:val="22"/>
                <w:szCs w:val="22"/>
                <w:u w:val="none"/>
              </w:rPr>
            </w:pPr>
          </w:p>
        </w:tc>
        <w:tc>
          <w:tcPr>
            <w:tcW w:w="876" w:type="pct"/>
            <w:tcBorders>
              <w:top w:val="nil"/>
              <w:left w:val="nil"/>
              <w:bottom w:val="nil"/>
              <w:right w:val="nil"/>
            </w:tcBorders>
            <w:shd w:val="clear" w:color="auto" w:fill="FFFFFF"/>
            <w:tcMar>
              <w:top w:w="55" w:type="dxa"/>
              <w:left w:w="55" w:type="dxa"/>
              <w:bottom w:w="55" w:type="dxa"/>
              <w:right w:w="55" w:type="dxa"/>
            </w:tcMar>
            <w:vAlign w:val="center"/>
          </w:tcPr>
          <w:p w14:paraId="6775AC1E">
            <w:pPr>
              <w:spacing w:before="0" w:after="0" w:line="240" w:lineRule="auto"/>
              <w:jc w:val="both"/>
              <w:rPr>
                <w:rFonts w:hint="default" w:ascii="Times New Roman Regular" w:hAnsi="Times New Roman Regular" w:eastAsia="Times New Roman Regular" w:cs="Times New Roman Regular"/>
                <w:i w:val="0"/>
                <w:iCs w:val="0"/>
                <w:color w:val="000000"/>
                <w:sz w:val="22"/>
                <w:szCs w:val="22"/>
                <w:u w:val="none"/>
              </w:rPr>
            </w:pPr>
          </w:p>
        </w:tc>
        <w:tc>
          <w:tcPr>
            <w:tcW w:w="1394" w:type="pct"/>
            <w:tcBorders>
              <w:top w:val="nil"/>
              <w:left w:val="nil"/>
              <w:bottom w:val="nil"/>
              <w:right w:val="nil"/>
            </w:tcBorders>
            <w:shd w:val="clear" w:color="auto" w:fill="FFFFFF"/>
            <w:tcMar>
              <w:top w:w="55" w:type="dxa"/>
              <w:left w:w="55" w:type="dxa"/>
              <w:bottom w:w="55" w:type="dxa"/>
              <w:right w:w="55" w:type="dxa"/>
            </w:tcMar>
            <w:vAlign w:val="center"/>
          </w:tcPr>
          <w:p w14:paraId="47B4DE52">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Hemoglobin</w:t>
            </w:r>
          </w:p>
        </w:tc>
        <w:tc>
          <w:tcPr>
            <w:tcW w:w="1310" w:type="pct"/>
            <w:tcBorders>
              <w:top w:val="nil"/>
              <w:left w:val="nil"/>
              <w:bottom w:val="nil"/>
              <w:right w:val="nil"/>
            </w:tcBorders>
            <w:shd w:val="clear" w:color="auto" w:fill="FFFFFF"/>
            <w:tcMar>
              <w:top w:w="55" w:type="dxa"/>
              <w:left w:w="55" w:type="dxa"/>
              <w:bottom w:w="55" w:type="dxa"/>
              <w:right w:w="55" w:type="dxa"/>
            </w:tcMar>
            <w:vAlign w:val="center"/>
          </w:tcPr>
          <w:p w14:paraId="38D58CD3">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-0.022 (-0.046, 0.003)</w:t>
            </w:r>
          </w:p>
        </w:tc>
        <w:tc>
          <w:tcPr>
            <w:tcW w:w="542" w:type="pct"/>
            <w:tcBorders>
              <w:top w:val="nil"/>
              <w:left w:val="nil"/>
              <w:bottom w:val="nil"/>
              <w:right w:val="nil"/>
            </w:tcBorders>
            <w:shd w:val="clear" w:color="auto" w:fill="FFFFFF"/>
            <w:tcMar>
              <w:top w:w="55" w:type="dxa"/>
              <w:left w:w="55" w:type="dxa"/>
              <w:bottom w:w="55" w:type="dxa"/>
              <w:right w:w="55" w:type="dxa"/>
            </w:tcMar>
            <w:vAlign w:val="center"/>
          </w:tcPr>
          <w:p w14:paraId="637E0D87">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0.08</w:t>
            </w:r>
          </w:p>
        </w:tc>
      </w:tr>
      <w:tr w14:paraId="73CE4E56">
        <w:trPr>
          <w:trHeight w:val="193" w:hRule="atLeast"/>
          <w:jc w:val="center"/>
        </w:trPr>
        <w:tc>
          <w:tcPr>
            <w:tcW w:w="876" w:type="pct"/>
            <w:tcBorders>
              <w:top w:val="nil"/>
              <w:left w:val="nil"/>
              <w:bottom w:val="nil"/>
              <w:right w:val="nil"/>
            </w:tcBorders>
            <w:shd w:val="clear" w:color="auto" w:fill="FFFFFF"/>
            <w:tcMar>
              <w:top w:w="55" w:type="dxa"/>
              <w:left w:w="55" w:type="dxa"/>
              <w:bottom w:w="55" w:type="dxa"/>
              <w:right w:w="55" w:type="dxa"/>
            </w:tcMar>
            <w:vAlign w:val="center"/>
          </w:tcPr>
          <w:p w14:paraId="3E52DE28">
            <w:pPr>
              <w:spacing w:before="0" w:after="0" w:line="240" w:lineRule="auto"/>
              <w:jc w:val="both"/>
              <w:rPr>
                <w:rFonts w:hint="default" w:ascii="Times New Roman Regular" w:hAnsi="Times New Roman Regular" w:eastAsia="Times New Roman Regular" w:cs="Times New Roman Regular"/>
                <w:i w:val="0"/>
                <w:iCs w:val="0"/>
                <w:color w:val="000000"/>
                <w:sz w:val="22"/>
                <w:szCs w:val="22"/>
                <w:u w:val="none"/>
              </w:rPr>
            </w:pPr>
          </w:p>
        </w:tc>
        <w:tc>
          <w:tcPr>
            <w:tcW w:w="876" w:type="pct"/>
            <w:tcBorders>
              <w:top w:val="nil"/>
              <w:left w:val="nil"/>
              <w:bottom w:val="nil"/>
              <w:right w:val="nil"/>
            </w:tcBorders>
            <w:shd w:val="clear" w:color="auto" w:fill="FFFFFF"/>
            <w:tcMar>
              <w:top w:w="55" w:type="dxa"/>
              <w:left w:w="55" w:type="dxa"/>
              <w:bottom w:w="55" w:type="dxa"/>
              <w:right w:w="55" w:type="dxa"/>
            </w:tcMar>
            <w:vAlign w:val="center"/>
          </w:tcPr>
          <w:p w14:paraId="5E394A13">
            <w:pPr>
              <w:spacing w:before="0" w:after="0" w:line="240" w:lineRule="auto"/>
              <w:jc w:val="both"/>
              <w:rPr>
                <w:rFonts w:hint="default" w:ascii="Times New Roman Regular" w:hAnsi="Times New Roman Regular" w:eastAsia="Times New Roman Regular" w:cs="Times New Roman Regular"/>
                <w:i w:val="0"/>
                <w:iCs w:val="0"/>
                <w:color w:val="000000"/>
                <w:sz w:val="22"/>
                <w:szCs w:val="22"/>
                <w:u w:val="none"/>
              </w:rPr>
            </w:pPr>
          </w:p>
        </w:tc>
        <w:tc>
          <w:tcPr>
            <w:tcW w:w="1394" w:type="pct"/>
            <w:tcBorders>
              <w:top w:val="nil"/>
              <w:left w:val="nil"/>
              <w:bottom w:val="nil"/>
              <w:right w:val="nil"/>
            </w:tcBorders>
            <w:shd w:val="clear" w:color="auto" w:fill="FFFFFF"/>
            <w:tcMar>
              <w:top w:w="55" w:type="dxa"/>
              <w:left w:w="55" w:type="dxa"/>
              <w:bottom w:w="55" w:type="dxa"/>
              <w:right w:w="55" w:type="dxa"/>
            </w:tcMar>
            <w:vAlign w:val="center"/>
          </w:tcPr>
          <w:p w14:paraId="0F2FE1E3">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Inflammation (log CRP)</w:t>
            </w:r>
          </w:p>
        </w:tc>
        <w:tc>
          <w:tcPr>
            <w:tcW w:w="1310" w:type="pct"/>
            <w:tcBorders>
              <w:top w:val="nil"/>
              <w:left w:val="nil"/>
              <w:bottom w:val="nil"/>
              <w:right w:val="nil"/>
            </w:tcBorders>
            <w:shd w:val="clear" w:color="auto" w:fill="FFFFFF"/>
            <w:tcMar>
              <w:top w:w="55" w:type="dxa"/>
              <w:left w:w="55" w:type="dxa"/>
              <w:bottom w:w="55" w:type="dxa"/>
              <w:right w:w="55" w:type="dxa"/>
            </w:tcMar>
            <w:vAlign w:val="center"/>
          </w:tcPr>
          <w:p w14:paraId="628C26B4">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-0.049 (-0.072, -0.026)</w:t>
            </w:r>
          </w:p>
        </w:tc>
        <w:tc>
          <w:tcPr>
            <w:tcW w:w="542" w:type="pct"/>
            <w:tcBorders>
              <w:top w:val="nil"/>
              <w:left w:val="nil"/>
              <w:bottom w:val="nil"/>
              <w:right w:val="nil"/>
            </w:tcBorders>
            <w:shd w:val="clear" w:color="auto" w:fill="FFFFFF"/>
            <w:tcMar>
              <w:top w:w="55" w:type="dxa"/>
              <w:left w:w="55" w:type="dxa"/>
              <w:bottom w:w="55" w:type="dxa"/>
              <w:right w:w="55" w:type="dxa"/>
            </w:tcMar>
            <w:vAlign w:val="center"/>
          </w:tcPr>
          <w:p w14:paraId="72AED162">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&lt;0.001</w:t>
            </w:r>
          </w:p>
        </w:tc>
      </w:tr>
      <w:tr w14:paraId="1FF10EA9">
        <w:trPr>
          <w:trHeight w:val="193" w:hRule="atLeast"/>
          <w:jc w:val="center"/>
        </w:trPr>
        <w:tc>
          <w:tcPr>
            <w:tcW w:w="876" w:type="pct"/>
            <w:tcBorders>
              <w:top w:val="nil"/>
              <w:left w:val="nil"/>
              <w:bottom w:val="nil"/>
              <w:right w:val="nil"/>
            </w:tcBorders>
            <w:shd w:val="clear" w:color="auto" w:fill="FFFFFF"/>
            <w:tcMar>
              <w:top w:w="55" w:type="dxa"/>
              <w:left w:w="55" w:type="dxa"/>
              <w:bottom w:w="55" w:type="dxa"/>
              <w:right w:w="55" w:type="dxa"/>
            </w:tcMar>
            <w:vAlign w:val="center"/>
          </w:tcPr>
          <w:p w14:paraId="6CD5BBFA">
            <w:pPr>
              <w:spacing w:before="0" w:after="0" w:line="240" w:lineRule="auto"/>
              <w:jc w:val="both"/>
              <w:rPr>
                <w:rFonts w:hint="default" w:ascii="Times New Roman Regular" w:hAnsi="Times New Roman Regular" w:eastAsia="Times New Roman Regular" w:cs="Times New Roman Regular"/>
                <w:i w:val="0"/>
                <w:iCs w:val="0"/>
                <w:color w:val="000000"/>
                <w:sz w:val="22"/>
                <w:szCs w:val="22"/>
                <w:u w:val="none"/>
              </w:rPr>
            </w:pPr>
          </w:p>
        </w:tc>
        <w:tc>
          <w:tcPr>
            <w:tcW w:w="876" w:type="pct"/>
            <w:tcBorders>
              <w:top w:val="nil"/>
              <w:left w:val="nil"/>
              <w:bottom w:val="nil"/>
              <w:right w:val="nil"/>
            </w:tcBorders>
            <w:shd w:val="clear" w:color="auto" w:fill="FFFFFF"/>
            <w:tcMar>
              <w:top w:w="55" w:type="dxa"/>
              <w:left w:w="55" w:type="dxa"/>
              <w:bottom w:w="55" w:type="dxa"/>
              <w:right w:w="55" w:type="dxa"/>
            </w:tcMar>
            <w:vAlign w:val="center"/>
          </w:tcPr>
          <w:p w14:paraId="46810E8B">
            <w:pPr>
              <w:spacing w:before="0" w:after="0" w:line="240" w:lineRule="auto"/>
              <w:jc w:val="both"/>
              <w:rPr>
                <w:rFonts w:hint="default" w:ascii="Times New Roman Regular" w:hAnsi="Times New Roman Regular" w:eastAsia="Times New Roman Regular" w:cs="Times New Roman Regular"/>
                <w:i w:val="0"/>
                <w:iCs w:val="0"/>
                <w:color w:val="000000"/>
                <w:sz w:val="22"/>
                <w:szCs w:val="22"/>
                <w:u w:val="none"/>
              </w:rPr>
            </w:pPr>
          </w:p>
        </w:tc>
        <w:tc>
          <w:tcPr>
            <w:tcW w:w="1394" w:type="pct"/>
            <w:tcBorders>
              <w:top w:val="nil"/>
              <w:left w:val="nil"/>
              <w:bottom w:val="nil"/>
              <w:right w:val="nil"/>
            </w:tcBorders>
            <w:shd w:val="clear" w:color="auto" w:fill="FFFFFF"/>
            <w:tcMar>
              <w:top w:w="55" w:type="dxa"/>
              <w:left w:w="55" w:type="dxa"/>
              <w:bottom w:w="55" w:type="dxa"/>
              <w:right w:w="55" w:type="dxa"/>
            </w:tcMar>
            <w:vAlign w:val="center"/>
          </w:tcPr>
          <w:p w14:paraId="47F5CB0F">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Dynamic iron metric × time</w:t>
            </w:r>
          </w:p>
        </w:tc>
        <w:tc>
          <w:tcPr>
            <w:tcW w:w="1310" w:type="pct"/>
            <w:tcBorders>
              <w:top w:val="nil"/>
              <w:left w:val="nil"/>
              <w:bottom w:val="nil"/>
              <w:right w:val="nil"/>
            </w:tcBorders>
            <w:shd w:val="clear" w:color="auto" w:fill="FFFFFF"/>
            <w:tcMar>
              <w:top w:w="55" w:type="dxa"/>
              <w:left w:w="55" w:type="dxa"/>
              <w:bottom w:w="55" w:type="dxa"/>
              <w:right w:w="55" w:type="dxa"/>
            </w:tcMar>
            <w:vAlign w:val="center"/>
          </w:tcPr>
          <w:p w14:paraId="34C769B0">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0.011 (-0.011, 0.033)</w:t>
            </w:r>
          </w:p>
        </w:tc>
        <w:tc>
          <w:tcPr>
            <w:tcW w:w="542" w:type="pct"/>
            <w:tcBorders>
              <w:top w:val="nil"/>
              <w:left w:val="nil"/>
              <w:bottom w:val="nil"/>
              <w:right w:val="nil"/>
            </w:tcBorders>
            <w:shd w:val="clear" w:color="auto" w:fill="FFFFFF"/>
            <w:tcMar>
              <w:top w:w="55" w:type="dxa"/>
              <w:left w:w="55" w:type="dxa"/>
              <w:bottom w:w="55" w:type="dxa"/>
              <w:right w:w="55" w:type="dxa"/>
            </w:tcMar>
            <w:vAlign w:val="center"/>
          </w:tcPr>
          <w:p w14:paraId="75D50BC0">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0.331</w:t>
            </w:r>
          </w:p>
        </w:tc>
      </w:tr>
      <w:tr w14:paraId="50B5D1DE">
        <w:trPr>
          <w:trHeight w:val="193" w:hRule="atLeast"/>
          <w:jc w:val="center"/>
        </w:trPr>
        <w:tc>
          <w:tcPr>
            <w:tcW w:w="876" w:type="pct"/>
            <w:tcBorders>
              <w:top w:val="nil"/>
              <w:left w:val="nil"/>
              <w:bottom w:val="nil"/>
              <w:right w:val="nil"/>
            </w:tcBorders>
            <w:shd w:val="clear" w:color="auto" w:fill="FFFFFF"/>
            <w:tcMar>
              <w:top w:w="55" w:type="dxa"/>
              <w:left w:w="55" w:type="dxa"/>
              <w:bottom w:w="55" w:type="dxa"/>
              <w:right w:w="55" w:type="dxa"/>
            </w:tcMar>
            <w:vAlign w:val="center"/>
          </w:tcPr>
          <w:p w14:paraId="77BDD854">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slope</w:t>
            </w:r>
          </w:p>
        </w:tc>
        <w:tc>
          <w:tcPr>
            <w:tcW w:w="876" w:type="pct"/>
            <w:tcBorders>
              <w:top w:val="nil"/>
              <w:left w:val="nil"/>
              <w:bottom w:val="nil"/>
              <w:right w:val="nil"/>
            </w:tcBorders>
            <w:shd w:val="clear" w:color="auto" w:fill="FFFFFF"/>
            <w:tcMar>
              <w:top w:w="55" w:type="dxa"/>
              <w:left w:w="55" w:type="dxa"/>
              <w:bottom w:w="55" w:type="dxa"/>
              <w:right w:w="55" w:type="dxa"/>
            </w:tcMar>
            <w:vAlign w:val="center"/>
          </w:tcPr>
          <w:p w14:paraId="654E4C52">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slope + Hb + CRP joint model</w:t>
            </w:r>
          </w:p>
        </w:tc>
        <w:tc>
          <w:tcPr>
            <w:tcW w:w="1394" w:type="pct"/>
            <w:tcBorders>
              <w:top w:val="nil"/>
              <w:left w:val="nil"/>
              <w:bottom w:val="nil"/>
              <w:right w:val="nil"/>
            </w:tcBorders>
            <w:shd w:val="clear" w:color="auto" w:fill="FFFFFF"/>
            <w:tcMar>
              <w:top w:w="55" w:type="dxa"/>
              <w:left w:w="55" w:type="dxa"/>
              <w:bottom w:w="55" w:type="dxa"/>
              <w:right w:w="55" w:type="dxa"/>
            </w:tcMar>
            <w:vAlign w:val="center"/>
          </w:tcPr>
          <w:p w14:paraId="37B92B2F">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Dynamic iron metric main effect</w:t>
            </w:r>
          </w:p>
        </w:tc>
        <w:tc>
          <w:tcPr>
            <w:tcW w:w="1310" w:type="pct"/>
            <w:tcBorders>
              <w:top w:val="nil"/>
              <w:left w:val="nil"/>
              <w:bottom w:val="nil"/>
              <w:right w:val="nil"/>
            </w:tcBorders>
            <w:shd w:val="clear" w:color="auto" w:fill="FFFFFF"/>
            <w:tcMar>
              <w:top w:w="55" w:type="dxa"/>
              <w:left w:w="55" w:type="dxa"/>
              <w:bottom w:w="55" w:type="dxa"/>
              <w:right w:w="55" w:type="dxa"/>
            </w:tcMar>
            <w:vAlign w:val="center"/>
          </w:tcPr>
          <w:p w14:paraId="41485B2D">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0.096 (-0.224, 0.416)</w:t>
            </w:r>
          </w:p>
        </w:tc>
        <w:tc>
          <w:tcPr>
            <w:tcW w:w="542" w:type="pct"/>
            <w:tcBorders>
              <w:top w:val="nil"/>
              <w:left w:val="nil"/>
              <w:bottom w:val="nil"/>
              <w:right w:val="nil"/>
            </w:tcBorders>
            <w:shd w:val="clear" w:color="auto" w:fill="FFFFFF"/>
            <w:tcMar>
              <w:top w:w="55" w:type="dxa"/>
              <w:left w:w="55" w:type="dxa"/>
              <w:bottom w:w="55" w:type="dxa"/>
              <w:right w:w="55" w:type="dxa"/>
            </w:tcMar>
            <w:vAlign w:val="center"/>
          </w:tcPr>
          <w:p w14:paraId="0C256D80">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0.556</w:t>
            </w:r>
          </w:p>
        </w:tc>
      </w:tr>
      <w:tr w14:paraId="65924DED">
        <w:trPr>
          <w:trHeight w:val="193" w:hRule="atLeast"/>
          <w:jc w:val="center"/>
        </w:trPr>
        <w:tc>
          <w:tcPr>
            <w:tcW w:w="876" w:type="pct"/>
            <w:tcBorders>
              <w:top w:val="nil"/>
              <w:left w:val="nil"/>
              <w:bottom w:val="nil"/>
              <w:right w:val="nil"/>
            </w:tcBorders>
            <w:shd w:val="clear" w:color="auto" w:fill="FFFFFF"/>
            <w:tcMar>
              <w:top w:w="55" w:type="dxa"/>
              <w:left w:w="55" w:type="dxa"/>
              <w:bottom w:w="55" w:type="dxa"/>
              <w:right w:w="55" w:type="dxa"/>
            </w:tcMar>
            <w:vAlign w:val="center"/>
          </w:tcPr>
          <w:p w14:paraId="2E0EA5A5">
            <w:pPr>
              <w:spacing w:before="0" w:after="0" w:line="240" w:lineRule="auto"/>
              <w:jc w:val="both"/>
              <w:rPr>
                <w:rFonts w:hint="default" w:ascii="Times New Roman Regular" w:hAnsi="Times New Roman Regular" w:eastAsia="Times New Roman Regular" w:cs="Times New Roman Regular"/>
                <w:i w:val="0"/>
                <w:iCs w:val="0"/>
                <w:color w:val="000000"/>
                <w:sz w:val="22"/>
                <w:szCs w:val="22"/>
                <w:u w:val="none"/>
              </w:rPr>
            </w:pPr>
          </w:p>
        </w:tc>
        <w:tc>
          <w:tcPr>
            <w:tcW w:w="876" w:type="pct"/>
            <w:tcBorders>
              <w:top w:val="nil"/>
              <w:left w:val="nil"/>
              <w:bottom w:val="nil"/>
              <w:right w:val="nil"/>
            </w:tcBorders>
            <w:shd w:val="clear" w:color="auto" w:fill="FFFFFF"/>
            <w:tcMar>
              <w:top w:w="55" w:type="dxa"/>
              <w:left w:w="55" w:type="dxa"/>
              <w:bottom w:w="55" w:type="dxa"/>
              <w:right w:w="55" w:type="dxa"/>
            </w:tcMar>
            <w:vAlign w:val="center"/>
          </w:tcPr>
          <w:p w14:paraId="394E1788">
            <w:pPr>
              <w:spacing w:before="0" w:after="0" w:line="240" w:lineRule="auto"/>
              <w:jc w:val="both"/>
              <w:rPr>
                <w:rFonts w:hint="default" w:ascii="Times New Roman Regular" w:hAnsi="Times New Roman Regular" w:eastAsia="Times New Roman Regular" w:cs="Times New Roman Regular"/>
                <w:i w:val="0"/>
                <w:iCs w:val="0"/>
                <w:color w:val="000000"/>
                <w:sz w:val="22"/>
                <w:szCs w:val="22"/>
                <w:u w:val="none"/>
              </w:rPr>
            </w:pPr>
          </w:p>
        </w:tc>
        <w:tc>
          <w:tcPr>
            <w:tcW w:w="1394" w:type="pct"/>
            <w:tcBorders>
              <w:top w:val="nil"/>
              <w:left w:val="nil"/>
              <w:bottom w:val="nil"/>
              <w:right w:val="nil"/>
            </w:tcBorders>
            <w:shd w:val="clear" w:color="auto" w:fill="FFFFFF"/>
            <w:tcMar>
              <w:top w:w="55" w:type="dxa"/>
              <w:left w:w="55" w:type="dxa"/>
              <w:bottom w:w="55" w:type="dxa"/>
              <w:right w:w="55" w:type="dxa"/>
            </w:tcMar>
            <w:vAlign w:val="center"/>
          </w:tcPr>
          <w:p w14:paraId="4E6403A9">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Hemoglobin</w:t>
            </w:r>
          </w:p>
        </w:tc>
        <w:tc>
          <w:tcPr>
            <w:tcW w:w="1310" w:type="pct"/>
            <w:tcBorders>
              <w:top w:val="nil"/>
              <w:left w:val="nil"/>
              <w:bottom w:val="nil"/>
              <w:right w:val="nil"/>
            </w:tcBorders>
            <w:shd w:val="clear" w:color="auto" w:fill="FFFFFF"/>
            <w:tcMar>
              <w:top w:w="55" w:type="dxa"/>
              <w:left w:w="55" w:type="dxa"/>
              <w:bottom w:w="55" w:type="dxa"/>
              <w:right w:w="55" w:type="dxa"/>
            </w:tcMar>
            <w:vAlign w:val="center"/>
          </w:tcPr>
          <w:p w14:paraId="37B3901E">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-0.018 (-0.043, 0.007)</w:t>
            </w:r>
          </w:p>
        </w:tc>
        <w:tc>
          <w:tcPr>
            <w:tcW w:w="542" w:type="pct"/>
            <w:tcBorders>
              <w:top w:val="nil"/>
              <w:left w:val="nil"/>
              <w:bottom w:val="nil"/>
              <w:right w:val="nil"/>
            </w:tcBorders>
            <w:shd w:val="clear" w:color="auto" w:fill="FFFFFF"/>
            <w:tcMar>
              <w:top w:w="55" w:type="dxa"/>
              <w:left w:w="55" w:type="dxa"/>
              <w:bottom w:w="55" w:type="dxa"/>
              <w:right w:w="55" w:type="dxa"/>
            </w:tcMar>
            <w:vAlign w:val="center"/>
          </w:tcPr>
          <w:p w14:paraId="1B2E3514">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0.147</w:t>
            </w:r>
          </w:p>
        </w:tc>
      </w:tr>
      <w:tr w14:paraId="3441EBBA">
        <w:trPr>
          <w:trHeight w:val="193" w:hRule="atLeast"/>
          <w:jc w:val="center"/>
        </w:trPr>
        <w:tc>
          <w:tcPr>
            <w:tcW w:w="876" w:type="pct"/>
            <w:tcBorders>
              <w:top w:val="nil"/>
              <w:left w:val="nil"/>
              <w:bottom w:val="nil"/>
              <w:right w:val="nil"/>
            </w:tcBorders>
            <w:shd w:val="clear" w:color="auto" w:fill="FFFFFF"/>
            <w:tcMar>
              <w:top w:w="55" w:type="dxa"/>
              <w:left w:w="55" w:type="dxa"/>
              <w:bottom w:w="55" w:type="dxa"/>
              <w:right w:w="55" w:type="dxa"/>
            </w:tcMar>
            <w:vAlign w:val="center"/>
          </w:tcPr>
          <w:p w14:paraId="618A45FF">
            <w:pPr>
              <w:spacing w:before="0" w:after="0" w:line="240" w:lineRule="auto"/>
              <w:jc w:val="both"/>
              <w:rPr>
                <w:rFonts w:hint="default" w:ascii="Times New Roman Regular" w:hAnsi="Times New Roman Regular" w:eastAsia="Times New Roman Regular" w:cs="Times New Roman Regular"/>
                <w:i w:val="0"/>
                <w:iCs w:val="0"/>
                <w:color w:val="000000"/>
                <w:sz w:val="22"/>
                <w:szCs w:val="22"/>
                <w:u w:val="none"/>
              </w:rPr>
            </w:pPr>
          </w:p>
        </w:tc>
        <w:tc>
          <w:tcPr>
            <w:tcW w:w="876" w:type="pct"/>
            <w:tcBorders>
              <w:top w:val="nil"/>
              <w:left w:val="nil"/>
              <w:bottom w:val="nil"/>
              <w:right w:val="nil"/>
            </w:tcBorders>
            <w:shd w:val="clear" w:color="auto" w:fill="FFFFFF"/>
            <w:tcMar>
              <w:top w:w="55" w:type="dxa"/>
              <w:left w:w="55" w:type="dxa"/>
              <w:bottom w:w="55" w:type="dxa"/>
              <w:right w:w="55" w:type="dxa"/>
            </w:tcMar>
            <w:vAlign w:val="center"/>
          </w:tcPr>
          <w:p w14:paraId="42DC2C7A">
            <w:pPr>
              <w:spacing w:before="0" w:after="0" w:line="240" w:lineRule="auto"/>
              <w:jc w:val="both"/>
              <w:rPr>
                <w:rFonts w:hint="default" w:ascii="Times New Roman Regular" w:hAnsi="Times New Roman Regular" w:eastAsia="Times New Roman Regular" w:cs="Times New Roman Regular"/>
                <w:i w:val="0"/>
                <w:iCs w:val="0"/>
                <w:color w:val="000000"/>
                <w:sz w:val="22"/>
                <w:szCs w:val="22"/>
                <w:u w:val="none"/>
              </w:rPr>
            </w:pPr>
          </w:p>
        </w:tc>
        <w:tc>
          <w:tcPr>
            <w:tcW w:w="1394" w:type="pct"/>
            <w:tcBorders>
              <w:top w:val="nil"/>
              <w:left w:val="nil"/>
              <w:bottom w:val="nil"/>
              <w:right w:val="nil"/>
            </w:tcBorders>
            <w:shd w:val="clear" w:color="auto" w:fill="FFFFFF"/>
            <w:tcMar>
              <w:top w:w="55" w:type="dxa"/>
              <w:left w:w="55" w:type="dxa"/>
              <w:bottom w:w="55" w:type="dxa"/>
              <w:right w:w="55" w:type="dxa"/>
            </w:tcMar>
            <w:vAlign w:val="center"/>
          </w:tcPr>
          <w:p w14:paraId="05C5C100">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Inflammation (log CRP)</w:t>
            </w:r>
          </w:p>
        </w:tc>
        <w:tc>
          <w:tcPr>
            <w:tcW w:w="1310" w:type="pct"/>
            <w:tcBorders>
              <w:top w:val="nil"/>
              <w:left w:val="nil"/>
              <w:bottom w:val="nil"/>
              <w:right w:val="nil"/>
            </w:tcBorders>
            <w:shd w:val="clear" w:color="auto" w:fill="FFFFFF"/>
            <w:tcMar>
              <w:top w:w="55" w:type="dxa"/>
              <w:left w:w="55" w:type="dxa"/>
              <w:bottom w:w="55" w:type="dxa"/>
              <w:right w:w="55" w:type="dxa"/>
            </w:tcMar>
            <w:vAlign w:val="center"/>
          </w:tcPr>
          <w:p w14:paraId="68EF2664">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-0.050 (-0.073, -0.027)</w:t>
            </w:r>
          </w:p>
        </w:tc>
        <w:tc>
          <w:tcPr>
            <w:tcW w:w="542" w:type="pct"/>
            <w:tcBorders>
              <w:top w:val="nil"/>
              <w:left w:val="nil"/>
              <w:bottom w:val="nil"/>
              <w:right w:val="nil"/>
            </w:tcBorders>
            <w:shd w:val="clear" w:color="auto" w:fill="FFFFFF"/>
            <w:tcMar>
              <w:top w:w="55" w:type="dxa"/>
              <w:left w:w="55" w:type="dxa"/>
              <w:bottom w:w="55" w:type="dxa"/>
              <w:right w:w="55" w:type="dxa"/>
            </w:tcMar>
            <w:vAlign w:val="center"/>
          </w:tcPr>
          <w:p w14:paraId="02A5675B">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&lt;0.001</w:t>
            </w:r>
          </w:p>
        </w:tc>
      </w:tr>
      <w:tr w14:paraId="6790F3C6">
        <w:trPr>
          <w:trHeight w:val="193" w:hRule="atLeast"/>
          <w:jc w:val="center"/>
        </w:trPr>
        <w:tc>
          <w:tcPr>
            <w:tcW w:w="876" w:type="pct"/>
            <w:tcBorders>
              <w:top w:val="nil"/>
              <w:left w:val="nil"/>
              <w:bottom w:val="nil"/>
              <w:right w:val="nil"/>
            </w:tcBorders>
            <w:shd w:val="clear" w:color="auto" w:fill="FFFFFF"/>
            <w:tcMar>
              <w:top w:w="55" w:type="dxa"/>
              <w:left w:w="55" w:type="dxa"/>
              <w:bottom w:w="55" w:type="dxa"/>
              <w:right w:w="55" w:type="dxa"/>
            </w:tcMar>
            <w:vAlign w:val="center"/>
          </w:tcPr>
          <w:p w14:paraId="12AA8525">
            <w:pPr>
              <w:spacing w:before="0" w:after="0" w:line="240" w:lineRule="auto"/>
              <w:jc w:val="both"/>
              <w:rPr>
                <w:rFonts w:hint="default" w:ascii="Times New Roman Regular" w:hAnsi="Times New Roman Regular" w:eastAsia="Times New Roman Regular" w:cs="Times New Roman Regular"/>
                <w:i w:val="0"/>
                <w:iCs w:val="0"/>
                <w:color w:val="000000"/>
                <w:sz w:val="22"/>
                <w:szCs w:val="22"/>
                <w:u w:val="none"/>
              </w:rPr>
            </w:pPr>
          </w:p>
        </w:tc>
        <w:tc>
          <w:tcPr>
            <w:tcW w:w="876" w:type="pct"/>
            <w:tcBorders>
              <w:top w:val="nil"/>
              <w:left w:val="nil"/>
              <w:bottom w:val="nil"/>
              <w:right w:val="nil"/>
            </w:tcBorders>
            <w:shd w:val="clear" w:color="auto" w:fill="FFFFFF"/>
            <w:tcMar>
              <w:top w:w="55" w:type="dxa"/>
              <w:left w:w="55" w:type="dxa"/>
              <w:bottom w:w="55" w:type="dxa"/>
              <w:right w:w="55" w:type="dxa"/>
            </w:tcMar>
            <w:vAlign w:val="center"/>
          </w:tcPr>
          <w:p w14:paraId="3676021A">
            <w:pPr>
              <w:spacing w:before="0" w:after="0" w:line="240" w:lineRule="auto"/>
              <w:jc w:val="both"/>
              <w:rPr>
                <w:rFonts w:hint="default" w:ascii="Times New Roman Regular" w:hAnsi="Times New Roman Regular" w:eastAsia="Times New Roman Regular" w:cs="Times New Roman Regular"/>
                <w:i w:val="0"/>
                <w:iCs w:val="0"/>
                <w:color w:val="000000"/>
                <w:sz w:val="22"/>
                <w:szCs w:val="22"/>
                <w:u w:val="none"/>
              </w:rPr>
            </w:pPr>
          </w:p>
        </w:tc>
        <w:tc>
          <w:tcPr>
            <w:tcW w:w="1394" w:type="pct"/>
            <w:tcBorders>
              <w:top w:val="nil"/>
              <w:left w:val="nil"/>
              <w:bottom w:val="nil"/>
              <w:right w:val="nil"/>
            </w:tcBorders>
            <w:shd w:val="clear" w:color="auto" w:fill="FFFFFF"/>
            <w:tcMar>
              <w:top w:w="55" w:type="dxa"/>
              <w:left w:w="55" w:type="dxa"/>
              <w:bottom w:w="55" w:type="dxa"/>
              <w:right w:w="55" w:type="dxa"/>
            </w:tcMar>
            <w:vAlign w:val="center"/>
          </w:tcPr>
          <w:p w14:paraId="725418D8">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Dynamic iron metric × time</w:t>
            </w:r>
          </w:p>
        </w:tc>
        <w:tc>
          <w:tcPr>
            <w:tcW w:w="1310" w:type="pct"/>
            <w:tcBorders>
              <w:top w:val="nil"/>
              <w:left w:val="nil"/>
              <w:bottom w:val="nil"/>
              <w:right w:val="nil"/>
            </w:tcBorders>
            <w:shd w:val="clear" w:color="auto" w:fill="FFFFFF"/>
            <w:tcMar>
              <w:top w:w="55" w:type="dxa"/>
              <w:left w:w="55" w:type="dxa"/>
              <w:bottom w:w="55" w:type="dxa"/>
              <w:right w:w="55" w:type="dxa"/>
            </w:tcMar>
            <w:vAlign w:val="center"/>
          </w:tcPr>
          <w:p w14:paraId="155C60EF">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-0.005 (-0.049, 0.038)</w:t>
            </w:r>
          </w:p>
        </w:tc>
        <w:tc>
          <w:tcPr>
            <w:tcW w:w="542" w:type="pct"/>
            <w:tcBorders>
              <w:top w:val="nil"/>
              <w:left w:val="nil"/>
              <w:bottom w:val="nil"/>
              <w:right w:val="nil"/>
            </w:tcBorders>
            <w:shd w:val="clear" w:color="auto" w:fill="FFFFFF"/>
            <w:tcMar>
              <w:top w:w="55" w:type="dxa"/>
              <w:left w:w="55" w:type="dxa"/>
              <w:bottom w:w="55" w:type="dxa"/>
              <w:right w:w="55" w:type="dxa"/>
            </w:tcMar>
            <w:vAlign w:val="center"/>
          </w:tcPr>
          <w:p w14:paraId="469C7851">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0.808</w:t>
            </w:r>
          </w:p>
        </w:tc>
      </w:tr>
      <w:tr w14:paraId="01C11216">
        <w:trPr>
          <w:trHeight w:val="193" w:hRule="atLeast"/>
          <w:jc w:val="center"/>
        </w:trPr>
        <w:tc>
          <w:tcPr>
            <w:tcW w:w="876" w:type="pct"/>
            <w:tcBorders>
              <w:top w:val="nil"/>
              <w:left w:val="nil"/>
              <w:bottom w:val="nil"/>
              <w:right w:val="nil"/>
            </w:tcBorders>
            <w:shd w:val="clear" w:color="auto" w:fill="FFFFFF"/>
            <w:tcMar>
              <w:top w:w="55" w:type="dxa"/>
              <w:left w:w="55" w:type="dxa"/>
              <w:bottom w:w="55" w:type="dxa"/>
              <w:right w:w="55" w:type="dxa"/>
            </w:tcMar>
            <w:vAlign w:val="center"/>
          </w:tcPr>
          <w:p w14:paraId="3F049B9F">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Persistent low ferritin</w:t>
            </w:r>
          </w:p>
        </w:tc>
        <w:tc>
          <w:tcPr>
            <w:tcW w:w="876" w:type="pct"/>
            <w:tcBorders>
              <w:top w:val="nil"/>
              <w:left w:val="nil"/>
              <w:bottom w:val="nil"/>
              <w:right w:val="nil"/>
            </w:tcBorders>
            <w:shd w:val="clear" w:color="auto" w:fill="FFFFFF"/>
            <w:tcMar>
              <w:top w:w="55" w:type="dxa"/>
              <w:left w:w="55" w:type="dxa"/>
              <w:bottom w:w="55" w:type="dxa"/>
              <w:right w:w="55" w:type="dxa"/>
            </w:tcMar>
            <w:vAlign w:val="center"/>
          </w:tcPr>
          <w:p w14:paraId="6613BC5D">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Persistent low ferritin + Hb + CRP joint model</w:t>
            </w:r>
          </w:p>
        </w:tc>
        <w:tc>
          <w:tcPr>
            <w:tcW w:w="1394" w:type="pct"/>
            <w:tcBorders>
              <w:top w:val="nil"/>
              <w:left w:val="nil"/>
              <w:bottom w:val="nil"/>
              <w:right w:val="nil"/>
            </w:tcBorders>
            <w:shd w:val="clear" w:color="auto" w:fill="FFFFFF"/>
            <w:tcMar>
              <w:top w:w="55" w:type="dxa"/>
              <w:left w:w="55" w:type="dxa"/>
              <w:bottom w:w="55" w:type="dxa"/>
              <w:right w:w="55" w:type="dxa"/>
            </w:tcMar>
            <w:vAlign w:val="center"/>
          </w:tcPr>
          <w:p w14:paraId="280D7379">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Dynamic iron metric main effect</w:t>
            </w:r>
          </w:p>
        </w:tc>
        <w:tc>
          <w:tcPr>
            <w:tcW w:w="1310" w:type="pct"/>
            <w:tcBorders>
              <w:top w:val="nil"/>
              <w:left w:val="nil"/>
              <w:bottom w:val="nil"/>
              <w:right w:val="nil"/>
            </w:tcBorders>
            <w:shd w:val="clear" w:color="auto" w:fill="FFFFFF"/>
            <w:tcMar>
              <w:top w:w="55" w:type="dxa"/>
              <w:left w:w="55" w:type="dxa"/>
              <w:bottom w:w="55" w:type="dxa"/>
              <w:right w:w="55" w:type="dxa"/>
            </w:tcMar>
            <w:vAlign w:val="center"/>
          </w:tcPr>
          <w:p w14:paraId="18930675">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-0.032 (-0.204, 0.140)</w:t>
            </w:r>
          </w:p>
        </w:tc>
        <w:tc>
          <w:tcPr>
            <w:tcW w:w="542" w:type="pct"/>
            <w:tcBorders>
              <w:top w:val="nil"/>
              <w:left w:val="nil"/>
              <w:bottom w:val="nil"/>
              <w:right w:val="nil"/>
            </w:tcBorders>
            <w:shd w:val="clear" w:color="auto" w:fill="FFFFFF"/>
            <w:tcMar>
              <w:top w:w="55" w:type="dxa"/>
              <w:left w:w="55" w:type="dxa"/>
              <w:bottom w:w="55" w:type="dxa"/>
              <w:right w:w="55" w:type="dxa"/>
            </w:tcMar>
            <w:vAlign w:val="center"/>
          </w:tcPr>
          <w:p w14:paraId="161D1E88">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0.716</w:t>
            </w:r>
          </w:p>
        </w:tc>
      </w:tr>
      <w:tr w14:paraId="5E5BE950">
        <w:trPr>
          <w:trHeight w:val="193" w:hRule="atLeast"/>
          <w:jc w:val="center"/>
        </w:trPr>
        <w:tc>
          <w:tcPr>
            <w:tcW w:w="876" w:type="pct"/>
            <w:tcBorders>
              <w:top w:val="nil"/>
              <w:left w:val="nil"/>
              <w:bottom w:val="nil"/>
              <w:right w:val="nil"/>
            </w:tcBorders>
            <w:shd w:val="clear" w:color="auto" w:fill="FFFFFF"/>
            <w:tcMar>
              <w:top w:w="55" w:type="dxa"/>
              <w:left w:w="55" w:type="dxa"/>
              <w:bottom w:w="55" w:type="dxa"/>
              <w:right w:w="55" w:type="dxa"/>
            </w:tcMar>
            <w:vAlign w:val="center"/>
          </w:tcPr>
          <w:p w14:paraId="6D844C40">
            <w:pPr>
              <w:spacing w:before="0" w:after="0" w:line="240" w:lineRule="auto"/>
              <w:jc w:val="both"/>
              <w:rPr>
                <w:rFonts w:hint="default" w:ascii="Times New Roman Regular" w:hAnsi="Times New Roman Regular" w:eastAsia="Times New Roman Regular" w:cs="Times New Roman Regular"/>
                <w:i w:val="0"/>
                <w:iCs w:val="0"/>
                <w:color w:val="000000"/>
                <w:sz w:val="22"/>
                <w:szCs w:val="22"/>
                <w:u w:val="none"/>
              </w:rPr>
            </w:pPr>
          </w:p>
        </w:tc>
        <w:tc>
          <w:tcPr>
            <w:tcW w:w="876" w:type="pct"/>
            <w:tcBorders>
              <w:top w:val="nil"/>
              <w:left w:val="nil"/>
              <w:bottom w:val="nil"/>
              <w:right w:val="nil"/>
            </w:tcBorders>
            <w:shd w:val="clear" w:color="auto" w:fill="FFFFFF"/>
            <w:tcMar>
              <w:top w:w="55" w:type="dxa"/>
              <w:left w:w="55" w:type="dxa"/>
              <w:bottom w:w="55" w:type="dxa"/>
              <w:right w:w="55" w:type="dxa"/>
            </w:tcMar>
            <w:vAlign w:val="center"/>
          </w:tcPr>
          <w:p w14:paraId="1D3187CD">
            <w:pPr>
              <w:spacing w:before="0" w:after="0" w:line="240" w:lineRule="auto"/>
              <w:jc w:val="both"/>
              <w:rPr>
                <w:rFonts w:hint="default" w:ascii="Times New Roman Regular" w:hAnsi="Times New Roman Regular" w:eastAsia="Times New Roman Regular" w:cs="Times New Roman Regular"/>
                <w:i w:val="0"/>
                <w:iCs w:val="0"/>
                <w:color w:val="000000"/>
                <w:sz w:val="22"/>
                <w:szCs w:val="22"/>
                <w:u w:val="none"/>
              </w:rPr>
            </w:pPr>
          </w:p>
        </w:tc>
        <w:tc>
          <w:tcPr>
            <w:tcW w:w="1394" w:type="pct"/>
            <w:tcBorders>
              <w:top w:val="nil"/>
              <w:left w:val="nil"/>
              <w:bottom w:val="nil"/>
              <w:right w:val="nil"/>
            </w:tcBorders>
            <w:shd w:val="clear" w:color="auto" w:fill="FFFFFF"/>
            <w:tcMar>
              <w:top w:w="55" w:type="dxa"/>
              <w:left w:w="55" w:type="dxa"/>
              <w:bottom w:w="55" w:type="dxa"/>
              <w:right w:w="55" w:type="dxa"/>
            </w:tcMar>
            <w:vAlign w:val="center"/>
          </w:tcPr>
          <w:p w14:paraId="28843616">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Hemoglobin</w:t>
            </w:r>
          </w:p>
        </w:tc>
        <w:tc>
          <w:tcPr>
            <w:tcW w:w="1310" w:type="pct"/>
            <w:tcBorders>
              <w:top w:val="nil"/>
              <w:left w:val="nil"/>
              <w:bottom w:val="nil"/>
              <w:right w:val="nil"/>
            </w:tcBorders>
            <w:shd w:val="clear" w:color="auto" w:fill="FFFFFF"/>
            <w:tcMar>
              <w:top w:w="55" w:type="dxa"/>
              <w:left w:w="55" w:type="dxa"/>
              <w:bottom w:w="55" w:type="dxa"/>
              <w:right w:w="55" w:type="dxa"/>
            </w:tcMar>
            <w:vAlign w:val="center"/>
          </w:tcPr>
          <w:p w14:paraId="41B12D86">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-0.015 (-0.038, 0.008)</w:t>
            </w:r>
          </w:p>
        </w:tc>
        <w:tc>
          <w:tcPr>
            <w:tcW w:w="542" w:type="pct"/>
            <w:tcBorders>
              <w:top w:val="nil"/>
              <w:left w:val="nil"/>
              <w:bottom w:val="nil"/>
              <w:right w:val="nil"/>
            </w:tcBorders>
            <w:shd w:val="clear" w:color="auto" w:fill="FFFFFF"/>
            <w:tcMar>
              <w:top w:w="55" w:type="dxa"/>
              <w:left w:w="55" w:type="dxa"/>
              <w:bottom w:w="55" w:type="dxa"/>
              <w:right w:w="55" w:type="dxa"/>
            </w:tcMar>
            <w:vAlign w:val="center"/>
          </w:tcPr>
          <w:p w14:paraId="724C24AD">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0.206</w:t>
            </w:r>
          </w:p>
        </w:tc>
      </w:tr>
      <w:tr w14:paraId="0EB35005">
        <w:trPr>
          <w:trHeight w:val="193" w:hRule="atLeast"/>
          <w:jc w:val="center"/>
        </w:trPr>
        <w:tc>
          <w:tcPr>
            <w:tcW w:w="876" w:type="pct"/>
            <w:tcBorders>
              <w:top w:val="nil"/>
              <w:left w:val="nil"/>
              <w:bottom w:val="nil"/>
              <w:right w:val="nil"/>
            </w:tcBorders>
            <w:shd w:val="clear" w:color="auto" w:fill="FFFFFF"/>
            <w:tcMar>
              <w:top w:w="55" w:type="dxa"/>
              <w:left w:w="55" w:type="dxa"/>
              <w:bottom w:w="55" w:type="dxa"/>
              <w:right w:w="55" w:type="dxa"/>
            </w:tcMar>
            <w:vAlign w:val="center"/>
          </w:tcPr>
          <w:p w14:paraId="69E51B78">
            <w:pPr>
              <w:spacing w:before="0" w:after="0" w:line="240" w:lineRule="auto"/>
              <w:jc w:val="both"/>
              <w:rPr>
                <w:rFonts w:hint="default" w:ascii="Times New Roman Regular" w:hAnsi="Times New Roman Regular" w:eastAsia="Times New Roman Regular" w:cs="Times New Roman Regular"/>
                <w:i w:val="0"/>
                <w:iCs w:val="0"/>
                <w:color w:val="000000"/>
                <w:sz w:val="22"/>
                <w:szCs w:val="22"/>
                <w:u w:val="none"/>
              </w:rPr>
            </w:pPr>
          </w:p>
        </w:tc>
        <w:tc>
          <w:tcPr>
            <w:tcW w:w="876" w:type="pct"/>
            <w:tcBorders>
              <w:top w:val="nil"/>
              <w:left w:val="nil"/>
              <w:bottom w:val="nil"/>
              <w:right w:val="nil"/>
            </w:tcBorders>
            <w:shd w:val="clear" w:color="auto" w:fill="FFFFFF"/>
            <w:tcMar>
              <w:top w:w="55" w:type="dxa"/>
              <w:left w:w="55" w:type="dxa"/>
              <w:bottom w:w="55" w:type="dxa"/>
              <w:right w:w="55" w:type="dxa"/>
            </w:tcMar>
            <w:vAlign w:val="center"/>
          </w:tcPr>
          <w:p w14:paraId="65334697">
            <w:pPr>
              <w:spacing w:before="0" w:after="0" w:line="240" w:lineRule="auto"/>
              <w:jc w:val="both"/>
              <w:rPr>
                <w:rFonts w:hint="default" w:ascii="Times New Roman Regular" w:hAnsi="Times New Roman Regular" w:eastAsia="Times New Roman Regular" w:cs="Times New Roman Regular"/>
                <w:i w:val="0"/>
                <w:iCs w:val="0"/>
                <w:color w:val="000000"/>
                <w:sz w:val="22"/>
                <w:szCs w:val="22"/>
                <w:u w:val="none"/>
              </w:rPr>
            </w:pPr>
          </w:p>
        </w:tc>
        <w:tc>
          <w:tcPr>
            <w:tcW w:w="1394" w:type="pct"/>
            <w:tcBorders>
              <w:top w:val="nil"/>
              <w:left w:val="nil"/>
              <w:bottom w:val="nil"/>
              <w:right w:val="nil"/>
            </w:tcBorders>
            <w:shd w:val="clear" w:color="auto" w:fill="FFFFFF"/>
            <w:tcMar>
              <w:top w:w="55" w:type="dxa"/>
              <w:left w:w="55" w:type="dxa"/>
              <w:bottom w:w="55" w:type="dxa"/>
              <w:right w:w="55" w:type="dxa"/>
            </w:tcMar>
            <w:vAlign w:val="center"/>
          </w:tcPr>
          <w:p w14:paraId="77E72044">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Inflammation (log CRP)</w:t>
            </w:r>
          </w:p>
        </w:tc>
        <w:tc>
          <w:tcPr>
            <w:tcW w:w="1310" w:type="pct"/>
            <w:tcBorders>
              <w:top w:val="nil"/>
              <w:left w:val="nil"/>
              <w:bottom w:val="nil"/>
              <w:right w:val="nil"/>
            </w:tcBorders>
            <w:shd w:val="clear" w:color="auto" w:fill="FFFFFF"/>
            <w:tcMar>
              <w:top w:w="55" w:type="dxa"/>
              <w:left w:w="55" w:type="dxa"/>
              <w:bottom w:w="55" w:type="dxa"/>
              <w:right w:w="55" w:type="dxa"/>
            </w:tcMar>
            <w:vAlign w:val="center"/>
          </w:tcPr>
          <w:p w14:paraId="44C809F8">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-0.060 (-0.081, -0.039)</w:t>
            </w:r>
          </w:p>
        </w:tc>
        <w:tc>
          <w:tcPr>
            <w:tcW w:w="542" w:type="pct"/>
            <w:tcBorders>
              <w:top w:val="nil"/>
              <w:left w:val="nil"/>
              <w:bottom w:val="nil"/>
              <w:right w:val="nil"/>
            </w:tcBorders>
            <w:shd w:val="clear" w:color="auto" w:fill="FFFFFF"/>
            <w:tcMar>
              <w:top w:w="55" w:type="dxa"/>
              <w:left w:w="55" w:type="dxa"/>
              <w:bottom w:w="55" w:type="dxa"/>
              <w:right w:w="55" w:type="dxa"/>
            </w:tcMar>
            <w:vAlign w:val="center"/>
          </w:tcPr>
          <w:p w14:paraId="0E2C1B87">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&lt;0.001</w:t>
            </w:r>
          </w:p>
        </w:tc>
      </w:tr>
      <w:tr w14:paraId="0F155576">
        <w:trPr>
          <w:trHeight w:val="193" w:hRule="atLeast"/>
          <w:jc w:val="center"/>
        </w:trPr>
        <w:tc>
          <w:tcPr>
            <w:tcW w:w="876"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2555829">
            <w:pPr>
              <w:spacing w:before="0" w:after="0" w:line="240" w:lineRule="auto"/>
              <w:jc w:val="both"/>
              <w:rPr>
                <w:rFonts w:hint="default" w:ascii="Times New Roman Regular" w:hAnsi="Times New Roman Regular" w:eastAsia="Times New Roman Regular" w:cs="Times New Roman Regular"/>
                <w:i w:val="0"/>
                <w:iCs w:val="0"/>
                <w:color w:val="000000"/>
                <w:sz w:val="22"/>
                <w:szCs w:val="22"/>
                <w:u w:val="none"/>
              </w:rPr>
            </w:pPr>
          </w:p>
        </w:tc>
        <w:tc>
          <w:tcPr>
            <w:tcW w:w="876"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8F4EA8F">
            <w:pPr>
              <w:spacing w:before="0" w:after="0" w:line="240" w:lineRule="auto"/>
              <w:jc w:val="both"/>
              <w:rPr>
                <w:rFonts w:hint="default" w:ascii="Times New Roman Regular" w:hAnsi="Times New Roman Regular" w:eastAsia="Times New Roman Regular" w:cs="Times New Roman Regular"/>
                <w:i w:val="0"/>
                <w:iCs w:val="0"/>
                <w:color w:val="000000"/>
                <w:sz w:val="22"/>
                <w:szCs w:val="22"/>
                <w:u w:val="none"/>
              </w:rPr>
            </w:pPr>
          </w:p>
        </w:tc>
        <w:tc>
          <w:tcPr>
            <w:tcW w:w="1394"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493365D">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Dynamic iron metric × time</w:t>
            </w:r>
          </w:p>
        </w:tc>
        <w:tc>
          <w:tcPr>
            <w:tcW w:w="131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DE1C73F">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-0.010 (-0.027, 0.007)</w:t>
            </w:r>
          </w:p>
        </w:tc>
        <w:tc>
          <w:tcPr>
            <w:tcW w:w="542"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45D0595">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0.237</w:t>
            </w:r>
          </w:p>
        </w:tc>
      </w:tr>
    </w:tbl>
    <w:p w14:paraId="246036BA">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sz w:val="20"/>
          <w:szCs w:val="22"/>
          <w:lang w:val="en-US" w:eastAsia="zh-CN"/>
        </w:rPr>
        <w:t xml:space="preserve">Regression coefficients (β), 95% confidence intervals (CIs), and P values are shown from full joint linear mixed-effects models examining the associations of dynamic iron-related measures with repeated forced expiratory volume in 1 second (FEV₁) after simultaneous adjustment for hemoglobin (Hb) and log-transformed C-reactive protein (CRP). Separate models were fitted for the iron fragility index (IFI), ferritin coefficient of variation (CV), ferritin slope, and persistent low ferritin, as applicable. Reported estimates include the main effect of the dynamic iron-related measure, Hb, log(CRP), and the corresponding dynamic iron metric × time interaction term. Models were adjusted for age, sex, smoking status, body mass index (BMI), Hb, and log(CRP), with participant-level random intercepts to account for repeated measurements. This table is provided as the full supplementary counterpart to the key joint-model results shown in the main text. </w:t>
      </w:r>
    </w:p>
    <w:p w14:paraId="0F3F888B">
      <w:pPr>
        <w:spacing w:before="0" w:after="0" w:line="240" w:lineRule="auto"/>
        <w:rPr>
          <w:rFonts w:hint="default" w:ascii="Times New Roman Regular" w:hAnsi="Times New Roman Regular" w:cs="Times New Roman Regular"/>
          <w:sz w:val="22"/>
          <w:szCs w:val="22"/>
          <w:lang w:val="en-US" w:eastAsia="zh-CN"/>
        </w:rPr>
      </w:pPr>
      <w:r>
        <w:rPr>
          <w:rFonts w:hint="default" w:ascii="Times New Roman Regular" w:hAnsi="Times New Roman Regular" w:cs="Times New Roman Regular"/>
          <w:sz w:val="22"/>
          <w:szCs w:val="22"/>
          <w:lang w:val="en-US" w:eastAsia="zh-CN"/>
        </w:rPr>
        <w:br w:type="page"/>
      </w:r>
    </w:p>
    <w:p w14:paraId="130C328F">
      <w:pPr>
        <w:pStyle w:val="2"/>
        <w:keepNext/>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S67. Comparison of associations with repeated FEV₁ before and after additional adjustment for hemoglobin and C-reactive protein</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19"/>
        <w:gridCol w:w="3665"/>
        <w:gridCol w:w="4254"/>
        <w:gridCol w:w="1828"/>
      </w:tblGrid>
      <w:tr w14:paraId="237E21CB">
        <w:trPr>
          <w:trHeight w:val="193" w:hRule="atLeast"/>
          <w:tblHeader/>
          <w:jc w:val="center"/>
        </w:trPr>
        <w:tc>
          <w:tcPr>
            <w:tcW w:w="1607"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8EADDD2">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Exposure</w:t>
            </w:r>
          </w:p>
        </w:tc>
        <w:tc>
          <w:tcPr>
            <w:tcW w:w="1275"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4A6ED8B">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Model</w:t>
            </w:r>
          </w:p>
        </w:tc>
        <w:tc>
          <w:tcPr>
            <w:tcW w:w="148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D01B243">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β (95% CI)</w:t>
            </w:r>
          </w:p>
        </w:tc>
        <w:tc>
          <w:tcPr>
            <w:tcW w:w="636"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CC77C9A">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31145ED2">
        <w:trPr>
          <w:trHeight w:val="193" w:hRule="atLeast"/>
          <w:jc w:val="center"/>
        </w:trPr>
        <w:tc>
          <w:tcPr>
            <w:tcW w:w="1607"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1579AF1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Iron fragility index</w:t>
            </w:r>
          </w:p>
        </w:tc>
        <w:tc>
          <w:tcPr>
            <w:tcW w:w="1275"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13EAB8C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Without Hb/CRP</w:t>
            </w:r>
          </w:p>
        </w:tc>
        <w:tc>
          <w:tcPr>
            <w:tcW w:w="148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FCE36F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-0.033 (-0.058, -0.008)</w:t>
            </w:r>
          </w:p>
        </w:tc>
        <w:tc>
          <w:tcPr>
            <w:tcW w:w="636"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935437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0.009</w:t>
            </w:r>
          </w:p>
        </w:tc>
      </w:tr>
      <w:tr w14:paraId="41B1D948">
        <w:trPr>
          <w:trHeight w:val="193" w:hRule="atLeast"/>
          <w:jc w:val="center"/>
        </w:trPr>
        <w:tc>
          <w:tcPr>
            <w:tcW w:w="1607" w:type="pct"/>
            <w:tcBorders>
              <w:top w:val="nil"/>
              <w:left w:val="nil"/>
              <w:bottom w:val="nil"/>
              <w:right w:val="nil"/>
            </w:tcBorders>
            <w:shd w:val="clear" w:color="auto" w:fill="FFFFFF"/>
            <w:tcMar>
              <w:top w:w="55" w:type="dxa"/>
              <w:left w:w="55" w:type="dxa"/>
              <w:bottom w:w="55" w:type="dxa"/>
              <w:right w:w="55" w:type="dxa"/>
            </w:tcMar>
            <w:vAlign w:val="center"/>
          </w:tcPr>
          <w:p w14:paraId="002B1178">
            <w:pPr>
              <w:spacing w:before="0" w:after="0" w:line="240" w:lineRule="auto"/>
              <w:jc w:val="both"/>
              <w:rPr>
                <w:rFonts w:hint="default" w:ascii="Times New Roman Regular" w:hAnsi="Times New Roman Regular" w:eastAsia="Times New Roman Regular" w:cs="Times New Roman Regular"/>
                <w:i w:val="0"/>
                <w:iCs w:val="0"/>
                <w:color w:val="000000"/>
                <w:sz w:val="22"/>
                <w:szCs w:val="22"/>
                <w:u w:val="none"/>
              </w:rPr>
            </w:pPr>
          </w:p>
        </w:tc>
        <w:tc>
          <w:tcPr>
            <w:tcW w:w="1275" w:type="pct"/>
            <w:tcBorders>
              <w:top w:val="nil"/>
              <w:left w:val="nil"/>
              <w:bottom w:val="nil"/>
              <w:right w:val="nil"/>
            </w:tcBorders>
            <w:shd w:val="clear" w:color="auto" w:fill="FFFFFF"/>
            <w:tcMar>
              <w:top w:w="55" w:type="dxa"/>
              <w:left w:w="55" w:type="dxa"/>
              <w:bottom w:w="55" w:type="dxa"/>
              <w:right w:w="55" w:type="dxa"/>
            </w:tcMar>
            <w:vAlign w:val="center"/>
          </w:tcPr>
          <w:p w14:paraId="6353E34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With Hb/CRP</w:t>
            </w:r>
          </w:p>
        </w:tc>
        <w:tc>
          <w:tcPr>
            <w:tcW w:w="1480" w:type="pct"/>
            <w:tcBorders>
              <w:top w:val="nil"/>
              <w:left w:val="nil"/>
              <w:bottom w:val="nil"/>
              <w:right w:val="nil"/>
            </w:tcBorders>
            <w:shd w:val="clear" w:color="auto" w:fill="FFFFFF"/>
            <w:tcMar>
              <w:top w:w="55" w:type="dxa"/>
              <w:left w:w="55" w:type="dxa"/>
              <w:bottom w:w="55" w:type="dxa"/>
              <w:right w:w="55" w:type="dxa"/>
            </w:tcMar>
            <w:vAlign w:val="center"/>
          </w:tcPr>
          <w:p w14:paraId="3DEE108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-0.028 (-0.053, -0.004)</w:t>
            </w:r>
          </w:p>
        </w:tc>
        <w:tc>
          <w:tcPr>
            <w:tcW w:w="636" w:type="pct"/>
            <w:tcBorders>
              <w:top w:val="nil"/>
              <w:left w:val="nil"/>
              <w:bottom w:val="nil"/>
              <w:right w:val="nil"/>
            </w:tcBorders>
            <w:shd w:val="clear" w:color="auto" w:fill="FFFFFF"/>
            <w:tcMar>
              <w:top w:w="55" w:type="dxa"/>
              <w:left w:w="55" w:type="dxa"/>
              <w:bottom w:w="55" w:type="dxa"/>
              <w:right w:w="55" w:type="dxa"/>
            </w:tcMar>
            <w:vAlign w:val="center"/>
          </w:tcPr>
          <w:p w14:paraId="39D132F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0.023</w:t>
            </w:r>
          </w:p>
        </w:tc>
      </w:tr>
      <w:tr w14:paraId="02419791">
        <w:trPr>
          <w:trHeight w:val="193" w:hRule="atLeast"/>
          <w:jc w:val="center"/>
        </w:trPr>
        <w:tc>
          <w:tcPr>
            <w:tcW w:w="1607" w:type="pct"/>
            <w:tcBorders>
              <w:top w:val="nil"/>
              <w:left w:val="nil"/>
              <w:bottom w:val="nil"/>
              <w:right w:val="nil"/>
            </w:tcBorders>
            <w:shd w:val="clear" w:color="auto" w:fill="FFFFFF"/>
            <w:tcMar>
              <w:top w:w="55" w:type="dxa"/>
              <w:left w:w="55" w:type="dxa"/>
              <w:bottom w:w="55" w:type="dxa"/>
              <w:right w:w="55" w:type="dxa"/>
            </w:tcMar>
            <w:vAlign w:val="center"/>
          </w:tcPr>
          <w:p w14:paraId="1363211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275" w:type="pct"/>
            <w:tcBorders>
              <w:top w:val="nil"/>
              <w:left w:val="nil"/>
              <w:bottom w:val="nil"/>
              <w:right w:val="nil"/>
            </w:tcBorders>
            <w:shd w:val="clear" w:color="auto" w:fill="FFFFFF"/>
            <w:tcMar>
              <w:top w:w="55" w:type="dxa"/>
              <w:left w:w="55" w:type="dxa"/>
              <w:bottom w:w="55" w:type="dxa"/>
              <w:right w:w="55" w:type="dxa"/>
            </w:tcMar>
            <w:vAlign w:val="center"/>
          </w:tcPr>
          <w:p w14:paraId="20643B0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Without Hb/CRP</w:t>
            </w:r>
          </w:p>
        </w:tc>
        <w:tc>
          <w:tcPr>
            <w:tcW w:w="1480" w:type="pct"/>
            <w:tcBorders>
              <w:top w:val="nil"/>
              <w:left w:val="nil"/>
              <w:bottom w:val="nil"/>
              <w:right w:val="nil"/>
            </w:tcBorders>
            <w:shd w:val="clear" w:color="auto" w:fill="FFFFFF"/>
            <w:tcMar>
              <w:top w:w="55" w:type="dxa"/>
              <w:left w:w="55" w:type="dxa"/>
              <w:bottom w:w="55" w:type="dxa"/>
              <w:right w:w="55" w:type="dxa"/>
            </w:tcMar>
            <w:vAlign w:val="center"/>
          </w:tcPr>
          <w:p w14:paraId="68D6BDA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-0.374 (-0.587, -0.160)</w:t>
            </w:r>
          </w:p>
        </w:tc>
        <w:tc>
          <w:tcPr>
            <w:tcW w:w="636" w:type="pct"/>
            <w:tcBorders>
              <w:top w:val="nil"/>
              <w:left w:val="nil"/>
              <w:bottom w:val="nil"/>
              <w:right w:val="nil"/>
            </w:tcBorders>
            <w:shd w:val="clear" w:color="auto" w:fill="FFFFFF"/>
            <w:tcMar>
              <w:top w:w="55" w:type="dxa"/>
              <w:left w:w="55" w:type="dxa"/>
              <w:bottom w:w="55" w:type="dxa"/>
              <w:right w:w="55" w:type="dxa"/>
            </w:tcMar>
            <w:vAlign w:val="center"/>
          </w:tcPr>
          <w:p w14:paraId="0CD30BB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&lt;0.001</w:t>
            </w:r>
          </w:p>
        </w:tc>
      </w:tr>
      <w:tr w14:paraId="118F3B17">
        <w:trPr>
          <w:trHeight w:val="193" w:hRule="atLeast"/>
          <w:jc w:val="center"/>
        </w:trPr>
        <w:tc>
          <w:tcPr>
            <w:tcW w:w="1607" w:type="pct"/>
            <w:tcBorders>
              <w:top w:val="nil"/>
              <w:left w:val="nil"/>
              <w:bottom w:val="nil"/>
              <w:right w:val="nil"/>
            </w:tcBorders>
            <w:shd w:val="clear" w:color="auto" w:fill="FFFFFF"/>
            <w:tcMar>
              <w:top w:w="55" w:type="dxa"/>
              <w:left w:w="55" w:type="dxa"/>
              <w:bottom w:w="55" w:type="dxa"/>
              <w:right w:w="55" w:type="dxa"/>
            </w:tcMar>
            <w:vAlign w:val="center"/>
          </w:tcPr>
          <w:p w14:paraId="40FE1ACA">
            <w:pPr>
              <w:spacing w:before="0" w:after="0" w:line="240" w:lineRule="auto"/>
              <w:jc w:val="both"/>
              <w:rPr>
                <w:rFonts w:hint="default" w:ascii="Times New Roman Regular" w:hAnsi="Times New Roman Regular" w:eastAsia="Times New Roman Regular" w:cs="Times New Roman Regular"/>
                <w:i w:val="0"/>
                <w:iCs w:val="0"/>
                <w:color w:val="000000"/>
                <w:sz w:val="22"/>
                <w:szCs w:val="22"/>
                <w:u w:val="none"/>
              </w:rPr>
            </w:pPr>
          </w:p>
        </w:tc>
        <w:tc>
          <w:tcPr>
            <w:tcW w:w="1275" w:type="pct"/>
            <w:tcBorders>
              <w:top w:val="nil"/>
              <w:left w:val="nil"/>
              <w:bottom w:val="nil"/>
              <w:right w:val="nil"/>
            </w:tcBorders>
            <w:shd w:val="clear" w:color="auto" w:fill="FFFFFF"/>
            <w:tcMar>
              <w:top w:w="55" w:type="dxa"/>
              <w:left w:w="55" w:type="dxa"/>
              <w:bottom w:w="55" w:type="dxa"/>
              <w:right w:w="55" w:type="dxa"/>
            </w:tcMar>
            <w:vAlign w:val="center"/>
          </w:tcPr>
          <w:p w14:paraId="67ACDA9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With Hb/CRP</w:t>
            </w:r>
          </w:p>
        </w:tc>
        <w:tc>
          <w:tcPr>
            <w:tcW w:w="1480" w:type="pct"/>
            <w:tcBorders>
              <w:top w:val="nil"/>
              <w:left w:val="nil"/>
              <w:bottom w:val="nil"/>
              <w:right w:val="nil"/>
            </w:tcBorders>
            <w:shd w:val="clear" w:color="auto" w:fill="FFFFFF"/>
            <w:tcMar>
              <w:top w:w="55" w:type="dxa"/>
              <w:left w:w="55" w:type="dxa"/>
              <w:bottom w:w="55" w:type="dxa"/>
              <w:right w:w="55" w:type="dxa"/>
            </w:tcMar>
            <w:vAlign w:val="center"/>
          </w:tcPr>
          <w:p w14:paraId="60232CD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-0.352 (-0.562, -0.142)</w:t>
            </w:r>
          </w:p>
        </w:tc>
        <w:tc>
          <w:tcPr>
            <w:tcW w:w="636" w:type="pct"/>
            <w:tcBorders>
              <w:top w:val="nil"/>
              <w:left w:val="nil"/>
              <w:bottom w:val="nil"/>
              <w:right w:val="nil"/>
            </w:tcBorders>
            <w:shd w:val="clear" w:color="auto" w:fill="FFFFFF"/>
            <w:tcMar>
              <w:top w:w="55" w:type="dxa"/>
              <w:left w:w="55" w:type="dxa"/>
              <w:bottom w:w="55" w:type="dxa"/>
              <w:right w:w="55" w:type="dxa"/>
            </w:tcMar>
            <w:vAlign w:val="center"/>
          </w:tcPr>
          <w:p w14:paraId="612B524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0.001</w:t>
            </w:r>
          </w:p>
        </w:tc>
      </w:tr>
      <w:tr w14:paraId="0BBC92EC">
        <w:trPr>
          <w:trHeight w:val="193" w:hRule="atLeast"/>
          <w:jc w:val="center"/>
        </w:trPr>
        <w:tc>
          <w:tcPr>
            <w:tcW w:w="1607" w:type="pct"/>
            <w:tcBorders>
              <w:top w:val="nil"/>
              <w:left w:val="nil"/>
              <w:bottom w:val="nil"/>
              <w:right w:val="nil"/>
            </w:tcBorders>
            <w:shd w:val="clear" w:color="auto" w:fill="FFFFFF"/>
            <w:tcMar>
              <w:top w:w="55" w:type="dxa"/>
              <w:left w:w="55" w:type="dxa"/>
              <w:bottom w:w="55" w:type="dxa"/>
              <w:right w:w="55" w:type="dxa"/>
            </w:tcMar>
            <w:vAlign w:val="center"/>
          </w:tcPr>
          <w:p w14:paraId="0BE0714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slope</w:t>
            </w:r>
          </w:p>
        </w:tc>
        <w:tc>
          <w:tcPr>
            <w:tcW w:w="1275" w:type="pct"/>
            <w:tcBorders>
              <w:top w:val="nil"/>
              <w:left w:val="nil"/>
              <w:bottom w:val="nil"/>
              <w:right w:val="nil"/>
            </w:tcBorders>
            <w:shd w:val="clear" w:color="auto" w:fill="FFFFFF"/>
            <w:tcMar>
              <w:top w:w="55" w:type="dxa"/>
              <w:left w:w="55" w:type="dxa"/>
              <w:bottom w:w="55" w:type="dxa"/>
              <w:right w:w="55" w:type="dxa"/>
            </w:tcMar>
            <w:vAlign w:val="center"/>
          </w:tcPr>
          <w:p w14:paraId="6875FEE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Without Hb/CRP</w:t>
            </w:r>
          </w:p>
        </w:tc>
        <w:tc>
          <w:tcPr>
            <w:tcW w:w="1480" w:type="pct"/>
            <w:tcBorders>
              <w:top w:val="nil"/>
              <w:left w:val="nil"/>
              <w:bottom w:val="nil"/>
              <w:right w:val="nil"/>
            </w:tcBorders>
            <w:shd w:val="clear" w:color="auto" w:fill="FFFFFF"/>
            <w:tcMar>
              <w:top w:w="55" w:type="dxa"/>
              <w:left w:w="55" w:type="dxa"/>
              <w:bottom w:w="55" w:type="dxa"/>
              <w:right w:w="55" w:type="dxa"/>
            </w:tcMar>
            <w:vAlign w:val="center"/>
          </w:tcPr>
          <w:p w14:paraId="0EDE94D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0.172 (-0.154, 0.498)</w:t>
            </w:r>
          </w:p>
        </w:tc>
        <w:tc>
          <w:tcPr>
            <w:tcW w:w="636" w:type="pct"/>
            <w:tcBorders>
              <w:top w:val="nil"/>
              <w:left w:val="nil"/>
              <w:bottom w:val="nil"/>
              <w:right w:val="nil"/>
            </w:tcBorders>
            <w:shd w:val="clear" w:color="auto" w:fill="FFFFFF"/>
            <w:tcMar>
              <w:top w:w="55" w:type="dxa"/>
              <w:left w:w="55" w:type="dxa"/>
              <w:bottom w:w="55" w:type="dxa"/>
              <w:right w:w="55" w:type="dxa"/>
            </w:tcMar>
            <w:vAlign w:val="center"/>
          </w:tcPr>
          <w:p w14:paraId="1FA6EEE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0.301</w:t>
            </w:r>
          </w:p>
        </w:tc>
      </w:tr>
      <w:tr w14:paraId="26DEC0F4">
        <w:trPr>
          <w:trHeight w:val="193" w:hRule="atLeast"/>
          <w:jc w:val="center"/>
        </w:trPr>
        <w:tc>
          <w:tcPr>
            <w:tcW w:w="1607" w:type="pct"/>
            <w:tcBorders>
              <w:top w:val="nil"/>
              <w:left w:val="nil"/>
              <w:bottom w:val="nil"/>
              <w:right w:val="nil"/>
            </w:tcBorders>
            <w:shd w:val="clear" w:color="auto" w:fill="FFFFFF"/>
            <w:tcMar>
              <w:top w:w="55" w:type="dxa"/>
              <w:left w:w="55" w:type="dxa"/>
              <w:bottom w:w="55" w:type="dxa"/>
              <w:right w:w="55" w:type="dxa"/>
            </w:tcMar>
            <w:vAlign w:val="center"/>
          </w:tcPr>
          <w:p w14:paraId="3D365B51">
            <w:pPr>
              <w:spacing w:before="0" w:after="0" w:line="240" w:lineRule="auto"/>
              <w:jc w:val="both"/>
              <w:rPr>
                <w:rFonts w:hint="default" w:ascii="Times New Roman Regular" w:hAnsi="Times New Roman Regular" w:eastAsia="Times New Roman Regular" w:cs="Times New Roman Regular"/>
                <w:i w:val="0"/>
                <w:iCs w:val="0"/>
                <w:color w:val="000000"/>
                <w:sz w:val="22"/>
                <w:szCs w:val="22"/>
                <w:u w:val="none"/>
              </w:rPr>
            </w:pPr>
          </w:p>
        </w:tc>
        <w:tc>
          <w:tcPr>
            <w:tcW w:w="1275" w:type="pct"/>
            <w:tcBorders>
              <w:top w:val="nil"/>
              <w:left w:val="nil"/>
              <w:bottom w:val="nil"/>
              <w:right w:val="nil"/>
            </w:tcBorders>
            <w:shd w:val="clear" w:color="auto" w:fill="FFFFFF"/>
            <w:tcMar>
              <w:top w:w="55" w:type="dxa"/>
              <w:left w:w="55" w:type="dxa"/>
              <w:bottom w:w="55" w:type="dxa"/>
              <w:right w:w="55" w:type="dxa"/>
            </w:tcMar>
            <w:vAlign w:val="center"/>
          </w:tcPr>
          <w:p w14:paraId="2D8B99F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With Hb/CRP</w:t>
            </w:r>
          </w:p>
        </w:tc>
        <w:tc>
          <w:tcPr>
            <w:tcW w:w="1480" w:type="pct"/>
            <w:tcBorders>
              <w:top w:val="nil"/>
              <w:left w:val="nil"/>
              <w:bottom w:val="nil"/>
              <w:right w:val="nil"/>
            </w:tcBorders>
            <w:shd w:val="clear" w:color="auto" w:fill="FFFFFF"/>
            <w:tcMar>
              <w:top w:w="55" w:type="dxa"/>
              <w:left w:w="55" w:type="dxa"/>
              <w:bottom w:w="55" w:type="dxa"/>
              <w:right w:w="55" w:type="dxa"/>
            </w:tcMar>
            <w:vAlign w:val="center"/>
          </w:tcPr>
          <w:p w14:paraId="192294B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0.096 (-0.224, 0.416)</w:t>
            </w:r>
          </w:p>
        </w:tc>
        <w:tc>
          <w:tcPr>
            <w:tcW w:w="636" w:type="pct"/>
            <w:tcBorders>
              <w:top w:val="nil"/>
              <w:left w:val="nil"/>
              <w:bottom w:val="nil"/>
              <w:right w:val="nil"/>
            </w:tcBorders>
            <w:shd w:val="clear" w:color="auto" w:fill="FFFFFF"/>
            <w:tcMar>
              <w:top w:w="55" w:type="dxa"/>
              <w:left w:w="55" w:type="dxa"/>
              <w:bottom w:w="55" w:type="dxa"/>
              <w:right w:w="55" w:type="dxa"/>
            </w:tcMar>
            <w:vAlign w:val="center"/>
          </w:tcPr>
          <w:p w14:paraId="151453F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0.556</w:t>
            </w:r>
          </w:p>
        </w:tc>
      </w:tr>
      <w:tr w14:paraId="6078C023">
        <w:trPr>
          <w:trHeight w:val="193" w:hRule="atLeast"/>
          <w:jc w:val="center"/>
        </w:trPr>
        <w:tc>
          <w:tcPr>
            <w:tcW w:w="1607" w:type="pct"/>
            <w:tcBorders>
              <w:top w:val="nil"/>
              <w:left w:val="nil"/>
              <w:bottom w:val="nil"/>
              <w:right w:val="nil"/>
            </w:tcBorders>
            <w:shd w:val="clear" w:color="auto" w:fill="FFFFFF"/>
            <w:tcMar>
              <w:top w:w="55" w:type="dxa"/>
              <w:left w:w="55" w:type="dxa"/>
              <w:bottom w:w="55" w:type="dxa"/>
              <w:right w:w="55" w:type="dxa"/>
            </w:tcMar>
            <w:vAlign w:val="center"/>
          </w:tcPr>
          <w:p w14:paraId="3B19781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Persistent low ferritin</w:t>
            </w:r>
          </w:p>
        </w:tc>
        <w:tc>
          <w:tcPr>
            <w:tcW w:w="1275" w:type="pct"/>
            <w:tcBorders>
              <w:top w:val="nil"/>
              <w:left w:val="nil"/>
              <w:bottom w:val="nil"/>
              <w:right w:val="nil"/>
            </w:tcBorders>
            <w:shd w:val="clear" w:color="auto" w:fill="FFFFFF"/>
            <w:tcMar>
              <w:top w:w="55" w:type="dxa"/>
              <w:left w:w="55" w:type="dxa"/>
              <w:bottom w:w="55" w:type="dxa"/>
              <w:right w:w="55" w:type="dxa"/>
            </w:tcMar>
            <w:vAlign w:val="center"/>
          </w:tcPr>
          <w:p w14:paraId="5CF5CE4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Without Hb/CRP</w:t>
            </w:r>
          </w:p>
        </w:tc>
        <w:tc>
          <w:tcPr>
            <w:tcW w:w="1480" w:type="pct"/>
            <w:tcBorders>
              <w:top w:val="nil"/>
              <w:left w:val="nil"/>
              <w:bottom w:val="nil"/>
              <w:right w:val="nil"/>
            </w:tcBorders>
            <w:shd w:val="clear" w:color="auto" w:fill="FFFFFF"/>
            <w:tcMar>
              <w:top w:w="55" w:type="dxa"/>
              <w:left w:w="55" w:type="dxa"/>
              <w:bottom w:w="55" w:type="dxa"/>
              <w:right w:w="55" w:type="dxa"/>
            </w:tcMar>
            <w:vAlign w:val="center"/>
          </w:tcPr>
          <w:p w14:paraId="3FE495C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-0.032 (-0.209, 0.144)</w:t>
            </w:r>
          </w:p>
        </w:tc>
        <w:tc>
          <w:tcPr>
            <w:tcW w:w="636" w:type="pct"/>
            <w:tcBorders>
              <w:top w:val="nil"/>
              <w:left w:val="nil"/>
              <w:bottom w:val="nil"/>
              <w:right w:val="nil"/>
            </w:tcBorders>
            <w:shd w:val="clear" w:color="auto" w:fill="FFFFFF"/>
            <w:tcMar>
              <w:top w:w="55" w:type="dxa"/>
              <w:left w:w="55" w:type="dxa"/>
              <w:bottom w:w="55" w:type="dxa"/>
              <w:right w:w="55" w:type="dxa"/>
            </w:tcMar>
            <w:vAlign w:val="center"/>
          </w:tcPr>
          <w:p w14:paraId="13469C5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0.719</w:t>
            </w:r>
          </w:p>
        </w:tc>
      </w:tr>
      <w:tr w14:paraId="5FF91FFB">
        <w:trPr>
          <w:trHeight w:val="193" w:hRule="atLeast"/>
          <w:jc w:val="center"/>
        </w:trPr>
        <w:tc>
          <w:tcPr>
            <w:tcW w:w="160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660262FE">
            <w:pPr>
              <w:spacing w:before="0" w:after="0" w:line="240" w:lineRule="auto"/>
              <w:jc w:val="both"/>
              <w:rPr>
                <w:rFonts w:hint="default" w:ascii="Times New Roman Regular" w:hAnsi="Times New Roman Regular" w:eastAsia="Times New Roman Regular" w:cs="Times New Roman Regular"/>
                <w:i w:val="0"/>
                <w:iCs w:val="0"/>
                <w:color w:val="000000"/>
                <w:sz w:val="22"/>
                <w:szCs w:val="22"/>
                <w:u w:val="none"/>
              </w:rPr>
            </w:pPr>
          </w:p>
        </w:tc>
        <w:tc>
          <w:tcPr>
            <w:tcW w:w="1275"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6E145BF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With Hb/CRP</w:t>
            </w:r>
          </w:p>
        </w:tc>
        <w:tc>
          <w:tcPr>
            <w:tcW w:w="148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1188E2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-0.032 (-0.204, 0.140)</w:t>
            </w:r>
          </w:p>
        </w:tc>
        <w:tc>
          <w:tcPr>
            <w:tcW w:w="636"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005376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0.716</w:t>
            </w:r>
          </w:p>
        </w:tc>
      </w:tr>
    </w:tbl>
    <w:p w14:paraId="19DC5498">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sz w:val="20"/>
          <w:szCs w:val="22"/>
          <w:lang w:val="en-US" w:eastAsia="zh-CN"/>
        </w:rPr>
        <w:t>Regression coefficients (β), 95% confidence intervals (CIs), and P values are shown for dynamic iron-related measures in relation to repeated forced expiratory volume in 1 second (FEV₁) before and after additional adjustment for hemoglobin (Hb) and log-transformed C-reactive protein (CRP). Results are presented for the iron fragility index (IFI), ferritin coefficient of variation (CV), ferritin slope, and persistent low ferritin, as applicable. These analyses were used to assess whether associations with lower FEV₁ were materially attenuated after accounting for anemia and inflammation.</w:t>
      </w:r>
    </w:p>
    <w:p w14:paraId="30549BD2">
      <w:pPr>
        <w:spacing w:before="0" w:after="0" w:line="240" w:lineRule="auto"/>
        <w:rPr>
          <w:rFonts w:hint="default" w:ascii="Times New Roman Regular" w:hAnsi="Times New Roman Regular" w:cs="Times New Roman Regular"/>
          <w:sz w:val="22"/>
          <w:szCs w:val="22"/>
          <w:lang w:val="en-US" w:eastAsia="zh-CN"/>
        </w:rPr>
      </w:pPr>
      <w:r>
        <w:rPr>
          <w:rFonts w:hint="default" w:ascii="Times New Roman Regular" w:hAnsi="Times New Roman Regular" w:cs="Times New Roman Regular"/>
          <w:sz w:val="22"/>
          <w:szCs w:val="22"/>
          <w:lang w:val="en-US" w:eastAsia="zh-CN"/>
        </w:rPr>
        <w:br w:type="page"/>
      </w:r>
    </w:p>
    <w:p w14:paraId="4A3478D1">
      <w:pPr>
        <w:pStyle w:val="2"/>
        <w:keepNext/>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S68. Analytic sample sizes for joint Hb- and CRP-adjusted models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37"/>
        <w:gridCol w:w="5160"/>
        <w:gridCol w:w="4869"/>
      </w:tblGrid>
      <w:tr w14:paraId="5D80DDF3">
        <w:trPr>
          <w:trHeight w:val="193" w:hRule="atLeast"/>
          <w:tblHeader/>
          <w:jc w:val="center"/>
        </w:trPr>
        <w:tc>
          <w:tcPr>
            <w:tcW w:w="150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BA149AF">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Exposure</w:t>
            </w:r>
          </w:p>
        </w:tc>
        <w:tc>
          <w:tcPr>
            <w:tcW w:w="1795"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3E15201E">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Repeated observations</w:t>
            </w:r>
          </w:p>
        </w:tc>
        <w:tc>
          <w:tcPr>
            <w:tcW w:w="1694"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61323F4">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Participants</w:t>
            </w:r>
          </w:p>
        </w:tc>
      </w:tr>
      <w:tr w14:paraId="2DD69EA1">
        <w:trPr>
          <w:trHeight w:val="193" w:hRule="atLeast"/>
          <w:jc w:val="center"/>
        </w:trPr>
        <w:tc>
          <w:tcPr>
            <w:tcW w:w="150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70AE4B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Iron fragility index</w:t>
            </w:r>
          </w:p>
        </w:tc>
        <w:tc>
          <w:tcPr>
            <w:tcW w:w="1795"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0F2611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1,154</w:t>
            </w:r>
          </w:p>
        </w:tc>
        <w:tc>
          <w:tcPr>
            <w:tcW w:w="1694"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AD9066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532</w:t>
            </w:r>
          </w:p>
        </w:tc>
      </w:tr>
      <w:tr w14:paraId="417CFCAA">
        <w:trPr>
          <w:trHeight w:val="193" w:hRule="atLeast"/>
          <w:jc w:val="center"/>
        </w:trPr>
        <w:tc>
          <w:tcPr>
            <w:tcW w:w="1509" w:type="pct"/>
            <w:tcBorders>
              <w:top w:val="nil"/>
              <w:left w:val="nil"/>
              <w:bottom w:val="nil"/>
              <w:right w:val="nil"/>
            </w:tcBorders>
            <w:shd w:val="clear" w:color="auto" w:fill="FFFFFF"/>
            <w:tcMar>
              <w:top w:w="55" w:type="dxa"/>
              <w:left w:w="55" w:type="dxa"/>
              <w:bottom w:w="55" w:type="dxa"/>
              <w:right w:w="55" w:type="dxa"/>
            </w:tcMar>
            <w:vAlign w:val="center"/>
          </w:tcPr>
          <w:p w14:paraId="725B46A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variability (CV)</w:t>
            </w:r>
          </w:p>
        </w:tc>
        <w:tc>
          <w:tcPr>
            <w:tcW w:w="1795" w:type="pct"/>
            <w:tcBorders>
              <w:top w:val="nil"/>
              <w:left w:val="nil"/>
              <w:bottom w:val="nil"/>
              <w:right w:val="nil"/>
            </w:tcBorders>
            <w:shd w:val="clear" w:color="auto" w:fill="FFFFFF"/>
            <w:tcMar>
              <w:top w:w="55" w:type="dxa"/>
              <w:left w:w="55" w:type="dxa"/>
              <w:bottom w:w="55" w:type="dxa"/>
              <w:right w:w="55" w:type="dxa"/>
            </w:tcMar>
            <w:vAlign w:val="center"/>
          </w:tcPr>
          <w:p w14:paraId="27AB3A7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1,154</w:t>
            </w:r>
          </w:p>
        </w:tc>
        <w:tc>
          <w:tcPr>
            <w:tcW w:w="1694" w:type="pct"/>
            <w:tcBorders>
              <w:top w:val="nil"/>
              <w:left w:val="nil"/>
              <w:bottom w:val="nil"/>
              <w:right w:val="nil"/>
            </w:tcBorders>
            <w:shd w:val="clear" w:color="auto" w:fill="FFFFFF"/>
            <w:tcMar>
              <w:top w:w="55" w:type="dxa"/>
              <w:left w:w="55" w:type="dxa"/>
              <w:bottom w:w="55" w:type="dxa"/>
              <w:right w:w="55" w:type="dxa"/>
            </w:tcMar>
            <w:vAlign w:val="center"/>
          </w:tcPr>
          <w:p w14:paraId="415E3D4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532</w:t>
            </w:r>
          </w:p>
        </w:tc>
      </w:tr>
      <w:tr w14:paraId="6B7D41C6">
        <w:trPr>
          <w:trHeight w:val="193" w:hRule="atLeast"/>
          <w:jc w:val="center"/>
        </w:trPr>
        <w:tc>
          <w:tcPr>
            <w:tcW w:w="1509" w:type="pct"/>
            <w:tcBorders>
              <w:top w:val="nil"/>
              <w:left w:val="nil"/>
              <w:bottom w:val="nil"/>
              <w:right w:val="nil"/>
            </w:tcBorders>
            <w:shd w:val="clear" w:color="auto" w:fill="FFFFFF"/>
            <w:tcMar>
              <w:top w:w="55" w:type="dxa"/>
              <w:left w:w="55" w:type="dxa"/>
              <w:bottom w:w="55" w:type="dxa"/>
              <w:right w:w="55" w:type="dxa"/>
            </w:tcMar>
            <w:vAlign w:val="center"/>
          </w:tcPr>
          <w:p w14:paraId="2A34075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slope</w:t>
            </w:r>
          </w:p>
        </w:tc>
        <w:tc>
          <w:tcPr>
            <w:tcW w:w="1795" w:type="pct"/>
            <w:tcBorders>
              <w:top w:val="nil"/>
              <w:left w:val="nil"/>
              <w:bottom w:val="nil"/>
              <w:right w:val="nil"/>
            </w:tcBorders>
            <w:shd w:val="clear" w:color="auto" w:fill="FFFFFF"/>
            <w:tcMar>
              <w:top w:w="55" w:type="dxa"/>
              <w:left w:w="55" w:type="dxa"/>
              <w:bottom w:w="55" w:type="dxa"/>
              <w:right w:w="55" w:type="dxa"/>
            </w:tcMar>
            <w:vAlign w:val="center"/>
          </w:tcPr>
          <w:p w14:paraId="5F452B3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1,154</w:t>
            </w:r>
          </w:p>
        </w:tc>
        <w:tc>
          <w:tcPr>
            <w:tcW w:w="1694" w:type="pct"/>
            <w:tcBorders>
              <w:top w:val="nil"/>
              <w:left w:val="nil"/>
              <w:bottom w:val="nil"/>
              <w:right w:val="nil"/>
            </w:tcBorders>
            <w:shd w:val="clear" w:color="auto" w:fill="FFFFFF"/>
            <w:tcMar>
              <w:top w:w="55" w:type="dxa"/>
              <w:left w:w="55" w:type="dxa"/>
              <w:bottom w:w="55" w:type="dxa"/>
              <w:right w:w="55" w:type="dxa"/>
            </w:tcMar>
            <w:vAlign w:val="center"/>
          </w:tcPr>
          <w:p w14:paraId="6B2D3F8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532</w:t>
            </w:r>
          </w:p>
        </w:tc>
      </w:tr>
      <w:tr w14:paraId="35011842">
        <w:trPr>
          <w:trHeight w:val="193" w:hRule="atLeast"/>
          <w:jc w:val="center"/>
        </w:trPr>
        <w:tc>
          <w:tcPr>
            <w:tcW w:w="150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D93B4E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Persistent low ferritin</w:t>
            </w:r>
          </w:p>
        </w:tc>
        <w:tc>
          <w:tcPr>
            <w:tcW w:w="1795"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3C8566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1,401</w:t>
            </w:r>
          </w:p>
        </w:tc>
        <w:tc>
          <w:tcPr>
            <w:tcW w:w="1694"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3BDC07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779</w:t>
            </w:r>
          </w:p>
        </w:tc>
      </w:tr>
    </w:tbl>
    <w:p w14:paraId="21EB40C8">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sz w:val="20"/>
          <w:szCs w:val="22"/>
          <w:lang w:val="en-US" w:eastAsia="zh-CN"/>
        </w:rPr>
        <w:t xml:space="preserve">This table summarizes the numbers of repeated observations and unique participants included in the joint linear mixed-effects models examining dynamic iron-related measures in relation to repeated forced expiratory volume in 1 second (FEV₁) after simultaneous adjustment for hemoglobin (Hb) and log-transformed C-reactive protein (CRP). Counts are shown separately for the iron fragility index (IFI), ferritin coefficient of variation (CV), ferritin slope, and persistent low ferritin, as applicable. These data are provided to document the analytic sample size underlying the corresponding joint-model analyses. </w:t>
      </w:r>
    </w:p>
    <w:p w14:paraId="31A03330">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4CFA3CB">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3094931">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1BFCD183">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708DED0">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049A334A">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4A35EDD">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E9057BF">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5E47808">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125326F5">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EDA7809">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1EF7FED">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0EFBE9D5">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7685C6BA">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87596A7">
      <w:pPr>
        <w:spacing w:before="0" w:after="0" w:line="240" w:lineRule="auto"/>
        <w:rPr>
          <w:rFonts w:hint="default" w:ascii="Times New Roman Regular" w:hAnsi="Times New Roman Regular" w:cs="Times New Roman Regular"/>
          <w:b/>
          <w:bCs/>
          <w:sz w:val="22"/>
          <w:szCs w:val="22"/>
          <w:lang w:val="en-US" w:eastAsia="zh-CN"/>
        </w:rPr>
      </w:pPr>
      <w:r>
        <w:rPr>
          <w:rFonts w:hint="default" w:ascii="Times New Roman Regular" w:hAnsi="Times New Roman Regular" w:cs="Times New Roman Regular"/>
          <w:b/>
          <w:bCs/>
          <w:sz w:val="22"/>
          <w:szCs w:val="22"/>
          <w:lang w:val="en-US" w:eastAsia="zh-CN"/>
        </w:rPr>
        <w:br w:type="page"/>
      </w:r>
    </w:p>
    <w:p w14:paraId="22C90586">
      <w:pPr>
        <w:pStyle w:val="2"/>
        <w:keepNext/>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 xml:space="preserve">Supplementary Table S69. Hb-adjusted restricted cubic spline time-interaction comparisons for ferritin-related measures and repeated </w:t>
      </w:r>
      <w:r>
        <w:rPr>
          <w:rFonts w:hint="default" w:ascii="Times New Roman" w:hAnsi="Times New Roman" w:eastAsia="Times New Roman" w:cs="Times New Roman Regular"/>
          <w:b/>
          <w:sz w:val="20"/>
          <w:szCs w:val="22"/>
          <w:lang w:val="en-US" w:eastAsia="zh-CN"/>
        </w:rPr>
        <w:t>FEV₁</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600"/>
        <w:gridCol w:w="4161"/>
        <w:gridCol w:w="2441"/>
        <w:gridCol w:w="1722"/>
        <w:gridCol w:w="2442"/>
      </w:tblGrid>
      <w:tr w14:paraId="0836D4EF">
        <w:trPr>
          <w:trHeight w:val="193" w:hRule="atLeast"/>
          <w:tblHeader/>
          <w:jc w:val="center"/>
        </w:trPr>
        <w:tc>
          <w:tcPr>
            <w:tcW w:w="1252"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3C3D7AA6">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Exposure</w:t>
            </w:r>
          </w:p>
        </w:tc>
        <w:tc>
          <w:tcPr>
            <w:tcW w:w="1447"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0D30FD5D">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Comparison</w:t>
            </w:r>
          </w:p>
        </w:tc>
        <w:tc>
          <w:tcPr>
            <w:tcW w:w="84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6D55B28D">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χ²</w:t>
            </w:r>
          </w:p>
        </w:tc>
        <w:tc>
          <w:tcPr>
            <w:tcW w:w="59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32E0F48">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df</w:t>
            </w:r>
          </w:p>
        </w:tc>
        <w:tc>
          <w:tcPr>
            <w:tcW w:w="84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A5F209E">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P value</w:t>
            </w:r>
          </w:p>
        </w:tc>
      </w:tr>
      <w:tr w14:paraId="24CD6977">
        <w:trPr>
          <w:trHeight w:val="193" w:hRule="atLeast"/>
          <w:jc w:val="center"/>
        </w:trPr>
        <w:tc>
          <w:tcPr>
            <w:tcW w:w="1252"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AE1A19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variability (CV)</w:t>
            </w:r>
          </w:p>
        </w:tc>
        <w:tc>
          <w:tcPr>
            <w:tcW w:w="1447"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2D8AABD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RCS main effect vs RCS × time interaction</w:t>
            </w:r>
          </w:p>
        </w:tc>
        <w:tc>
          <w:tcPr>
            <w:tcW w:w="84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4979C3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1.997</w:t>
            </w:r>
          </w:p>
        </w:tc>
        <w:tc>
          <w:tcPr>
            <w:tcW w:w="59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52C522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3</w:t>
            </w:r>
          </w:p>
        </w:tc>
        <w:tc>
          <w:tcPr>
            <w:tcW w:w="84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A000DD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0.573</w:t>
            </w:r>
          </w:p>
        </w:tc>
      </w:tr>
      <w:tr w14:paraId="0D4243EB">
        <w:trPr>
          <w:trHeight w:val="193" w:hRule="atLeast"/>
          <w:jc w:val="center"/>
        </w:trPr>
        <w:tc>
          <w:tcPr>
            <w:tcW w:w="1252"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16051B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slope</w:t>
            </w:r>
          </w:p>
        </w:tc>
        <w:tc>
          <w:tcPr>
            <w:tcW w:w="144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078EB9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RCS main effect vs RCS × time interaction</w:t>
            </w:r>
          </w:p>
        </w:tc>
        <w:tc>
          <w:tcPr>
            <w:tcW w:w="84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50A02E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1.826</w:t>
            </w:r>
          </w:p>
        </w:tc>
        <w:tc>
          <w:tcPr>
            <w:tcW w:w="59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61EA3C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3</w:t>
            </w:r>
          </w:p>
        </w:tc>
        <w:tc>
          <w:tcPr>
            <w:tcW w:w="84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CC4BEC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0.609</w:t>
            </w:r>
          </w:p>
        </w:tc>
      </w:tr>
    </w:tbl>
    <w:p w14:paraId="6636C5A3">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sz w:val="20"/>
          <w:szCs w:val="22"/>
          <w:lang w:val="en-US" w:eastAsia="zh-CN"/>
        </w:rPr>
        <w:t>Likelihood-ratio comparisons are shown for Hb-adjusted restricted cubic spline (RCS) models evaluating whether addition of RCS × time interaction terms improved model fit for ferritin variability (CV) and ferritin slope in relation to repeated forced expiratory volume in 1 second (FEV₁). Reported statistics include χ², degrees of freedom (df), and P values. These analyses were used to assess whether nonlinear exposure effects varied further over follow-up time.</w:t>
      </w:r>
    </w:p>
    <w:p w14:paraId="7E57F4E6">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63FDC31">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1308C442">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BDB177A">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3203694">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B8670F5">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6D2B7CC3">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3D7326C">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5D3EE25">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75023AB9">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6D53452">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7F07902D">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5E597D27">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85B1BE9">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AD12AC7">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240F655F">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34B14901">
      <w:pPr>
        <w:tabs>
          <w:tab w:val="left" w:pos="1206"/>
        </w:tabs>
        <w:bidi w:val="0"/>
        <w:spacing w:before="0" w:after="0" w:line="240" w:lineRule="auto"/>
        <w:jc w:val="left"/>
        <w:rPr>
          <w:rFonts w:hint="default" w:ascii="Times New Roman Regular" w:hAnsi="Times New Roman Regular" w:cs="Times New Roman Regular"/>
          <w:sz w:val="22"/>
          <w:szCs w:val="22"/>
          <w:lang w:val="en-US" w:eastAsia="zh-CN"/>
        </w:rPr>
      </w:pPr>
    </w:p>
    <w:p w14:paraId="415A0432">
      <w:pPr>
        <w:pStyle w:val="2"/>
        <w:keepNext/>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 xml:space="preserve">Supplementary Table S70. Exploratory threshold identification for ferritin slope in relation to repeated </w:t>
      </w:r>
      <w:r>
        <w:rPr>
          <w:rFonts w:hint="default" w:ascii="Times New Roman" w:hAnsi="Times New Roman" w:eastAsia="Times New Roman" w:cs="Times New Roman Regular"/>
          <w:b/>
          <w:sz w:val="20"/>
          <w:szCs w:val="22"/>
          <w:lang w:val="en-US" w:eastAsia="zh-CN"/>
        </w:rPr>
        <w:t>FEV₁</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630"/>
        <w:gridCol w:w="3736"/>
      </w:tblGrid>
      <w:tr w14:paraId="46163E6B">
        <w:trPr>
          <w:trHeight w:val="193" w:hRule="atLeast"/>
          <w:tblHeader/>
          <w:jc w:val="center"/>
        </w:trPr>
        <w:tc>
          <w:tcPr>
            <w:tcW w:w="369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9ACBA48">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Threshold summary</w:t>
            </w:r>
          </w:p>
        </w:tc>
        <w:tc>
          <w:tcPr>
            <w:tcW w:w="130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2854DC3">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Ferritin slope value</w:t>
            </w:r>
          </w:p>
        </w:tc>
      </w:tr>
      <w:tr w14:paraId="795E3DFC">
        <w:trPr>
          <w:trHeight w:val="193" w:hRule="atLeast"/>
          <w:jc w:val="center"/>
        </w:trPr>
        <w:tc>
          <w:tcPr>
            <w:tcW w:w="369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6D36FE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Main turning point</w:t>
            </w:r>
          </w:p>
        </w:tc>
        <w:tc>
          <w:tcPr>
            <w:tcW w:w="130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D81592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0.0645</w:t>
            </w:r>
          </w:p>
        </w:tc>
      </w:tr>
      <w:tr w14:paraId="6F2B6B74">
        <w:trPr>
          <w:trHeight w:val="193" w:hRule="atLeast"/>
          <w:jc w:val="center"/>
        </w:trPr>
        <w:tc>
          <w:tcPr>
            <w:tcW w:w="369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D63783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Middle 5%–95% turning point used for piecewise model</w:t>
            </w:r>
          </w:p>
        </w:tc>
        <w:tc>
          <w:tcPr>
            <w:tcW w:w="130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B510D5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0.0645</w:t>
            </w:r>
          </w:p>
        </w:tc>
      </w:tr>
    </w:tbl>
    <w:p w14:paraId="5A73CAA9">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sz w:val="20"/>
          <w:szCs w:val="22"/>
          <w:lang w:val="en-US" w:eastAsia="zh-CN"/>
        </w:rPr>
        <w:t>This table summarizes the estimated turning point identified in exploratory threshold analyses for ferritin slope in relation to repeated forced expiratory volume in 1 second (FEV₁). The primary turning point and the corresponding threshold retained after restriction to the middle 5%–95% of the ferritin slope distribution are shown. These analyses were used to guide the specification of the subsequent piecewise mixed-effects model.</w:t>
      </w:r>
    </w:p>
    <w:p w14:paraId="0E3277F5">
      <w:pPr>
        <w:spacing w:before="0" w:after="0" w:line="240" w:lineRule="auto"/>
        <w:rPr>
          <w:rFonts w:hint="default" w:ascii="Times New Roman Regular" w:hAnsi="Times New Roman Regular" w:cs="Times New Roman Regular"/>
          <w:sz w:val="22"/>
          <w:szCs w:val="22"/>
          <w:lang w:val="en-US" w:eastAsia="zh-CN"/>
        </w:rPr>
      </w:pPr>
      <w:r>
        <w:rPr>
          <w:rFonts w:hint="default" w:ascii="Times New Roman Regular" w:hAnsi="Times New Roman Regular" w:cs="Times New Roman Regular"/>
          <w:sz w:val="22"/>
          <w:szCs w:val="22"/>
          <w:lang w:val="en-US" w:eastAsia="zh-CN"/>
        </w:rPr>
        <w:br w:type="page"/>
      </w:r>
    </w:p>
    <w:p w14:paraId="2B0875E3">
      <w:pPr>
        <w:pStyle w:val="2"/>
        <w:keepNext/>
        <w:spacing w:before="0" w:after="120" w:line="240" w:lineRule="auto"/>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 xml:space="preserve">Supplementary Table S71. Key piecewise effects for ferritin slope and repeated </w:t>
      </w:r>
      <w:r>
        <w:rPr>
          <w:rFonts w:hint="default" w:ascii="Times New Roman" w:hAnsi="Times New Roman" w:eastAsia="Times New Roman" w:cs="Times New Roman Regular"/>
          <w:b/>
          <w:sz w:val="20"/>
          <w:szCs w:val="22"/>
          <w:lang w:val="en-US" w:eastAsia="zh-CN"/>
        </w:rPr>
        <w:t>FEV₁</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86"/>
        <w:gridCol w:w="3389"/>
        <w:gridCol w:w="1377"/>
        <w:gridCol w:w="6114"/>
      </w:tblGrid>
      <w:tr w14:paraId="616D4506">
        <w:trPr>
          <w:trHeight w:val="193" w:hRule="atLeast"/>
          <w:tblHeader/>
          <w:jc w:val="center"/>
        </w:trPr>
        <w:tc>
          <w:tcPr>
            <w:tcW w:w="1213"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AD93FFE">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Segment</w:t>
            </w:r>
          </w:p>
        </w:tc>
        <w:tc>
          <w:tcPr>
            <w:tcW w:w="117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2BA60D7">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β (95% CI)</w:t>
            </w:r>
          </w:p>
        </w:tc>
        <w:tc>
          <w:tcPr>
            <w:tcW w:w="47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140EAA44">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c>
          <w:tcPr>
            <w:tcW w:w="2127"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64651AD">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Interpretation</w:t>
            </w:r>
          </w:p>
        </w:tc>
      </w:tr>
      <w:tr w14:paraId="39346D77">
        <w:trPr>
          <w:trHeight w:val="193" w:hRule="atLeast"/>
          <w:jc w:val="center"/>
        </w:trPr>
        <w:tc>
          <w:tcPr>
            <w:tcW w:w="1213"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67E1AFD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Below cutoff (≤ 0.0645)</w:t>
            </w:r>
          </w:p>
        </w:tc>
        <w:tc>
          <w:tcPr>
            <w:tcW w:w="117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2FD5509">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0.557 (0.122 to 0.993)</w:t>
            </w:r>
          </w:p>
        </w:tc>
        <w:tc>
          <w:tcPr>
            <w:tcW w:w="47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18D973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0.012</w:t>
            </w:r>
          </w:p>
        </w:tc>
        <w:tc>
          <w:tcPr>
            <w:tcW w:w="2127"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F876F2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Higher </w:t>
            </w:r>
            <w:r>
              <w:rPr>
                <w:rFonts w:hint="default" w:ascii="Times New Roman" w:hAnsi="Times New Roman" w:eastAsia="Times New Roman" w:cs="Times New Roman Regular"/>
                <w:sz w:val="17"/>
                <w:szCs w:val="22"/>
                <w:lang w:val="en-US" w:eastAsia="zh-CN"/>
              </w:rPr>
              <w:t>FEV₁</w:t>
            </w:r>
            <w:r>
              <w:rPr>
                <w:rFonts w:hint="default" w:ascii="Times New Roman" w:hAnsi="Times New Roman" w:eastAsia="Times New Roman" w:cs="Times New Roman Regular"/>
                <w:i w:val="0"/>
                <w:iCs w:val="0"/>
                <w:color w:val="000000"/>
                <w:kern w:val="0"/>
                <w:sz w:val="17"/>
                <w:szCs w:val="22"/>
                <w:u w:val="none"/>
                <w:lang w:val="en-US" w:eastAsia="zh-CN" w:bidi="ar"/>
              </w:rPr>
              <w:t xml:space="preserve"> with increasing ferritin slope</w:t>
            </w:r>
          </w:p>
        </w:tc>
      </w:tr>
      <w:tr w14:paraId="6ECBD292">
        <w:trPr>
          <w:trHeight w:val="193" w:hRule="atLeast"/>
          <w:jc w:val="center"/>
        </w:trPr>
        <w:tc>
          <w:tcPr>
            <w:tcW w:w="1213"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B09B49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Above cutoff (&gt; 0.0645)</w:t>
            </w:r>
          </w:p>
        </w:tc>
        <w:tc>
          <w:tcPr>
            <w:tcW w:w="117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78200B3">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-0.682 (-1.275 to -0.088)</w:t>
            </w:r>
          </w:p>
        </w:tc>
        <w:tc>
          <w:tcPr>
            <w:tcW w:w="47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C92D11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0.024</w:t>
            </w:r>
          </w:p>
        </w:tc>
        <w:tc>
          <w:tcPr>
            <w:tcW w:w="212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31B587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 xml:space="preserve">Lower </w:t>
            </w:r>
            <w:r>
              <w:rPr>
                <w:rFonts w:hint="default" w:ascii="Times New Roman" w:hAnsi="Times New Roman" w:eastAsia="Times New Roman" w:cs="Times New Roman Regular"/>
                <w:sz w:val="17"/>
                <w:szCs w:val="22"/>
                <w:lang w:val="en-US" w:eastAsia="zh-CN"/>
              </w:rPr>
              <w:t>FEV₁</w:t>
            </w:r>
            <w:r>
              <w:rPr>
                <w:rFonts w:hint="default" w:ascii="Times New Roman" w:hAnsi="Times New Roman" w:eastAsia="Times New Roman" w:cs="Times New Roman Regular"/>
                <w:i w:val="0"/>
                <w:iCs w:val="0"/>
                <w:color w:val="000000"/>
                <w:kern w:val="0"/>
                <w:sz w:val="17"/>
                <w:szCs w:val="22"/>
                <w:u w:val="none"/>
                <w:lang w:val="en-US" w:eastAsia="zh-CN" w:bidi="ar"/>
              </w:rPr>
              <w:t xml:space="preserve"> with increasing ferritin slope</w:t>
            </w:r>
          </w:p>
        </w:tc>
      </w:tr>
    </w:tbl>
    <w:p w14:paraId="09C76CC9">
      <w:pPr>
        <w:spacing w:before="0" w:after="120" w:line="240" w:lineRule="auto"/>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sz w:val="20"/>
          <w:szCs w:val="22"/>
          <w:lang w:val="en-US" w:eastAsia="zh-CN"/>
        </w:rPr>
        <w:t>Regression coefficients (β), 95% confidence intervals (CIs), and P values are shown from the Hb-adjusted piecewise linear mixed-effects model evaluating the association between ferritin slope and repeated forced expiratory volume in 1 second (FEV₁) below and above the estimated turning point of 0.0645. Interpretive labels are provided to summarize the direction of association in each segment. Models were adjusted for age, sex, smoking status, body mass index (BMI), log-transformed C-reactive protein (CRP), and hemoglobin (Hb).</w:t>
      </w:r>
    </w:p>
    <w:p w14:paraId="57597D16">
      <w:pPr>
        <w:spacing w:before="0" w:after="0" w:line="240" w:lineRule="auto"/>
        <w:rPr>
          <w:rFonts w:hint="default" w:ascii="Times New Roman Regular" w:hAnsi="Times New Roman Regular" w:cs="Times New Roman Regular"/>
          <w:sz w:val="22"/>
          <w:szCs w:val="22"/>
          <w:lang w:val="en-US" w:eastAsia="zh-CN"/>
        </w:rPr>
      </w:pPr>
      <w:r>
        <w:rPr>
          <w:rFonts w:hint="default" w:ascii="Times New Roman Regular" w:hAnsi="Times New Roman Regular" w:cs="Times New Roman Regular"/>
          <w:sz w:val="22"/>
          <w:szCs w:val="22"/>
          <w:lang w:val="en-US" w:eastAsia="zh-CN"/>
        </w:rPr>
        <w:br w:type="page"/>
      </w:r>
    </w:p>
    <w:p w14:paraId="0E023E48">
      <w:pPr>
        <w:pStyle w:val="2"/>
        <w:keepNext/>
        <w:tabs>
          <w:tab w:val="left" w:pos="1206"/>
        </w:tabs>
        <w:bidi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S72. Full fixed-effect estimates from the Hb-adjusted piecewise ferritin slope model for repeated FEV₁</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23"/>
        <w:gridCol w:w="4515"/>
        <w:gridCol w:w="3828"/>
      </w:tblGrid>
      <w:tr w14:paraId="2ACAA199">
        <w:trPr>
          <w:trHeight w:val="193" w:hRule="atLeast"/>
          <w:tblHeader/>
          <w:jc w:val="center"/>
        </w:trPr>
        <w:tc>
          <w:tcPr>
            <w:tcW w:w="2096"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3B0E0CB0">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Term</w:t>
            </w:r>
          </w:p>
        </w:tc>
        <w:tc>
          <w:tcPr>
            <w:tcW w:w="1571"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7FBC307">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Estimate (95% CI)</w:t>
            </w:r>
          </w:p>
        </w:tc>
        <w:tc>
          <w:tcPr>
            <w:tcW w:w="1332"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E1D62B9">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6EBA20AF">
        <w:trPr>
          <w:trHeight w:val="193" w:hRule="atLeast"/>
          <w:jc w:val="center"/>
        </w:trPr>
        <w:tc>
          <w:tcPr>
            <w:tcW w:w="2096"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5DB404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Intercept</w:t>
            </w:r>
          </w:p>
        </w:tc>
        <w:tc>
          <w:tcPr>
            <w:tcW w:w="1571"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2EDA917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5.333 (4.692 to 5.974)</w:t>
            </w:r>
          </w:p>
        </w:tc>
        <w:tc>
          <w:tcPr>
            <w:tcW w:w="1332"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C252A3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&lt;0.001</w:t>
            </w:r>
          </w:p>
        </w:tc>
      </w:tr>
      <w:tr w14:paraId="25733F2C">
        <w:trPr>
          <w:trHeight w:val="193" w:hRule="atLeast"/>
          <w:jc w:val="center"/>
        </w:trPr>
        <w:tc>
          <w:tcPr>
            <w:tcW w:w="2096" w:type="pct"/>
            <w:tcBorders>
              <w:top w:val="nil"/>
              <w:left w:val="nil"/>
              <w:bottom w:val="nil"/>
              <w:right w:val="nil"/>
            </w:tcBorders>
            <w:shd w:val="clear" w:color="auto" w:fill="FFFFFF"/>
            <w:tcMar>
              <w:top w:w="55" w:type="dxa"/>
              <w:left w:w="55" w:type="dxa"/>
              <w:bottom w:w="55" w:type="dxa"/>
              <w:right w:w="55" w:type="dxa"/>
            </w:tcMar>
            <w:vAlign w:val="center"/>
          </w:tcPr>
          <w:p w14:paraId="4746551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Time (years)</w:t>
            </w:r>
          </w:p>
        </w:tc>
        <w:tc>
          <w:tcPr>
            <w:tcW w:w="1571" w:type="pct"/>
            <w:tcBorders>
              <w:top w:val="nil"/>
              <w:left w:val="nil"/>
              <w:bottom w:val="nil"/>
              <w:right w:val="nil"/>
            </w:tcBorders>
            <w:shd w:val="clear" w:color="auto" w:fill="FFFFFF"/>
            <w:tcMar>
              <w:top w:w="55" w:type="dxa"/>
              <w:left w:w="55" w:type="dxa"/>
              <w:bottom w:w="55" w:type="dxa"/>
              <w:right w:w="55" w:type="dxa"/>
            </w:tcMar>
            <w:vAlign w:val="center"/>
          </w:tcPr>
          <w:p w14:paraId="0D06B8D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0.005 (-0.003 to 0.014)</w:t>
            </w:r>
          </w:p>
        </w:tc>
        <w:tc>
          <w:tcPr>
            <w:tcW w:w="1332" w:type="pct"/>
            <w:tcBorders>
              <w:top w:val="nil"/>
              <w:left w:val="nil"/>
              <w:bottom w:val="nil"/>
              <w:right w:val="nil"/>
            </w:tcBorders>
            <w:shd w:val="clear" w:color="auto" w:fill="FFFFFF"/>
            <w:tcMar>
              <w:top w:w="55" w:type="dxa"/>
              <w:left w:w="55" w:type="dxa"/>
              <w:bottom w:w="55" w:type="dxa"/>
              <w:right w:w="55" w:type="dxa"/>
            </w:tcMar>
            <w:vAlign w:val="center"/>
          </w:tcPr>
          <w:p w14:paraId="2364274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0.23</w:t>
            </w:r>
          </w:p>
        </w:tc>
      </w:tr>
      <w:tr w14:paraId="48DB0A10">
        <w:trPr>
          <w:trHeight w:val="193" w:hRule="atLeast"/>
          <w:jc w:val="center"/>
        </w:trPr>
        <w:tc>
          <w:tcPr>
            <w:tcW w:w="2096" w:type="pct"/>
            <w:tcBorders>
              <w:top w:val="nil"/>
              <w:left w:val="nil"/>
              <w:bottom w:val="nil"/>
              <w:right w:val="nil"/>
            </w:tcBorders>
            <w:shd w:val="clear" w:color="auto" w:fill="FFFFFF"/>
            <w:tcMar>
              <w:top w:w="55" w:type="dxa"/>
              <w:left w:w="55" w:type="dxa"/>
              <w:bottom w:w="55" w:type="dxa"/>
              <w:right w:w="55" w:type="dxa"/>
            </w:tcMar>
            <w:vAlign w:val="center"/>
          </w:tcPr>
          <w:p w14:paraId="47237DE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slope below cutoff (≤ 0.0645)</w:t>
            </w:r>
          </w:p>
        </w:tc>
        <w:tc>
          <w:tcPr>
            <w:tcW w:w="1571" w:type="pct"/>
            <w:tcBorders>
              <w:top w:val="nil"/>
              <w:left w:val="nil"/>
              <w:bottom w:val="nil"/>
              <w:right w:val="nil"/>
            </w:tcBorders>
            <w:shd w:val="clear" w:color="auto" w:fill="FFFFFF"/>
            <w:tcMar>
              <w:top w:w="55" w:type="dxa"/>
              <w:left w:w="55" w:type="dxa"/>
              <w:bottom w:w="55" w:type="dxa"/>
              <w:right w:w="55" w:type="dxa"/>
            </w:tcMar>
            <w:vAlign w:val="center"/>
          </w:tcPr>
          <w:p w14:paraId="3F51C45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0.557 (0.122 to 0.993)</w:t>
            </w:r>
          </w:p>
        </w:tc>
        <w:tc>
          <w:tcPr>
            <w:tcW w:w="1332" w:type="pct"/>
            <w:tcBorders>
              <w:top w:val="nil"/>
              <w:left w:val="nil"/>
              <w:bottom w:val="nil"/>
              <w:right w:val="nil"/>
            </w:tcBorders>
            <w:shd w:val="clear" w:color="auto" w:fill="FFFFFF"/>
            <w:tcMar>
              <w:top w:w="55" w:type="dxa"/>
              <w:left w:w="55" w:type="dxa"/>
              <w:bottom w:w="55" w:type="dxa"/>
              <w:right w:w="55" w:type="dxa"/>
            </w:tcMar>
            <w:vAlign w:val="center"/>
          </w:tcPr>
          <w:p w14:paraId="506A474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0.012</w:t>
            </w:r>
          </w:p>
        </w:tc>
      </w:tr>
      <w:tr w14:paraId="75C433FD">
        <w:trPr>
          <w:trHeight w:val="193" w:hRule="atLeast"/>
          <w:jc w:val="center"/>
        </w:trPr>
        <w:tc>
          <w:tcPr>
            <w:tcW w:w="2096" w:type="pct"/>
            <w:tcBorders>
              <w:top w:val="nil"/>
              <w:left w:val="nil"/>
              <w:bottom w:val="nil"/>
              <w:right w:val="nil"/>
            </w:tcBorders>
            <w:shd w:val="clear" w:color="auto" w:fill="FFFFFF"/>
            <w:tcMar>
              <w:top w:w="55" w:type="dxa"/>
              <w:left w:w="55" w:type="dxa"/>
              <w:bottom w:w="55" w:type="dxa"/>
              <w:right w:w="55" w:type="dxa"/>
            </w:tcMar>
            <w:vAlign w:val="center"/>
          </w:tcPr>
          <w:p w14:paraId="55B7905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slope above cutoff (&gt; 0.0645)</w:t>
            </w:r>
          </w:p>
        </w:tc>
        <w:tc>
          <w:tcPr>
            <w:tcW w:w="1571" w:type="pct"/>
            <w:tcBorders>
              <w:top w:val="nil"/>
              <w:left w:val="nil"/>
              <w:bottom w:val="nil"/>
              <w:right w:val="nil"/>
            </w:tcBorders>
            <w:shd w:val="clear" w:color="auto" w:fill="FFFFFF"/>
            <w:tcMar>
              <w:top w:w="55" w:type="dxa"/>
              <w:left w:w="55" w:type="dxa"/>
              <w:bottom w:w="55" w:type="dxa"/>
              <w:right w:w="55" w:type="dxa"/>
            </w:tcMar>
            <w:vAlign w:val="center"/>
          </w:tcPr>
          <w:p w14:paraId="5543A69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-0.682 (-1.275 to -0.088)</w:t>
            </w:r>
          </w:p>
        </w:tc>
        <w:tc>
          <w:tcPr>
            <w:tcW w:w="1332" w:type="pct"/>
            <w:tcBorders>
              <w:top w:val="nil"/>
              <w:left w:val="nil"/>
              <w:bottom w:val="nil"/>
              <w:right w:val="nil"/>
            </w:tcBorders>
            <w:shd w:val="clear" w:color="auto" w:fill="FFFFFF"/>
            <w:tcMar>
              <w:top w:w="55" w:type="dxa"/>
              <w:left w:w="55" w:type="dxa"/>
              <w:bottom w:w="55" w:type="dxa"/>
              <w:right w:w="55" w:type="dxa"/>
            </w:tcMar>
            <w:vAlign w:val="center"/>
          </w:tcPr>
          <w:p w14:paraId="0D72059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0.024</w:t>
            </w:r>
          </w:p>
        </w:tc>
      </w:tr>
      <w:tr w14:paraId="6DBCA896">
        <w:trPr>
          <w:trHeight w:val="193" w:hRule="atLeast"/>
          <w:jc w:val="center"/>
        </w:trPr>
        <w:tc>
          <w:tcPr>
            <w:tcW w:w="2096" w:type="pct"/>
            <w:tcBorders>
              <w:top w:val="nil"/>
              <w:left w:val="nil"/>
              <w:bottom w:val="nil"/>
              <w:right w:val="nil"/>
            </w:tcBorders>
            <w:shd w:val="clear" w:color="auto" w:fill="FFFFFF"/>
            <w:tcMar>
              <w:top w:w="55" w:type="dxa"/>
              <w:left w:w="55" w:type="dxa"/>
              <w:bottom w:w="55" w:type="dxa"/>
              <w:right w:w="55" w:type="dxa"/>
            </w:tcMar>
            <w:vAlign w:val="center"/>
          </w:tcPr>
          <w:p w14:paraId="158C3AE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Age</w:t>
            </w:r>
          </w:p>
        </w:tc>
        <w:tc>
          <w:tcPr>
            <w:tcW w:w="1571" w:type="pct"/>
            <w:tcBorders>
              <w:top w:val="nil"/>
              <w:left w:val="nil"/>
              <w:bottom w:val="nil"/>
              <w:right w:val="nil"/>
            </w:tcBorders>
            <w:shd w:val="clear" w:color="auto" w:fill="FFFFFF"/>
            <w:tcMar>
              <w:top w:w="55" w:type="dxa"/>
              <w:left w:w="55" w:type="dxa"/>
              <w:bottom w:w="55" w:type="dxa"/>
              <w:right w:w="55" w:type="dxa"/>
            </w:tcMar>
            <w:vAlign w:val="center"/>
          </w:tcPr>
          <w:p w14:paraId="2305A43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-0.035 (-0.040 to -0.029)</w:t>
            </w:r>
          </w:p>
        </w:tc>
        <w:tc>
          <w:tcPr>
            <w:tcW w:w="1332" w:type="pct"/>
            <w:tcBorders>
              <w:top w:val="nil"/>
              <w:left w:val="nil"/>
              <w:bottom w:val="nil"/>
              <w:right w:val="nil"/>
            </w:tcBorders>
            <w:shd w:val="clear" w:color="auto" w:fill="FFFFFF"/>
            <w:tcMar>
              <w:top w:w="55" w:type="dxa"/>
              <w:left w:w="55" w:type="dxa"/>
              <w:bottom w:w="55" w:type="dxa"/>
              <w:right w:w="55" w:type="dxa"/>
            </w:tcMar>
            <w:vAlign w:val="center"/>
          </w:tcPr>
          <w:p w14:paraId="2130321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&lt;0.001</w:t>
            </w:r>
          </w:p>
        </w:tc>
      </w:tr>
      <w:tr w14:paraId="77B70522">
        <w:trPr>
          <w:trHeight w:val="193" w:hRule="atLeast"/>
          <w:jc w:val="center"/>
        </w:trPr>
        <w:tc>
          <w:tcPr>
            <w:tcW w:w="2096" w:type="pct"/>
            <w:tcBorders>
              <w:top w:val="nil"/>
              <w:left w:val="nil"/>
              <w:bottom w:val="nil"/>
              <w:right w:val="nil"/>
            </w:tcBorders>
            <w:shd w:val="clear" w:color="auto" w:fill="FFFFFF"/>
            <w:tcMar>
              <w:top w:w="55" w:type="dxa"/>
              <w:left w:w="55" w:type="dxa"/>
              <w:bottom w:w="55" w:type="dxa"/>
              <w:right w:w="55" w:type="dxa"/>
            </w:tcMar>
            <w:vAlign w:val="center"/>
          </w:tcPr>
          <w:p w14:paraId="3F7E6A2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Sex</w:t>
            </w:r>
          </w:p>
        </w:tc>
        <w:tc>
          <w:tcPr>
            <w:tcW w:w="1571" w:type="pct"/>
            <w:tcBorders>
              <w:top w:val="nil"/>
              <w:left w:val="nil"/>
              <w:bottom w:val="nil"/>
              <w:right w:val="nil"/>
            </w:tcBorders>
            <w:shd w:val="clear" w:color="auto" w:fill="FFFFFF"/>
            <w:tcMar>
              <w:top w:w="55" w:type="dxa"/>
              <w:left w:w="55" w:type="dxa"/>
              <w:bottom w:w="55" w:type="dxa"/>
              <w:right w:w="55" w:type="dxa"/>
            </w:tcMar>
            <w:vAlign w:val="center"/>
          </w:tcPr>
          <w:p w14:paraId="2CABA75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-0.689 (-0.790 to -0.589)</w:t>
            </w:r>
          </w:p>
        </w:tc>
        <w:tc>
          <w:tcPr>
            <w:tcW w:w="1332" w:type="pct"/>
            <w:tcBorders>
              <w:top w:val="nil"/>
              <w:left w:val="nil"/>
              <w:bottom w:val="nil"/>
              <w:right w:val="nil"/>
            </w:tcBorders>
            <w:shd w:val="clear" w:color="auto" w:fill="FFFFFF"/>
            <w:tcMar>
              <w:top w:w="55" w:type="dxa"/>
              <w:left w:w="55" w:type="dxa"/>
              <w:bottom w:w="55" w:type="dxa"/>
              <w:right w:w="55" w:type="dxa"/>
            </w:tcMar>
            <w:vAlign w:val="center"/>
          </w:tcPr>
          <w:p w14:paraId="6278AEE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&lt;0.001</w:t>
            </w:r>
          </w:p>
        </w:tc>
      </w:tr>
      <w:tr w14:paraId="74739154">
        <w:trPr>
          <w:trHeight w:val="193" w:hRule="atLeast"/>
          <w:jc w:val="center"/>
        </w:trPr>
        <w:tc>
          <w:tcPr>
            <w:tcW w:w="2096" w:type="pct"/>
            <w:tcBorders>
              <w:top w:val="nil"/>
              <w:left w:val="nil"/>
              <w:bottom w:val="nil"/>
              <w:right w:val="nil"/>
            </w:tcBorders>
            <w:shd w:val="clear" w:color="auto" w:fill="FFFFFF"/>
            <w:tcMar>
              <w:top w:w="55" w:type="dxa"/>
              <w:left w:w="55" w:type="dxa"/>
              <w:bottom w:w="55" w:type="dxa"/>
              <w:right w:w="55" w:type="dxa"/>
            </w:tcMar>
            <w:vAlign w:val="center"/>
          </w:tcPr>
          <w:p w14:paraId="57238E5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Smoking</w:t>
            </w:r>
          </w:p>
        </w:tc>
        <w:tc>
          <w:tcPr>
            <w:tcW w:w="1571" w:type="pct"/>
            <w:tcBorders>
              <w:top w:val="nil"/>
              <w:left w:val="nil"/>
              <w:bottom w:val="nil"/>
              <w:right w:val="nil"/>
            </w:tcBorders>
            <w:shd w:val="clear" w:color="auto" w:fill="FFFFFF"/>
            <w:tcMar>
              <w:top w:w="55" w:type="dxa"/>
              <w:left w:w="55" w:type="dxa"/>
              <w:bottom w:w="55" w:type="dxa"/>
              <w:right w:w="55" w:type="dxa"/>
            </w:tcMar>
            <w:vAlign w:val="center"/>
          </w:tcPr>
          <w:p w14:paraId="4A659AF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-0.081 (-0.171 to 0.010)</w:t>
            </w:r>
          </w:p>
        </w:tc>
        <w:tc>
          <w:tcPr>
            <w:tcW w:w="1332" w:type="pct"/>
            <w:tcBorders>
              <w:top w:val="nil"/>
              <w:left w:val="nil"/>
              <w:bottom w:val="nil"/>
              <w:right w:val="nil"/>
            </w:tcBorders>
            <w:shd w:val="clear" w:color="auto" w:fill="FFFFFF"/>
            <w:tcMar>
              <w:top w:w="55" w:type="dxa"/>
              <w:left w:w="55" w:type="dxa"/>
              <w:bottom w:w="55" w:type="dxa"/>
              <w:right w:w="55" w:type="dxa"/>
            </w:tcMar>
            <w:vAlign w:val="center"/>
          </w:tcPr>
          <w:p w14:paraId="1633BC5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0.081</w:t>
            </w:r>
          </w:p>
        </w:tc>
      </w:tr>
      <w:tr w14:paraId="28F00A6A">
        <w:trPr>
          <w:trHeight w:val="193" w:hRule="atLeast"/>
          <w:jc w:val="center"/>
        </w:trPr>
        <w:tc>
          <w:tcPr>
            <w:tcW w:w="2096" w:type="pct"/>
            <w:tcBorders>
              <w:top w:val="nil"/>
              <w:left w:val="nil"/>
              <w:bottom w:val="nil"/>
              <w:right w:val="nil"/>
            </w:tcBorders>
            <w:shd w:val="clear" w:color="auto" w:fill="FFFFFF"/>
            <w:tcMar>
              <w:top w:w="55" w:type="dxa"/>
              <w:left w:w="55" w:type="dxa"/>
              <w:bottom w:w="55" w:type="dxa"/>
              <w:right w:w="55" w:type="dxa"/>
            </w:tcMar>
            <w:vAlign w:val="center"/>
          </w:tcPr>
          <w:p w14:paraId="64BB086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BMI</w:t>
            </w:r>
          </w:p>
        </w:tc>
        <w:tc>
          <w:tcPr>
            <w:tcW w:w="1571" w:type="pct"/>
            <w:tcBorders>
              <w:top w:val="nil"/>
              <w:left w:val="nil"/>
              <w:bottom w:val="nil"/>
              <w:right w:val="nil"/>
            </w:tcBorders>
            <w:shd w:val="clear" w:color="auto" w:fill="FFFFFF"/>
            <w:tcMar>
              <w:top w:w="55" w:type="dxa"/>
              <w:left w:w="55" w:type="dxa"/>
              <w:bottom w:w="55" w:type="dxa"/>
              <w:right w:w="55" w:type="dxa"/>
            </w:tcMar>
            <w:vAlign w:val="center"/>
          </w:tcPr>
          <w:p w14:paraId="3D80B6D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-0.004 (-0.012 to 0.004)</w:t>
            </w:r>
          </w:p>
        </w:tc>
        <w:tc>
          <w:tcPr>
            <w:tcW w:w="1332" w:type="pct"/>
            <w:tcBorders>
              <w:top w:val="nil"/>
              <w:left w:val="nil"/>
              <w:bottom w:val="nil"/>
              <w:right w:val="nil"/>
            </w:tcBorders>
            <w:shd w:val="clear" w:color="auto" w:fill="FFFFFF"/>
            <w:tcMar>
              <w:top w:w="55" w:type="dxa"/>
              <w:left w:w="55" w:type="dxa"/>
              <w:bottom w:w="55" w:type="dxa"/>
              <w:right w:w="55" w:type="dxa"/>
            </w:tcMar>
            <w:vAlign w:val="center"/>
          </w:tcPr>
          <w:p w14:paraId="00E35B5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0.278</w:t>
            </w:r>
          </w:p>
        </w:tc>
      </w:tr>
      <w:tr w14:paraId="17A3552E">
        <w:trPr>
          <w:trHeight w:val="193" w:hRule="atLeast"/>
          <w:jc w:val="center"/>
        </w:trPr>
        <w:tc>
          <w:tcPr>
            <w:tcW w:w="2096" w:type="pct"/>
            <w:tcBorders>
              <w:top w:val="nil"/>
              <w:left w:val="nil"/>
              <w:bottom w:val="nil"/>
              <w:right w:val="nil"/>
            </w:tcBorders>
            <w:shd w:val="clear" w:color="auto" w:fill="FFFFFF"/>
            <w:tcMar>
              <w:top w:w="55" w:type="dxa"/>
              <w:left w:w="55" w:type="dxa"/>
              <w:bottom w:w="55" w:type="dxa"/>
              <w:right w:w="55" w:type="dxa"/>
            </w:tcMar>
            <w:vAlign w:val="center"/>
          </w:tcPr>
          <w:p w14:paraId="56CB4F3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log(CRP)</w:t>
            </w:r>
          </w:p>
        </w:tc>
        <w:tc>
          <w:tcPr>
            <w:tcW w:w="1571" w:type="pct"/>
            <w:tcBorders>
              <w:top w:val="nil"/>
              <w:left w:val="nil"/>
              <w:bottom w:val="nil"/>
              <w:right w:val="nil"/>
            </w:tcBorders>
            <w:shd w:val="clear" w:color="auto" w:fill="FFFFFF"/>
            <w:tcMar>
              <w:top w:w="55" w:type="dxa"/>
              <w:left w:w="55" w:type="dxa"/>
              <w:bottom w:w="55" w:type="dxa"/>
              <w:right w:w="55" w:type="dxa"/>
            </w:tcMar>
            <w:vAlign w:val="center"/>
          </w:tcPr>
          <w:p w14:paraId="1C55019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-0.051 (-0.071 to -0.031)</w:t>
            </w:r>
          </w:p>
        </w:tc>
        <w:tc>
          <w:tcPr>
            <w:tcW w:w="1332" w:type="pct"/>
            <w:tcBorders>
              <w:top w:val="nil"/>
              <w:left w:val="nil"/>
              <w:bottom w:val="nil"/>
              <w:right w:val="nil"/>
            </w:tcBorders>
            <w:shd w:val="clear" w:color="auto" w:fill="FFFFFF"/>
            <w:tcMar>
              <w:top w:w="55" w:type="dxa"/>
              <w:left w:w="55" w:type="dxa"/>
              <w:bottom w:w="55" w:type="dxa"/>
              <w:right w:w="55" w:type="dxa"/>
            </w:tcMar>
            <w:vAlign w:val="center"/>
          </w:tcPr>
          <w:p w14:paraId="61E686F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&lt;0.001</w:t>
            </w:r>
          </w:p>
        </w:tc>
      </w:tr>
      <w:tr w14:paraId="6497EEB6">
        <w:trPr>
          <w:trHeight w:val="193" w:hRule="atLeast"/>
          <w:jc w:val="center"/>
        </w:trPr>
        <w:tc>
          <w:tcPr>
            <w:tcW w:w="2096"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549E24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Hemoglobin</w:t>
            </w:r>
          </w:p>
        </w:tc>
        <w:tc>
          <w:tcPr>
            <w:tcW w:w="1571"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BB6F0C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-0.021 (-0.049 to 0.007)</w:t>
            </w:r>
          </w:p>
        </w:tc>
        <w:tc>
          <w:tcPr>
            <w:tcW w:w="1332"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559B78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0.14</w:t>
            </w:r>
          </w:p>
        </w:tc>
      </w:tr>
    </w:tbl>
    <w:p w14:paraId="77B68F01">
      <w:pPr>
        <w:tabs>
          <w:tab w:val="left" w:pos="1206"/>
        </w:tabs>
        <w:bidi w:val="0"/>
        <w:spacing w:before="0" w:after="120" w:line="240" w:lineRule="auto"/>
        <w:jc w:val="left"/>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sz w:val="20"/>
          <w:szCs w:val="22"/>
          <w:lang w:val="en-US" w:eastAsia="zh-CN"/>
        </w:rPr>
        <w:t>Fixed-effect estimates, 95% confidence intervals (CIs), and P values are shown from the Hb-adjusted piecewise linear mixed-effects model examining ferritin slope in relation to repeated forced expiratory volume in 1 second (FEV₁). The ferritin slope exposure was modeled as two linear segments split at the estimated turning point of 0.0645. Models were adjusted for age, sex, smoking status, body mass index (BMI), log-transformed C-reactive protein (CRP), and hemoglobin (Hb), with participant-level random intercepts to account for repeated measurements.</w:t>
      </w:r>
    </w:p>
    <w:p w14:paraId="34D81A80">
      <w:pPr>
        <w:spacing w:before="0" w:after="0" w:line="240" w:lineRule="auto"/>
        <w:rPr>
          <w:rFonts w:hint="default" w:ascii="Times New Roman Regular" w:hAnsi="Times New Roman Regular" w:cs="Times New Roman Regular"/>
          <w:sz w:val="22"/>
          <w:szCs w:val="22"/>
          <w:lang w:val="en-US" w:eastAsia="zh-CN"/>
        </w:rPr>
      </w:pPr>
      <w:r>
        <w:rPr>
          <w:rFonts w:hint="default" w:ascii="Times New Roman Regular" w:hAnsi="Times New Roman Regular" w:cs="Times New Roman Regular"/>
          <w:sz w:val="22"/>
          <w:szCs w:val="22"/>
          <w:lang w:val="en-US" w:eastAsia="zh-CN"/>
        </w:rPr>
        <w:br w:type="page"/>
      </w:r>
    </w:p>
    <w:p w14:paraId="358884EB">
      <w:pPr>
        <w:pStyle w:val="2"/>
        <w:keepNext/>
        <w:spacing w:before="0" w:after="120" w:line="240" w:lineRule="auto"/>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S73. Random-effects estimates from the Hb-adjusted piecewise ferritin slope model for repeated FEV₁</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454"/>
        <w:gridCol w:w="4912"/>
      </w:tblGrid>
      <w:tr w14:paraId="69D69312">
        <w:trPr>
          <w:trHeight w:val="193" w:hRule="atLeast"/>
          <w:tblHeader/>
          <w:jc w:val="center"/>
        </w:trPr>
        <w:tc>
          <w:tcPr>
            <w:tcW w:w="1898" w:type="dxa"/>
            <w:tcBorders>
              <w:top w:val="single" w:color="000000" w:sz="12" w:space="0"/>
              <w:left w:val="nil"/>
              <w:bottom w:val="single" w:color="000000" w:sz="4" w:space="0"/>
              <w:right w:val="nil"/>
              <w:tl2br w:val="nil"/>
            </w:tcBorders>
            <w:shd w:val="clear" w:color="auto" w:fill="EAF2F8"/>
            <w:tcMar>
              <w:top w:w="55" w:type="dxa"/>
              <w:left w:w="55" w:type="dxa"/>
              <w:bottom w:w="55" w:type="dxa"/>
              <w:right w:w="55" w:type="dxa"/>
            </w:tcMar>
            <w:vAlign w:val="center"/>
          </w:tcPr>
          <w:p w14:paraId="55C21170">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Parameter</w:t>
            </w:r>
          </w:p>
        </w:tc>
        <w:tc>
          <w:tcPr>
            <w:tcW w:w="986" w:type="dxa"/>
            <w:tcBorders>
              <w:top w:val="single" w:color="000000" w:sz="12" w:space="0"/>
              <w:left w:val="nil"/>
              <w:bottom w:val="single" w:color="000000" w:sz="4" w:space="0"/>
              <w:right w:val="nil"/>
            </w:tcBorders>
            <w:shd w:val="clear" w:color="auto" w:fill="EAF2F8"/>
            <w:tcMar>
              <w:top w:w="55" w:type="dxa"/>
              <w:left w:w="55" w:type="dxa"/>
              <w:bottom w:w="55" w:type="dxa"/>
              <w:right w:w="55" w:type="dxa"/>
            </w:tcMar>
            <w:vAlign w:val="center"/>
          </w:tcPr>
          <w:p w14:paraId="7FEBC995">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Estimate</w:t>
            </w:r>
          </w:p>
        </w:tc>
      </w:tr>
      <w:tr w14:paraId="2D379B7B">
        <w:trPr>
          <w:trHeight w:val="193" w:hRule="atLeast"/>
          <w:jc w:val="center"/>
        </w:trPr>
        <w:tc>
          <w:tcPr>
            <w:tcW w:w="1898" w:type="dxa"/>
            <w:tcBorders>
              <w:top w:val="single" w:color="000000" w:sz="4" w:space="0"/>
              <w:left w:val="nil"/>
              <w:bottom w:val="nil"/>
              <w:right w:val="nil"/>
            </w:tcBorders>
            <w:shd w:val="clear" w:color="auto" w:fill="FFFFFF"/>
            <w:tcMar>
              <w:top w:w="55" w:type="dxa"/>
              <w:left w:w="55" w:type="dxa"/>
              <w:bottom w:w="55" w:type="dxa"/>
              <w:right w:w="55" w:type="dxa"/>
            </w:tcMar>
            <w:vAlign w:val="center"/>
          </w:tcPr>
          <w:p w14:paraId="0CD7110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Random intercept SD (participant)</w:t>
            </w:r>
          </w:p>
        </w:tc>
        <w:tc>
          <w:tcPr>
            <w:tcW w:w="986" w:type="dxa"/>
            <w:tcBorders>
              <w:top w:val="single" w:color="000000" w:sz="4" w:space="0"/>
              <w:left w:val="nil"/>
              <w:bottom w:val="nil"/>
              <w:right w:val="nil"/>
            </w:tcBorders>
            <w:shd w:val="clear" w:color="auto" w:fill="FFFFFF"/>
            <w:tcMar>
              <w:top w:w="55" w:type="dxa"/>
              <w:left w:w="55" w:type="dxa"/>
              <w:bottom w:w="55" w:type="dxa"/>
              <w:right w:w="55" w:type="dxa"/>
            </w:tcMar>
            <w:vAlign w:val="center"/>
          </w:tcPr>
          <w:p w14:paraId="3091924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0.481</w:t>
            </w:r>
          </w:p>
        </w:tc>
      </w:tr>
      <w:tr w14:paraId="0144D34B">
        <w:trPr>
          <w:trHeight w:val="193" w:hRule="atLeast"/>
          <w:jc w:val="center"/>
        </w:trPr>
        <w:tc>
          <w:tcPr>
            <w:tcW w:w="1898" w:type="dxa"/>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15A7C2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Residual SD</w:t>
            </w:r>
          </w:p>
        </w:tc>
        <w:tc>
          <w:tcPr>
            <w:tcW w:w="986" w:type="dxa"/>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4D2A91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7"/>
                <w:szCs w:val="22"/>
                <w:u w:val="none"/>
                <w:lang w:val="en-US" w:eastAsia="zh-CN" w:bidi="ar"/>
              </w:rPr>
              <w:t>0.326</w:t>
            </w:r>
          </w:p>
        </w:tc>
      </w:tr>
    </w:tbl>
    <w:p w14:paraId="50A97E6F">
      <w:pPr>
        <w:spacing w:before="0" w:after="120" w:line="240" w:lineRule="auto"/>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sz w:val="20"/>
          <w:szCs w:val="22"/>
          <w:lang w:val="en-US" w:eastAsia="zh-CN"/>
        </w:rPr>
        <w:t>This table presents random-effects estimates from the Hb-adjusted piecewise linear mixed-effects model examining ferritin slope in relation to repeated forced expiratory volume in 1 second (FEV₁). Reported values include the standard deviation (SD) of the participant-level random intercept and the residual SD. These estimates are provided to document the variance structure of the piecewise model.</w:t>
      </w:r>
    </w:p>
    <w:p w14:paraId="7544927D">
      <w:pPr>
        <w:spacing w:before="0" w:after="0" w:line="240" w:lineRule="auto"/>
        <w:rPr>
          <w:rFonts w:hint="default" w:ascii="Times New Roman Regular" w:hAnsi="Times New Roman Regular" w:cs="Times New Roman Regular"/>
          <w:sz w:val="22"/>
          <w:szCs w:val="22"/>
          <w:lang w:val="en-US" w:eastAsia="zh-CN"/>
        </w:rPr>
      </w:pPr>
      <w:r>
        <w:rPr>
          <w:rFonts w:hint="default" w:ascii="Times New Roman Regular" w:hAnsi="Times New Roman Regular" w:cs="Times New Roman Regular"/>
          <w:sz w:val="22"/>
          <w:szCs w:val="22"/>
          <w:lang w:val="en-US" w:eastAsia="zh-CN"/>
        </w:rPr>
        <w:br w:type="page"/>
      </w:r>
    </w:p>
    <w:p w14:paraId="7DE93E6F">
      <w:pPr>
        <w:pStyle w:val="2"/>
        <w:keepNext/>
        <w:keepLines w:val="0"/>
        <w:widowControl/>
        <w:suppressLineNumbers w:val="0"/>
        <w:spacing w:before="0" w:after="120" w:line="240" w:lineRule="auto"/>
        <w:jc w:val="left"/>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kern w:val="0"/>
          <w:sz w:val="20"/>
          <w:szCs w:val="22"/>
          <w:lang w:val="en-US" w:eastAsia="zh-CN" w:bidi="ar"/>
        </w:rPr>
        <w:t>Supplementary Table S74. Model information for the Hb-adjusted piecewise ferritin slope model for repeated FEV₁</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49"/>
        <w:gridCol w:w="9917"/>
      </w:tblGrid>
      <w:tr w14:paraId="753B1BB4">
        <w:trPr>
          <w:trHeight w:val="193" w:hRule="atLeast"/>
          <w:tblHeader/>
          <w:jc w:val="center"/>
        </w:trPr>
        <w:tc>
          <w:tcPr>
            <w:tcW w:w="1548"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B3F9442">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Item</w:t>
            </w:r>
          </w:p>
        </w:tc>
        <w:tc>
          <w:tcPr>
            <w:tcW w:w="3451"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5ECA0EF">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Value</w:t>
            </w:r>
          </w:p>
        </w:tc>
      </w:tr>
      <w:tr w14:paraId="0917B3B3">
        <w:trPr>
          <w:trHeight w:val="193" w:hRule="atLeast"/>
          <w:jc w:val="center"/>
        </w:trPr>
        <w:tc>
          <w:tcPr>
            <w:tcW w:w="1548"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E61DE1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Model type</w:t>
            </w:r>
          </w:p>
        </w:tc>
        <w:tc>
          <w:tcPr>
            <w:tcW w:w="3451"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B425A3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Linear mixed model (piecewise)</w:t>
            </w:r>
          </w:p>
        </w:tc>
      </w:tr>
      <w:tr w14:paraId="10E8DEED">
        <w:trPr>
          <w:trHeight w:val="193" w:hRule="atLeast"/>
          <w:jc w:val="center"/>
        </w:trPr>
        <w:tc>
          <w:tcPr>
            <w:tcW w:w="1548" w:type="pct"/>
            <w:tcBorders>
              <w:top w:val="nil"/>
              <w:left w:val="nil"/>
              <w:bottom w:val="nil"/>
              <w:right w:val="nil"/>
            </w:tcBorders>
            <w:shd w:val="clear" w:color="auto" w:fill="FFFFFF"/>
            <w:tcMar>
              <w:top w:w="55" w:type="dxa"/>
              <w:left w:w="55" w:type="dxa"/>
              <w:bottom w:w="55" w:type="dxa"/>
              <w:right w:w="55" w:type="dxa"/>
            </w:tcMar>
            <w:vAlign w:val="center"/>
          </w:tcPr>
          <w:p w14:paraId="3B8F3C6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Outcome</w:t>
            </w:r>
          </w:p>
        </w:tc>
        <w:tc>
          <w:tcPr>
            <w:tcW w:w="3451" w:type="pct"/>
            <w:tcBorders>
              <w:top w:val="nil"/>
              <w:left w:val="nil"/>
              <w:bottom w:val="nil"/>
              <w:right w:val="nil"/>
            </w:tcBorders>
            <w:shd w:val="clear" w:color="auto" w:fill="FFFFFF"/>
            <w:tcMar>
              <w:top w:w="55" w:type="dxa"/>
              <w:left w:w="55" w:type="dxa"/>
              <w:bottom w:w="55" w:type="dxa"/>
              <w:right w:w="55" w:type="dxa"/>
            </w:tcMar>
            <w:vAlign w:val="center"/>
          </w:tcPr>
          <w:p w14:paraId="5836FA3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sz w:val="17"/>
                <w:szCs w:val="22"/>
                <w:lang w:val="en-US" w:eastAsia="zh-CN"/>
              </w:rPr>
              <w:t>FEV₁</w:t>
            </w:r>
          </w:p>
        </w:tc>
      </w:tr>
      <w:tr w14:paraId="28F163A2">
        <w:trPr>
          <w:trHeight w:val="193" w:hRule="atLeast"/>
          <w:jc w:val="center"/>
        </w:trPr>
        <w:tc>
          <w:tcPr>
            <w:tcW w:w="1548" w:type="pct"/>
            <w:tcBorders>
              <w:top w:val="nil"/>
              <w:left w:val="nil"/>
              <w:bottom w:val="nil"/>
              <w:right w:val="nil"/>
            </w:tcBorders>
            <w:shd w:val="clear" w:color="auto" w:fill="FFFFFF"/>
            <w:tcMar>
              <w:top w:w="55" w:type="dxa"/>
              <w:left w:w="55" w:type="dxa"/>
              <w:bottom w:w="55" w:type="dxa"/>
              <w:right w:w="55" w:type="dxa"/>
            </w:tcMar>
            <w:vAlign w:val="center"/>
          </w:tcPr>
          <w:p w14:paraId="37DA10A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Exposure structure</w:t>
            </w:r>
          </w:p>
        </w:tc>
        <w:tc>
          <w:tcPr>
            <w:tcW w:w="3451" w:type="pct"/>
            <w:tcBorders>
              <w:top w:val="nil"/>
              <w:left w:val="nil"/>
              <w:bottom w:val="nil"/>
              <w:right w:val="nil"/>
            </w:tcBorders>
            <w:shd w:val="clear" w:color="auto" w:fill="FFFFFF"/>
            <w:tcMar>
              <w:top w:w="55" w:type="dxa"/>
              <w:left w:w="55" w:type="dxa"/>
              <w:bottom w:w="55" w:type="dxa"/>
              <w:right w:w="55" w:type="dxa"/>
            </w:tcMar>
            <w:vAlign w:val="center"/>
          </w:tcPr>
          <w:p w14:paraId="1600E56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slope split into below-cutoff and above-cutoff segments</w:t>
            </w:r>
          </w:p>
        </w:tc>
      </w:tr>
      <w:tr w14:paraId="63049795">
        <w:trPr>
          <w:trHeight w:val="193" w:hRule="atLeast"/>
          <w:jc w:val="center"/>
        </w:trPr>
        <w:tc>
          <w:tcPr>
            <w:tcW w:w="1548" w:type="pct"/>
            <w:tcBorders>
              <w:top w:val="nil"/>
              <w:left w:val="nil"/>
              <w:bottom w:val="nil"/>
              <w:right w:val="nil"/>
            </w:tcBorders>
            <w:shd w:val="clear" w:color="auto" w:fill="FFFFFF"/>
            <w:tcMar>
              <w:top w:w="55" w:type="dxa"/>
              <w:left w:w="55" w:type="dxa"/>
              <w:bottom w:w="55" w:type="dxa"/>
              <w:right w:w="55" w:type="dxa"/>
            </w:tcMar>
            <w:vAlign w:val="center"/>
          </w:tcPr>
          <w:p w14:paraId="2FBA77D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Estimated cutoff used</w:t>
            </w:r>
          </w:p>
        </w:tc>
        <w:tc>
          <w:tcPr>
            <w:tcW w:w="3451" w:type="pct"/>
            <w:tcBorders>
              <w:top w:val="nil"/>
              <w:left w:val="nil"/>
              <w:bottom w:val="nil"/>
              <w:right w:val="nil"/>
            </w:tcBorders>
            <w:shd w:val="clear" w:color="auto" w:fill="FFFFFF"/>
            <w:tcMar>
              <w:top w:w="55" w:type="dxa"/>
              <w:left w:w="55" w:type="dxa"/>
              <w:bottom w:w="55" w:type="dxa"/>
              <w:right w:w="55" w:type="dxa"/>
            </w:tcMar>
            <w:vAlign w:val="center"/>
          </w:tcPr>
          <w:p w14:paraId="195561C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0.0645</w:t>
            </w:r>
          </w:p>
        </w:tc>
      </w:tr>
      <w:tr w14:paraId="7CCABCF7">
        <w:trPr>
          <w:trHeight w:val="193" w:hRule="atLeast"/>
          <w:jc w:val="center"/>
        </w:trPr>
        <w:tc>
          <w:tcPr>
            <w:tcW w:w="1548" w:type="pct"/>
            <w:tcBorders>
              <w:top w:val="nil"/>
              <w:left w:val="nil"/>
              <w:bottom w:val="nil"/>
              <w:right w:val="nil"/>
            </w:tcBorders>
            <w:shd w:val="clear" w:color="auto" w:fill="FFFFFF"/>
            <w:tcMar>
              <w:top w:w="55" w:type="dxa"/>
              <w:left w:w="55" w:type="dxa"/>
              <w:bottom w:w="55" w:type="dxa"/>
              <w:right w:w="55" w:type="dxa"/>
            </w:tcMar>
            <w:vAlign w:val="center"/>
          </w:tcPr>
          <w:p w14:paraId="4FDE256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Number of observations</w:t>
            </w:r>
          </w:p>
        </w:tc>
        <w:tc>
          <w:tcPr>
            <w:tcW w:w="3451" w:type="pct"/>
            <w:tcBorders>
              <w:top w:val="nil"/>
              <w:left w:val="nil"/>
              <w:bottom w:val="nil"/>
              <w:right w:val="nil"/>
            </w:tcBorders>
            <w:shd w:val="clear" w:color="auto" w:fill="FFFFFF"/>
            <w:tcMar>
              <w:top w:w="55" w:type="dxa"/>
              <w:left w:w="55" w:type="dxa"/>
              <w:bottom w:w="55" w:type="dxa"/>
              <w:right w:w="55" w:type="dxa"/>
            </w:tcMar>
            <w:vAlign w:val="center"/>
          </w:tcPr>
          <w:p w14:paraId="501CAD8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1,154</w:t>
            </w:r>
          </w:p>
        </w:tc>
      </w:tr>
      <w:tr w14:paraId="54DC3ED6">
        <w:trPr>
          <w:trHeight w:val="193" w:hRule="atLeast"/>
          <w:jc w:val="center"/>
        </w:trPr>
        <w:tc>
          <w:tcPr>
            <w:tcW w:w="1548" w:type="pct"/>
            <w:tcBorders>
              <w:top w:val="nil"/>
              <w:left w:val="nil"/>
              <w:bottom w:val="nil"/>
              <w:right w:val="nil"/>
            </w:tcBorders>
            <w:shd w:val="clear" w:color="auto" w:fill="FFFFFF"/>
            <w:tcMar>
              <w:top w:w="55" w:type="dxa"/>
              <w:left w:w="55" w:type="dxa"/>
              <w:bottom w:w="55" w:type="dxa"/>
              <w:right w:w="55" w:type="dxa"/>
            </w:tcMar>
            <w:vAlign w:val="center"/>
          </w:tcPr>
          <w:p w14:paraId="729C436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Number of participants</w:t>
            </w:r>
          </w:p>
        </w:tc>
        <w:tc>
          <w:tcPr>
            <w:tcW w:w="3451" w:type="pct"/>
            <w:tcBorders>
              <w:top w:val="nil"/>
              <w:left w:val="nil"/>
              <w:bottom w:val="nil"/>
              <w:right w:val="nil"/>
            </w:tcBorders>
            <w:shd w:val="clear" w:color="auto" w:fill="FFFFFF"/>
            <w:tcMar>
              <w:top w:w="55" w:type="dxa"/>
              <w:left w:w="55" w:type="dxa"/>
              <w:bottom w:w="55" w:type="dxa"/>
              <w:right w:w="55" w:type="dxa"/>
            </w:tcMar>
            <w:vAlign w:val="center"/>
          </w:tcPr>
          <w:p w14:paraId="46340C1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532</w:t>
            </w:r>
          </w:p>
        </w:tc>
      </w:tr>
      <w:tr w14:paraId="2246DA08">
        <w:trPr>
          <w:trHeight w:val="193" w:hRule="atLeast"/>
          <w:jc w:val="center"/>
        </w:trPr>
        <w:tc>
          <w:tcPr>
            <w:tcW w:w="1548" w:type="pct"/>
            <w:tcBorders>
              <w:top w:val="nil"/>
              <w:left w:val="nil"/>
              <w:bottom w:val="nil"/>
              <w:right w:val="nil"/>
            </w:tcBorders>
            <w:shd w:val="clear" w:color="auto" w:fill="FFFFFF"/>
            <w:tcMar>
              <w:top w:w="55" w:type="dxa"/>
              <w:left w:w="55" w:type="dxa"/>
              <w:bottom w:w="55" w:type="dxa"/>
              <w:right w:w="55" w:type="dxa"/>
            </w:tcMar>
            <w:vAlign w:val="center"/>
          </w:tcPr>
          <w:p w14:paraId="4B03BAE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AIC</w:t>
            </w:r>
          </w:p>
        </w:tc>
        <w:tc>
          <w:tcPr>
            <w:tcW w:w="3451" w:type="pct"/>
            <w:tcBorders>
              <w:top w:val="nil"/>
              <w:left w:val="nil"/>
              <w:bottom w:val="nil"/>
              <w:right w:val="nil"/>
            </w:tcBorders>
            <w:shd w:val="clear" w:color="auto" w:fill="FFFFFF"/>
            <w:tcMar>
              <w:top w:w="55" w:type="dxa"/>
              <w:left w:w="55" w:type="dxa"/>
              <w:bottom w:w="55" w:type="dxa"/>
              <w:right w:w="55" w:type="dxa"/>
            </w:tcMar>
            <w:vAlign w:val="center"/>
          </w:tcPr>
          <w:p w14:paraId="288F18A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1615.499</w:t>
            </w:r>
          </w:p>
        </w:tc>
      </w:tr>
      <w:tr w14:paraId="5DA2BA99">
        <w:trPr>
          <w:trHeight w:val="193" w:hRule="atLeast"/>
          <w:jc w:val="center"/>
        </w:trPr>
        <w:tc>
          <w:tcPr>
            <w:tcW w:w="1548" w:type="pct"/>
            <w:tcBorders>
              <w:top w:val="nil"/>
              <w:left w:val="nil"/>
              <w:bottom w:val="nil"/>
              <w:right w:val="nil"/>
            </w:tcBorders>
            <w:shd w:val="clear" w:color="auto" w:fill="FFFFFF"/>
            <w:tcMar>
              <w:top w:w="55" w:type="dxa"/>
              <w:left w:w="55" w:type="dxa"/>
              <w:bottom w:w="55" w:type="dxa"/>
              <w:right w:w="55" w:type="dxa"/>
            </w:tcMar>
            <w:vAlign w:val="center"/>
          </w:tcPr>
          <w:p w14:paraId="47A462E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BIC</w:t>
            </w:r>
          </w:p>
        </w:tc>
        <w:tc>
          <w:tcPr>
            <w:tcW w:w="3451" w:type="pct"/>
            <w:tcBorders>
              <w:top w:val="nil"/>
              <w:left w:val="nil"/>
              <w:bottom w:val="nil"/>
              <w:right w:val="nil"/>
            </w:tcBorders>
            <w:shd w:val="clear" w:color="auto" w:fill="FFFFFF"/>
            <w:tcMar>
              <w:top w:w="55" w:type="dxa"/>
              <w:left w:w="55" w:type="dxa"/>
              <w:bottom w:w="55" w:type="dxa"/>
              <w:right w:w="55" w:type="dxa"/>
            </w:tcMar>
            <w:vAlign w:val="center"/>
          </w:tcPr>
          <w:p w14:paraId="74DE386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1676.111</w:t>
            </w:r>
          </w:p>
        </w:tc>
      </w:tr>
      <w:tr w14:paraId="4C7408F2">
        <w:trPr>
          <w:trHeight w:val="193" w:hRule="atLeast"/>
          <w:jc w:val="center"/>
        </w:trPr>
        <w:tc>
          <w:tcPr>
            <w:tcW w:w="1548"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A3A8A9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Log-likelihood</w:t>
            </w:r>
          </w:p>
        </w:tc>
        <w:tc>
          <w:tcPr>
            <w:tcW w:w="3451"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C94B7C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-795.75</w:t>
            </w:r>
          </w:p>
        </w:tc>
      </w:tr>
    </w:tbl>
    <w:p w14:paraId="2EB75375">
      <w:pPr>
        <w:spacing w:before="0" w:after="120" w:line="240" w:lineRule="auto"/>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sz w:val="20"/>
          <w:szCs w:val="22"/>
          <w:lang w:val="en-US" w:eastAsia="zh-CN"/>
        </w:rPr>
        <w:t>This table summarizes model specification and fit information for the Hb-adjusted piecewise linear mixed-effects model examining ferritin slope in relation to repeated forced expiratory volume in 1 second (FEV₁). Information includes the exposure structure, estimated cutoff, analytic sample size, Akaike information criterion (AIC), Bayesian information criterion (BIC), and log-likelihood. These results are provided as technical details supporting the piecewise analyses.</w:t>
      </w:r>
    </w:p>
    <w:p w14:paraId="1F2DD325">
      <w:pPr>
        <w:spacing w:before="0" w:after="0" w:line="240" w:lineRule="auto"/>
        <w:rPr>
          <w:rFonts w:hint="default" w:ascii="Times New Roman Regular" w:hAnsi="Times New Roman Regular" w:cs="Times New Roman Regular"/>
          <w:sz w:val="22"/>
          <w:szCs w:val="22"/>
          <w:lang w:val="en-US" w:eastAsia="zh-CN"/>
        </w:rPr>
      </w:pPr>
    </w:p>
    <w:p w14:paraId="27859FCD">
      <w:pPr>
        <w:bidi w:val="0"/>
        <w:spacing w:before="0" w:after="0" w:line="240" w:lineRule="auto"/>
        <w:ind w:firstLineChars="0"/>
        <w:jc w:val="left"/>
        <w:rPr>
          <w:rFonts w:hint="default" w:ascii="Times New Roman Regular" w:hAnsi="Times New Roman Regular" w:cs="Times New Roman Regular"/>
          <w:b w:val="0"/>
          <w:bCs w:val="0"/>
          <w:sz w:val="22"/>
          <w:szCs w:val="22"/>
          <w:lang w:val="en-US" w:eastAsia="zh-CN"/>
        </w:rPr>
      </w:pPr>
    </w:p>
    <w:p w14:paraId="255F9079">
      <w:pPr>
        <w:bidi w:val="0"/>
        <w:spacing w:before="0" w:after="0" w:line="240" w:lineRule="auto"/>
        <w:ind w:firstLineChars="0"/>
        <w:jc w:val="left"/>
        <w:rPr>
          <w:rFonts w:hint="default" w:ascii="Times New Roman Regular" w:hAnsi="Times New Roman Regular" w:cs="Times New Roman Regular"/>
          <w:b w:val="0"/>
          <w:bCs w:val="0"/>
          <w:sz w:val="22"/>
          <w:szCs w:val="22"/>
          <w:lang w:val="en-US" w:eastAsia="zh-CN"/>
        </w:rPr>
      </w:pPr>
    </w:p>
    <w:p w14:paraId="2D652DEF">
      <w:pPr>
        <w:bidi w:val="0"/>
        <w:spacing w:before="0" w:after="0" w:line="240" w:lineRule="auto"/>
        <w:ind w:firstLineChars="0"/>
        <w:jc w:val="left"/>
        <w:rPr>
          <w:rFonts w:hint="default" w:ascii="Times New Roman Regular" w:hAnsi="Times New Roman Regular" w:cs="Times New Roman Regular"/>
          <w:b w:val="0"/>
          <w:bCs w:val="0"/>
          <w:sz w:val="22"/>
          <w:szCs w:val="22"/>
          <w:lang w:val="en-US" w:eastAsia="zh-CN"/>
        </w:rPr>
      </w:pPr>
    </w:p>
    <w:p w14:paraId="009FE0C7">
      <w:pPr>
        <w:bidi w:val="0"/>
        <w:spacing w:before="0" w:after="0" w:line="240" w:lineRule="auto"/>
        <w:ind w:firstLineChars="0"/>
        <w:jc w:val="left"/>
        <w:rPr>
          <w:rFonts w:hint="default" w:ascii="Times New Roman Regular" w:hAnsi="Times New Roman Regular" w:cs="Times New Roman Regular"/>
          <w:b w:val="0"/>
          <w:bCs w:val="0"/>
          <w:sz w:val="22"/>
          <w:szCs w:val="22"/>
          <w:lang w:val="en-US" w:eastAsia="zh-CN"/>
        </w:rPr>
      </w:pPr>
    </w:p>
    <w:p w14:paraId="4872ACC2">
      <w:pPr>
        <w:bidi w:val="0"/>
        <w:spacing w:before="0" w:after="0" w:line="240" w:lineRule="auto"/>
        <w:ind w:firstLineChars="0"/>
        <w:jc w:val="left"/>
        <w:rPr>
          <w:rFonts w:hint="default" w:ascii="Times New Roman Regular" w:hAnsi="Times New Roman Regular" w:cs="Times New Roman Regular"/>
          <w:b w:val="0"/>
          <w:bCs w:val="0"/>
          <w:sz w:val="22"/>
          <w:szCs w:val="22"/>
          <w:lang w:val="en-US" w:eastAsia="zh-CN"/>
        </w:rPr>
      </w:pPr>
    </w:p>
    <w:p w14:paraId="7DD29287">
      <w:pPr>
        <w:bidi w:val="0"/>
        <w:spacing w:before="0" w:after="0" w:line="240" w:lineRule="auto"/>
        <w:ind w:firstLineChars="0"/>
        <w:jc w:val="left"/>
        <w:rPr>
          <w:rFonts w:hint="default" w:ascii="Times New Roman Regular" w:hAnsi="Times New Roman Regular" w:cs="Times New Roman Regular"/>
          <w:b w:val="0"/>
          <w:bCs w:val="0"/>
          <w:sz w:val="22"/>
          <w:szCs w:val="22"/>
          <w:lang w:val="en-US" w:eastAsia="zh-CN"/>
        </w:rPr>
      </w:pPr>
    </w:p>
    <w:p w14:paraId="6790BF9E">
      <w:pPr>
        <w:pStyle w:val="2"/>
        <w:keepNext/>
        <w:spacing w:before="0" w:after="120" w:line="240" w:lineRule="auto"/>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val="0"/>
          <w:sz w:val="20"/>
          <w:szCs w:val="22"/>
          <w:lang w:val="en-US" w:eastAsia="zh-CN"/>
        </w:rPr>
        <w:br w:type="page"/>
      </w:r>
      <w:r>
        <w:rPr>
          <w:rFonts w:hint="default" w:ascii="Times New Roman" w:hAnsi="Times New Roman" w:eastAsia="Times New Roman" w:cs="Times New Roman Regular"/>
          <w:b/>
          <w:bCs/>
          <w:sz w:val="20"/>
          <w:szCs w:val="22"/>
          <w:lang w:val="en-US" w:eastAsia="zh-CN"/>
        </w:rPr>
        <w:t>Supplementary Table S75. Candidate exploratory turning points for ferritin slope in relation to repeated FEV₁</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57"/>
        <w:gridCol w:w="2699"/>
        <w:gridCol w:w="2685"/>
        <w:gridCol w:w="3159"/>
        <w:gridCol w:w="2966"/>
      </w:tblGrid>
      <w:tr w14:paraId="0402255E">
        <w:trPr>
          <w:trHeight w:val="193" w:hRule="atLeast"/>
          <w:tblHeader/>
          <w:jc w:val="center"/>
        </w:trPr>
        <w:tc>
          <w:tcPr>
            <w:tcW w:w="994"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5892F70">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Candidate ferritin slope</w:t>
            </w:r>
          </w:p>
        </w:tc>
        <w:tc>
          <w:tcPr>
            <w:tcW w:w="93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EF0B5D0">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 xml:space="preserve">Predicted </w:t>
            </w:r>
            <w:r>
              <w:rPr>
                <w:rFonts w:hint="default" w:ascii="Times New Roman" w:hAnsi="Times New Roman" w:eastAsia="Times New Roman" w:cs="Times New Roman Regular"/>
                <w:b/>
                <w:sz w:val="16"/>
                <w:szCs w:val="22"/>
                <w:lang w:val="en-US" w:eastAsia="zh-CN"/>
              </w:rPr>
              <w:t>FEV₁</w:t>
            </w:r>
          </w:p>
        </w:tc>
        <w:tc>
          <w:tcPr>
            <w:tcW w:w="934"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0C480B33">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Local slope</w:t>
            </w:r>
          </w:p>
        </w:tc>
        <w:tc>
          <w:tcPr>
            <w:tcW w:w="109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63B87552">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Curvature</w:t>
            </w:r>
          </w:p>
        </w:tc>
        <w:tc>
          <w:tcPr>
            <w:tcW w:w="1032"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1EEBD9E">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Absolute curvature</w:t>
            </w:r>
          </w:p>
        </w:tc>
      </w:tr>
      <w:tr w14:paraId="13DA2637">
        <w:trPr>
          <w:trHeight w:val="193" w:hRule="atLeast"/>
          <w:jc w:val="center"/>
        </w:trPr>
        <w:tc>
          <w:tcPr>
            <w:tcW w:w="994"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392B88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0.064515</w:t>
            </w:r>
          </w:p>
        </w:tc>
        <w:tc>
          <w:tcPr>
            <w:tcW w:w="93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641D3F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2.598686</w:t>
            </w:r>
          </w:p>
        </w:tc>
        <w:tc>
          <w:tcPr>
            <w:tcW w:w="934"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64263E0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0.170582</w:t>
            </w:r>
          </w:p>
        </w:tc>
        <w:tc>
          <w:tcPr>
            <w:tcW w:w="109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8C618A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-13.162219</w:t>
            </w:r>
          </w:p>
        </w:tc>
        <w:tc>
          <w:tcPr>
            <w:tcW w:w="1032"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168F679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13.162219</w:t>
            </w:r>
          </w:p>
        </w:tc>
      </w:tr>
      <w:tr w14:paraId="786FC3B3">
        <w:trPr>
          <w:trHeight w:val="193" w:hRule="atLeast"/>
          <w:jc w:val="center"/>
        </w:trPr>
        <w:tc>
          <w:tcPr>
            <w:tcW w:w="994" w:type="pct"/>
            <w:tcBorders>
              <w:top w:val="nil"/>
              <w:left w:val="nil"/>
              <w:bottom w:val="nil"/>
              <w:right w:val="nil"/>
            </w:tcBorders>
            <w:shd w:val="clear" w:color="auto" w:fill="FFFFFF"/>
            <w:tcMar>
              <w:top w:w="55" w:type="dxa"/>
              <w:left w:w="55" w:type="dxa"/>
              <w:bottom w:w="55" w:type="dxa"/>
              <w:right w:w="55" w:type="dxa"/>
            </w:tcMar>
            <w:vAlign w:val="center"/>
          </w:tcPr>
          <w:p w14:paraId="191BA2F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0.065927</w:t>
            </w:r>
          </w:p>
        </w:tc>
        <w:tc>
          <w:tcPr>
            <w:tcW w:w="939" w:type="pct"/>
            <w:tcBorders>
              <w:top w:val="nil"/>
              <w:left w:val="nil"/>
              <w:bottom w:val="nil"/>
              <w:right w:val="nil"/>
            </w:tcBorders>
            <w:shd w:val="clear" w:color="auto" w:fill="FFFFFF"/>
            <w:tcMar>
              <w:top w:w="55" w:type="dxa"/>
              <w:left w:w="55" w:type="dxa"/>
              <w:bottom w:w="55" w:type="dxa"/>
              <w:right w:w="55" w:type="dxa"/>
            </w:tcMar>
            <w:vAlign w:val="center"/>
          </w:tcPr>
          <w:p w14:paraId="6A54039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2.598901</w:t>
            </w:r>
          </w:p>
        </w:tc>
        <w:tc>
          <w:tcPr>
            <w:tcW w:w="934" w:type="pct"/>
            <w:tcBorders>
              <w:top w:val="nil"/>
              <w:left w:val="nil"/>
              <w:bottom w:val="nil"/>
              <w:right w:val="nil"/>
            </w:tcBorders>
            <w:shd w:val="clear" w:color="auto" w:fill="FFFFFF"/>
            <w:tcMar>
              <w:top w:w="55" w:type="dxa"/>
              <w:left w:w="55" w:type="dxa"/>
              <w:bottom w:w="55" w:type="dxa"/>
              <w:right w:w="55" w:type="dxa"/>
            </w:tcMar>
            <w:vAlign w:val="center"/>
          </w:tcPr>
          <w:p w14:paraId="6E222FE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0.152072</w:t>
            </w:r>
          </w:p>
        </w:tc>
        <w:tc>
          <w:tcPr>
            <w:tcW w:w="1099" w:type="pct"/>
            <w:tcBorders>
              <w:top w:val="nil"/>
              <w:left w:val="nil"/>
              <w:bottom w:val="nil"/>
              <w:right w:val="nil"/>
            </w:tcBorders>
            <w:shd w:val="clear" w:color="auto" w:fill="FFFFFF"/>
            <w:tcMar>
              <w:top w:w="55" w:type="dxa"/>
              <w:left w:w="55" w:type="dxa"/>
              <w:bottom w:w="55" w:type="dxa"/>
              <w:right w:w="55" w:type="dxa"/>
            </w:tcMar>
            <w:vAlign w:val="center"/>
          </w:tcPr>
          <w:p w14:paraId="10E9EEA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-13.106452</w:t>
            </w:r>
          </w:p>
        </w:tc>
        <w:tc>
          <w:tcPr>
            <w:tcW w:w="1032" w:type="pct"/>
            <w:tcBorders>
              <w:top w:val="nil"/>
              <w:left w:val="nil"/>
              <w:bottom w:val="nil"/>
              <w:right w:val="nil"/>
            </w:tcBorders>
            <w:shd w:val="clear" w:color="auto" w:fill="FFFFFF"/>
            <w:tcMar>
              <w:top w:w="55" w:type="dxa"/>
              <w:left w:w="55" w:type="dxa"/>
              <w:bottom w:w="55" w:type="dxa"/>
              <w:right w:w="55" w:type="dxa"/>
            </w:tcMar>
            <w:vAlign w:val="center"/>
          </w:tcPr>
          <w:p w14:paraId="734FEF5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13.106452</w:t>
            </w:r>
          </w:p>
        </w:tc>
      </w:tr>
      <w:tr w14:paraId="613254A6">
        <w:trPr>
          <w:trHeight w:val="193" w:hRule="atLeast"/>
          <w:jc w:val="center"/>
        </w:trPr>
        <w:tc>
          <w:tcPr>
            <w:tcW w:w="994" w:type="pct"/>
            <w:tcBorders>
              <w:top w:val="nil"/>
              <w:left w:val="nil"/>
              <w:bottom w:val="nil"/>
              <w:right w:val="nil"/>
            </w:tcBorders>
            <w:shd w:val="clear" w:color="auto" w:fill="FFFFFF"/>
            <w:tcMar>
              <w:top w:w="55" w:type="dxa"/>
              <w:left w:w="55" w:type="dxa"/>
              <w:bottom w:w="55" w:type="dxa"/>
              <w:right w:w="55" w:type="dxa"/>
            </w:tcMar>
            <w:vAlign w:val="center"/>
          </w:tcPr>
          <w:p w14:paraId="4F9B8C3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0.067339</w:t>
            </w:r>
          </w:p>
        </w:tc>
        <w:tc>
          <w:tcPr>
            <w:tcW w:w="939" w:type="pct"/>
            <w:tcBorders>
              <w:top w:val="nil"/>
              <w:left w:val="nil"/>
              <w:bottom w:val="nil"/>
              <w:right w:val="nil"/>
            </w:tcBorders>
            <w:shd w:val="clear" w:color="auto" w:fill="FFFFFF"/>
            <w:tcMar>
              <w:top w:w="55" w:type="dxa"/>
              <w:left w:w="55" w:type="dxa"/>
              <w:bottom w:w="55" w:type="dxa"/>
              <w:right w:w="55" w:type="dxa"/>
            </w:tcMar>
            <w:vAlign w:val="center"/>
          </w:tcPr>
          <w:p w14:paraId="247CE5B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2.59909</w:t>
            </w:r>
          </w:p>
        </w:tc>
        <w:tc>
          <w:tcPr>
            <w:tcW w:w="934" w:type="pct"/>
            <w:tcBorders>
              <w:top w:val="nil"/>
              <w:left w:val="nil"/>
              <w:bottom w:val="nil"/>
              <w:right w:val="nil"/>
            </w:tcBorders>
            <w:shd w:val="clear" w:color="auto" w:fill="FFFFFF"/>
            <w:tcMar>
              <w:top w:w="55" w:type="dxa"/>
              <w:left w:w="55" w:type="dxa"/>
              <w:bottom w:w="55" w:type="dxa"/>
              <w:right w:w="55" w:type="dxa"/>
            </w:tcMar>
            <w:vAlign w:val="center"/>
          </w:tcPr>
          <w:p w14:paraId="41C5D3D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0.133736</w:t>
            </w:r>
          </w:p>
        </w:tc>
        <w:tc>
          <w:tcPr>
            <w:tcW w:w="1099" w:type="pct"/>
            <w:tcBorders>
              <w:top w:val="nil"/>
              <w:left w:val="nil"/>
              <w:bottom w:val="nil"/>
              <w:right w:val="nil"/>
            </w:tcBorders>
            <w:shd w:val="clear" w:color="auto" w:fill="FFFFFF"/>
            <w:tcMar>
              <w:top w:w="55" w:type="dxa"/>
              <w:left w:w="55" w:type="dxa"/>
              <w:bottom w:w="55" w:type="dxa"/>
              <w:right w:w="55" w:type="dxa"/>
            </w:tcMar>
            <w:vAlign w:val="center"/>
          </w:tcPr>
          <w:p w14:paraId="7FCB7A7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-12.983608</w:t>
            </w:r>
          </w:p>
        </w:tc>
        <w:tc>
          <w:tcPr>
            <w:tcW w:w="1032" w:type="pct"/>
            <w:tcBorders>
              <w:top w:val="nil"/>
              <w:left w:val="nil"/>
              <w:bottom w:val="nil"/>
              <w:right w:val="nil"/>
            </w:tcBorders>
            <w:shd w:val="clear" w:color="auto" w:fill="FFFFFF"/>
            <w:tcMar>
              <w:top w:w="55" w:type="dxa"/>
              <w:left w:w="55" w:type="dxa"/>
              <w:bottom w:w="55" w:type="dxa"/>
              <w:right w:w="55" w:type="dxa"/>
            </w:tcMar>
            <w:vAlign w:val="center"/>
          </w:tcPr>
          <w:p w14:paraId="0CA28D1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12.983608</w:t>
            </w:r>
          </w:p>
        </w:tc>
      </w:tr>
      <w:tr w14:paraId="52124BFB">
        <w:trPr>
          <w:trHeight w:val="193" w:hRule="atLeast"/>
          <w:jc w:val="center"/>
        </w:trPr>
        <w:tc>
          <w:tcPr>
            <w:tcW w:w="994" w:type="pct"/>
            <w:tcBorders>
              <w:top w:val="nil"/>
              <w:left w:val="nil"/>
              <w:bottom w:val="nil"/>
              <w:right w:val="nil"/>
            </w:tcBorders>
            <w:shd w:val="clear" w:color="auto" w:fill="FFFFFF"/>
            <w:tcMar>
              <w:top w:w="55" w:type="dxa"/>
              <w:left w:w="55" w:type="dxa"/>
              <w:bottom w:w="55" w:type="dxa"/>
              <w:right w:w="55" w:type="dxa"/>
            </w:tcMar>
            <w:vAlign w:val="center"/>
          </w:tcPr>
          <w:p w14:paraId="613B74C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0.063103</w:t>
            </w:r>
          </w:p>
        </w:tc>
        <w:tc>
          <w:tcPr>
            <w:tcW w:w="939" w:type="pct"/>
            <w:tcBorders>
              <w:top w:val="nil"/>
              <w:left w:val="nil"/>
              <w:bottom w:val="nil"/>
              <w:right w:val="nil"/>
            </w:tcBorders>
            <w:shd w:val="clear" w:color="auto" w:fill="FFFFFF"/>
            <w:tcMar>
              <w:top w:w="55" w:type="dxa"/>
              <w:left w:w="55" w:type="dxa"/>
              <w:bottom w:w="55" w:type="dxa"/>
              <w:right w:w="55" w:type="dxa"/>
            </w:tcMar>
            <w:vAlign w:val="center"/>
          </w:tcPr>
          <w:p w14:paraId="56156F4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2.598445</w:t>
            </w:r>
          </w:p>
        </w:tc>
        <w:tc>
          <w:tcPr>
            <w:tcW w:w="934" w:type="pct"/>
            <w:tcBorders>
              <w:top w:val="nil"/>
              <w:left w:val="nil"/>
              <w:bottom w:val="nil"/>
              <w:right w:val="nil"/>
            </w:tcBorders>
            <w:shd w:val="clear" w:color="auto" w:fill="FFFFFF"/>
            <w:tcMar>
              <w:top w:w="55" w:type="dxa"/>
              <w:left w:w="55" w:type="dxa"/>
              <w:bottom w:w="55" w:type="dxa"/>
              <w:right w:w="55" w:type="dxa"/>
            </w:tcMar>
            <w:vAlign w:val="center"/>
          </w:tcPr>
          <w:p w14:paraId="64F1540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0.189171</w:t>
            </w:r>
          </w:p>
        </w:tc>
        <w:tc>
          <w:tcPr>
            <w:tcW w:w="1099" w:type="pct"/>
            <w:tcBorders>
              <w:top w:val="nil"/>
              <w:left w:val="nil"/>
              <w:bottom w:val="nil"/>
              <w:right w:val="nil"/>
            </w:tcBorders>
            <w:shd w:val="clear" w:color="auto" w:fill="FFFFFF"/>
            <w:tcMar>
              <w:top w:w="55" w:type="dxa"/>
              <w:left w:w="55" w:type="dxa"/>
              <w:bottom w:w="55" w:type="dxa"/>
              <w:right w:w="55" w:type="dxa"/>
            </w:tcMar>
            <w:vAlign w:val="center"/>
          </w:tcPr>
          <w:p w14:paraId="6E6DB1C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-12.939109</w:t>
            </w:r>
          </w:p>
        </w:tc>
        <w:tc>
          <w:tcPr>
            <w:tcW w:w="1032" w:type="pct"/>
            <w:tcBorders>
              <w:top w:val="nil"/>
              <w:left w:val="nil"/>
              <w:bottom w:val="nil"/>
              <w:right w:val="nil"/>
            </w:tcBorders>
            <w:shd w:val="clear" w:color="auto" w:fill="FFFFFF"/>
            <w:tcMar>
              <w:top w:w="55" w:type="dxa"/>
              <w:left w:w="55" w:type="dxa"/>
              <w:bottom w:w="55" w:type="dxa"/>
              <w:right w:w="55" w:type="dxa"/>
            </w:tcMar>
            <w:vAlign w:val="center"/>
          </w:tcPr>
          <w:p w14:paraId="62ED798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12.939109</w:t>
            </w:r>
          </w:p>
        </w:tc>
      </w:tr>
      <w:tr w14:paraId="30EB94EC">
        <w:trPr>
          <w:trHeight w:val="193" w:hRule="atLeast"/>
          <w:jc w:val="center"/>
        </w:trPr>
        <w:tc>
          <w:tcPr>
            <w:tcW w:w="994" w:type="pct"/>
            <w:tcBorders>
              <w:top w:val="nil"/>
              <w:left w:val="nil"/>
              <w:bottom w:val="nil"/>
              <w:right w:val="nil"/>
            </w:tcBorders>
            <w:shd w:val="clear" w:color="auto" w:fill="FFFFFF"/>
            <w:tcMar>
              <w:top w:w="55" w:type="dxa"/>
              <w:left w:w="55" w:type="dxa"/>
              <w:bottom w:w="55" w:type="dxa"/>
              <w:right w:w="55" w:type="dxa"/>
            </w:tcMar>
            <w:vAlign w:val="center"/>
          </w:tcPr>
          <w:p w14:paraId="0C74463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0.068752</w:t>
            </w:r>
          </w:p>
        </w:tc>
        <w:tc>
          <w:tcPr>
            <w:tcW w:w="939" w:type="pct"/>
            <w:tcBorders>
              <w:top w:val="nil"/>
              <w:left w:val="nil"/>
              <w:bottom w:val="nil"/>
              <w:right w:val="nil"/>
            </w:tcBorders>
            <w:shd w:val="clear" w:color="auto" w:fill="FFFFFF"/>
            <w:tcMar>
              <w:top w:w="55" w:type="dxa"/>
              <w:left w:w="55" w:type="dxa"/>
              <w:bottom w:w="55" w:type="dxa"/>
              <w:right w:w="55" w:type="dxa"/>
            </w:tcMar>
            <w:vAlign w:val="center"/>
          </w:tcPr>
          <w:p w14:paraId="4BFFB69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2.599253</w:t>
            </w:r>
          </w:p>
        </w:tc>
        <w:tc>
          <w:tcPr>
            <w:tcW w:w="934" w:type="pct"/>
            <w:tcBorders>
              <w:top w:val="nil"/>
              <w:left w:val="nil"/>
              <w:bottom w:val="nil"/>
              <w:right w:val="nil"/>
            </w:tcBorders>
            <w:shd w:val="clear" w:color="auto" w:fill="FFFFFF"/>
            <w:tcMar>
              <w:top w:w="55" w:type="dxa"/>
              <w:left w:w="55" w:type="dxa"/>
              <w:bottom w:w="55" w:type="dxa"/>
              <w:right w:w="55" w:type="dxa"/>
            </w:tcMar>
            <w:vAlign w:val="center"/>
          </w:tcPr>
          <w:p w14:paraId="331369D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0.115573</w:t>
            </w:r>
          </w:p>
        </w:tc>
        <w:tc>
          <w:tcPr>
            <w:tcW w:w="1099" w:type="pct"/>
            <w:tcBorders>
              <w:top w:val="nil"/>
              <w:left w:val="nil"/>
              <w:bottom w:val="nil"/>
              <w:right w:val="nil"/>
            </w:tcBorders>
            <w:shd w:val="clear" w:color="auto" w:fill="FFFFFF"/>
            <w:tcMar>
              <w:top w:w="55" w:type="dxa"/>
              <w:left w:w="55" w:type="dxa"/>
              <w:bottom w:w="55" w:type="dxa"/>
              <w:right w:w="55" w:type="dxa"/>
            </w:tcMar>
            <w:vAlign w:val="center"/>
          </w:tcPr>
          <w:p w14:paraId="7DCAFC4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-12.860764</w:t>
            </w:r>
          </w:p>
        </w:tc>
        <w:tc>
          <w:tcPr>
            <w:tcW w:w="1032" w:type="pct"/>
            <w:tcBorders>
              <w:top w:val="nil"/>
              <w:left w:val="nil"/>
              <w:bottom w:val="nil"/>
              <w:right w:val="nil"/>
            </w:tcBorders>
            <w:shd w:val="clear" w:color="auto" w:fill="FFFFFF"/>
            <w:tcMar>
              <w:top w:w="55" w:type="dxa"/>
              <w:left w:w="55" w:type="dxa"/>
              <w:bottom w:w="55" w:type="dxa"/>
              <w:right w:w="55" w:type="dxa"/>
            </w:tcMar>
            <w:vAlign w:val="center"/>
          </w:tcPr>
          <w:p w14:paraId="3A0503D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12.860764</w:t>
            </w:r>
          </w:p>
        </w:tc>
      </w:tr>
      <w:tr w14:paraId="5558240E">
        <w:trPr>
          <w:trHeight w:val="193" w:hRule="atLeast"/>
          <w:jc w:val="center"/>
        </w:trPr>
        <w:tc>
          <w:tcPr>
            <w:tcW w:w="994" w:type="pct"/>
            <w:tcBorders>
              <w:top w:val="nil"/>
              <w:left w:val="nil"/>
              <w:bottom w:val="nil"/>
              <w:right w:val="nil"/>
            </w:tcBorders>
            <w:shd w:val="clear" w:color="auto" w:fill="FFFFFF"/>
            <w:tcMar>
              <w:top w:w="55" w:type="dxa"/>
              <w:left w:w="55" w:type="dxa"/>
              <w:bottom w:w="55" w:type="dxa"/>
              <w:right w:w="55" w:type="dxa"/>
            </w:tcMar>
            <w:vAlign w:val="center"/>
          </w:tcPr>
          <w:p w14:paraId="17EBC0E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0.070164</w:t>
            </w:r>
          </w:p>
        </w:tc>
        <w:tc>
          <w:tcPr>
            <w:tcW w:w="939" w:type="pct"/>
            <w:tcBorders>
              <w:top w:val="nil"/>
              <w:left w:val="nil"/>
              <w:bottom w:val="nil"/>
              <w:right w:val="nil"/>
            </w:tcBorders>
            <w:shd w:val="clear" w:color="auto" w:fill="FFFFFF"/>
            <w:tcMar>
              <w:top w:w="55" w:type="dxa"/>
              <w:left w:w="55" w:type="dxa"/>
              <w:bottom w:w="55" w:type="dxa"/>
              <w:right w:w="55" w:type="dxa"/>
            </w:tcMar>
            <w:vAlign w:val="center"/>
          </w:tcPr>
          <w:p w14:paraId="031A152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2.599391</w:t>
            </w:r>
          </w:p>
        </w:tc>
        <w:tc>
          <w:tcPr>
            <w:tcW w:w="934" w:type="pct"/>
            <w:tcBorders>
              <w:top w:val="nil"/>
              <w:left w:val="nil"/>
              <w:bottom w:val="nil"/>
              <w:right w:val="nil"/>
            </w:tcBorders>
            <w:shd w:val="clear" w:color="auto" w:fill="FFFFFF"/>
            <w:tcMar>
              <w:top w:w="55" w:type="dxa"/>
              <w:left w:w="55" w:type="dxa"/>
              <w:bottom w:w="55" w:type="dxa"/>
              <w:right w:w="55" w:type="dxa"/>
            </w:tcMar>
            <w:vAlign w:val="center"/>
          </w:tcPr>
          <w:p w14:paraId="36EE9FA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0.097584</w:t>
            </w:r>
          </w:p>
        </w:tc>
        <w:tc>
          <w:tcPr>
            <w:tcW w:w="1099" w:type="pct"/>
            <w:tcBorders>
              <w:top w:val="nil"/>
              <w:left w:val="nil"/>
              <w:bottom w:val="nil"/>
              <w:right w:val="nil"/>
            </w:tcBorders>
            <w:shd w:val="clear" w:color="auto" w:fill="FFFFFF"/>
            <w:tcMar>
              <w:top w:w="55" w:type="dxa"/>
              <w:left w:w="55" w:type="dxa"/>
              <w:bottom w:w="55" w:type="dxa"/>
              <w:right w:w="55" w:type="dxa"/>
            </w:tcMar>
            <w:vAlign w:val="center"/>
          </w:tcPr>
          <w:p w14:paraId="1786B75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-12.737921</w:t>
            </w:r>
          </w:p>
        </w:tc>
        <w:tc>
          <w:tcPr>
            <w:tcW w:w="1032" w:type="pct"/>
            <w:tcBorders>
              <w:top w:val="nil"/>
              <w:left w:val="nil"/>
              <w:bottom w:val="nil"/>
              <w:right w:val="nil"/>
            </w:tcBorders>
            <w:shd w:val="clear" w:color="auto" w:fill="FFFFFF"/>
            <w:tcMar>
              <w:top w:w="55" w:type="dxa"/>
              <w:left w:w="55" w:type="dxa"/>
              <w:bottom w:w="55" w:type="dxa"/>
              <w:right w:w="55" w:type="dxa"/>
            </w:tcMar>
            <w:vAlign w:val="center"/>
          </w:tcPr>
          <w:p w14:paraId="40AB1DF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12.737921</w:t>
            </w:r>
          </w:p>
        </w:tc>
      </w:tr>
      <w:tr w14:paraId="3E06E080">
        <w:trPr>
          <w:trHeight w:val="193" w:hRule="atLeast"/>
          <w:jc w:val="center"/>
        </w:trPr>
        <w:tc>
          <w:tcPr>
            <w:tcW w:w="994" w:type="pct"/>
            <w:tcBorders>
              <w:top w:val="nil"/>
              <w:left w:val="nil"/>
              <w:bottom w:val="nil"/>
              <w:right w:val="nil"/>
            </w:tcBorders>
            <w:shd w:val="clear" w:color="auto" w:fill="FFFFFF"/>
            <w:tcMar>
              <w:top w:w="55" w:type="dxa"/>
              <w:left w:w="55" w:type="dxa"/>
              <w:bottom w:w="55" w:type="dxa"/>
              <w:right w:w="55" w:type="dxa"/>
            </w:tcMar>
            <w:vAlign w:val="center"/>
          </w:tcPr>
          <w:p w14:paraId="1C0C575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0.06169</w:t>
            </w:r>
          </w:p>
        </w:tc>
        <w:tc>
          <w:tcPr>
            <w:tcW w:w="939" w:type="pct"/>
            <w:tcBorders>
              <w:top w:val="nil"/>
              <w:left w:val="nil"/>
              <w:bottom w:val="nil"/>
              <w:right w:val="nil"/>
            </w:tcBorders>
            <w:shd w:val="clear" w:color="auto" w:fill="FFFFFF"/>
            <w:tcMar>
              <w:top w:w="55" w:type="dxa"/>
              <w:left w:w="55" w:type="dxa"/>
              <w:bottom w:w="55" w:type="dxa"/>
              <w:right w:w="55" w:type="dxa"/>
            </w:tcMar>
            <w:vAlign w:val="center"/>
          </w:tcPr>
          <w:p w14:paraId="2D1DA55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2.598178</w:t>
            </w:r>
          </w:p>
        </w:tc>
        <w:tc>
          <w:tcPr>
            <w:tcW w:w="934" w:type="pct"/>
            <w:tcBorders>
              <w:top w:val="nil"/>
              <w:left w:val="nil"/>
              <w:bottom w:val="nil"/>
              <w:right w:val="nil"/>
            </w:tcBorders>
            <w:shd w:val="clear" w:color="auto" w:fill="FFFFFF"/>
            <w:tcMar>
              <w:top w:w="55" w:type="dxa"/>
              <w:left w:w="55" w:type="dxa"/>
              <w:bottom w:w="55" w:type="dxa"/>
              <w:right w:w="55" w:type="dxa"/>
            </w:tcMar>
            <w:vAlign w:val="center"/>
          </w:tcPr>
          <w:p w14:paraId="0BAD7D8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0.207444</w:t>
            </w:r>
          </w:p>
        </w:tc>
        <w:tc>
          <w:tcPr>
            <w:tcW w:w="1099" w:type="pct"/>
            <w:tcBorders>
              <w:top w:val="nil"/>
              <w:left w:val="nil"/>
              <w:bottom w:val="nil"/>
              <w:right w:val="nil"/>
            </w:tcBorders>
            <w:shd w:val="clear" w:color="auto" w:fill="FFFFFF"/>
            <w:tcMar>
              <w:top w:w="55" w:type="dxa"/>
              <w:left w:w="55" w:type="dxa"/>
              <w:bottom w:w="55" w:type="dxa"/>
              <w:right w:w="55" w:type="dxa"/>
            </w:tcMar>
            <w:vAlign w:val="center"/>
          </w:tcPr>
          <w:p w14:paraId="2DFFD26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-12.643533</w:t>
            </w:r>
          </w:p>
        </w:tc>
        <w:tc>
          <w:tcPr>
            <w:tcW w:w="1032" w:type="pct"/>
            <w:tcBorders>
              <w:top w:val="nil"/>
              <w:left w:val="nil"/>
              <w:bottom w:val="nil"/>
              <w:right w:val="nil"/>
            </w:tcBorders>
            <w:shd w:val="clear" w:color="auto" w:fill="FFFFFF"/>
            <w:tcMar>
              <w:top w:w="55" w:type="dxa"/>
              <w:left w:w="55" w:type="dxa"/>
              <w:bottom w:w="55" w:type="dxa"/>
              <w:right w:w="55" w:type="dxa"/>
            </w:tcMar>
            <w:vAlign w:val="center"/>
          </w:tcPr>
          <w:p w14:paraId="5E15E8D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12.643533</w:t>
            </w:r>
          </w:p>
        </w:tc>
      </w:tr>
      <w:tr w14:paraId="24973BBE">
        <w:trPr>
          <w:trHeight w:val="193" w:hRule="atLeast"/>
          <w:jc w:val="center"/>
        </w:trPr>
        <w:tc>
          <w:tcPr>
            <w:tcW w:w="994" w:type="pct"/>
            <w:tcBorders>
              <w:top w:val="nil"/>
              <w:left w:val="nil"/>
              <w:bottom w:val="nil"/>
              <w:right w:val="nil"/>
            </w:tcBorders>
            <w:shd w:val="clear" w:color="auto" w:fill="FFFFFF"/>
            <w:tcMar>
              <w:top w:w="55" w:type="dxa"/>
              <w:left w:w="55" w:type="dxa"/>
              <w:bottom w:w="55" w:type="dxa"/>
              <w:right w:w="55" w:type="dxa"/>
            </w:tcMar>
            <w:vAlign w:val="center"/>
          </w:tcPr>
          <w:p w14:paraId="6A280D0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0.071576</w:t>
            </w:r>
          </w:p>
        </w:tc>
        <w:tc>
          <w:tcPr>
            <w:tcW w:w="939" w:type="pct"/>
            <w:tcBorders>
              <w:top w:val="nil"/>
              <w:left w:val="nil"/>
              <w:bottom w:val="nil"/>
              <w:right w:val="nil"/>
            </w:tcBorders>
            <w:shd w:val="clear" w:color="auto" w:fill="FFFFFF"/>
            <w:tcMar>
              <w:top w:w="55" w:type="dxa"/>
              <w:left w:w="55" w:type="dxa"/>
              <w:bottom w:w="55" w:type="dxa"/>
              <w:right w:w="55" w:type="dxa"/>
            </w:tcMar>
            <w:vAlign w:val="center"/>
          </w:tcPr>
          <w:p w14:paraId="3D2CD35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2.599504</w:t>
            </w:r>
          </w:p>
        </w:tc>
        <w:tc>
          <w:tcPr>
            <w:tcW w:w="934" w:type="pct"/>
            <w:tcBorders>
              <w:top w:val="nil"/>
              <w:left w:val="nil"/>
              <w:bottom w:val="nil"/>
              <w:right w:val="nil"/>
            </w:tcBorders>
            <w:shd w:val="clear" w:color="auto" w:fill="FFFFFF"/>
            <w:tcMar>
              <w:top w:w="55" w:type="dxa"/>
              <w:left w:w="55" w:type="dxa"/>
              <w:bottom w:w="55" w:type="dxa"/>
              <w:right w:w="55" w:type="dxa"/>
            </w:tcMar>
            <w:vAlign w:val="center"/>
          </w:tcPr>
          <w:p w14:paraId="63DBFF1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0.079768</w:t>
            </w:r>
          </w:p>
        </w:tc>
        <w:tc>
          <w:tcPr>
            <w:tcW w:w="1099" w:type="pct"/>
            <w:tcBorders>
              <w:top w:val="nil"/>
              <w:left w:val="nil"/>
              <w:bottom w:val="nil"/>
              <w:right w:val="nil"/>
            </w:tcBorders>
            <w:shd w:val="clear" w:color="auto" w:fill="FFFFFF"/>
            <w:tcMar>
              <w:top w:w="55" w:type="dxa"/>
              <w:left w:w="55" w:type="dxa"/>
              <w:bottom w:w="55" w:type="dxa"/>
              <w:right w:w="55" w:type="dxa"/>
            </w:tcMar>
            <w:vAlign w:val="center"/>
          </w:tcPr>
          <w:p w14:paraId="6754471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-12.615077</w:t>
            </w:r>
          </w:p>
        </w:tc>
        <w:tc>
          <w:tcPr>
            <w:tcW w:w="1032" w:type="pct"/>
            <w:tcBorders>
              <w:top w:val="nil"/>
              <w:left w:val="nil"/>
              <w:bottom w:val="nil"/>
              <w:right w:val="nil"/>
            </w:tcBorders>
            <w:shd w:val="clear" w:color="auto" w:fill="FFFFFF"/>
            <w:tcMar>
              <w:top w:w="55" w:type="dxa"/>
              <w:left w:w="55" w:type="dxa"/>
              <w:bottom w:w="55" w:type="dxa"/>
              <w:right w:w="55" w:type="dxa"/>
            </w:tcMar>
            <w:vAlign w:val="center"/>
          </w:tcPr>
          <w:p w14:paraId="32F4871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12.615077</w:t>
            </w:r>
          </w:p>
        </w:tc>
      </w:tr>
      <w:tr w14:paraId="1D528D90">
        <w:trPr>
          <w:trHeight w:val="193" w:hRule="atLeast"/>
          <w:jc w:val="center"/>
        </w:trPr>
        <w:tc>
          <w:tcPr>
            <w:tcW w:w="994" w:type="pct"/>
            <w:tcBorders>
              <w:top w:val="nil"/>
              <w:left w:val="nil"/>
              <w:bottom w:val="nil"/>
              <w:right w:val="nil"/>
            </w:tcBorders>
            <w:shd w:val="clear" w:color="auto" w:fill="FFFFFF"/>
            <w:tcMar>
              <w:top w:w="55" w:type="dxa"/>
              <w:left w:w="55" w:type="dxa"/>
              <w:bottom w:w="55" w:type="dxa"/>
              <w:right w:w="55" w:type="dxa"/>
            </w:tcMar>
            <w:vAlign w:val="center"/>
          </w:tcPr>
          <w:p w14:paraId="75ADC15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0.072988</w:t>
            </w:r>
          </w:p>
        </w:tc>
        <w:tc>
          <w:tcPr>
            <w:tcW w:w="939" w:type="pct"/>
            <w:tcBorders>
              <w:top w:val="nil"/>
              <w:left w:val="nil"/>
              <w:bottom w:val="nil"/>
              <w:right w:val="nil"/>
            </w:tcBorders>
            <w:shd w:val="clear" w:color="auto" w:fill="FFFFFF"/>
            <w:tcMar>
              <w:top w:w="55" w:type="dxa"/>
              <w:left w:w="55" w:type="dxa"/>
              <w:bottom w:w="55" w:type="dxa"/>
              <w:right w:w="55" w:type="dxa"/>
            </w:tcMar>
            <w:vAlign w:val="center"/>
          </w:tcPr>
          <w:p w14:paraId="30CC7DA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2.599591</w:t>
            </w:r>
          </w:p>
        </w:tc>
        <w:tc>
          <w:tcPr>
            <w:tcW w:w="934" w:type="pct"/>
            <w:tcBorders>
              <w:top w:val="nil"/>
              <w:left w:val="nil"/>
              <w:bottom w:val="nil"/>
              <w:right w:val="nil"/>
            </w:tcBorders>
            <w:shd w:val="clear" w:color="auto" w:fill="FFFFFF"/>
            <w:tcMar>
              <w:top w:w="55" w:type="dxa"/>
              <w:left w:w="55" w:type="dxa"/>
              <w:bottom w:w="55" w:type="dxa"/>
              <w:right w:w="55" w:type="dxa"/>
            </w:tcMar>
            <w:vAlign w:val="center"/>
          </w:tcPr>
          <w:p w14:paraId="3A8B730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0.062126</w:t>
            </w:r>
          </w:p>
        </w:tc>
        <w:tc>
          <w:tcPr>
            <w:tcW w:w="1099" w:type="pct"/>
            <w:tcBorders>
              <w:top w:val="nil"/>
              <w:left w:val="nil"/>
              <w:bottom w:val="nil"/>
              <w:right w:val="nil"/>
            </w:tcBorders>
            <w:shd w:val="clear" w:color="auto" w:fill="FFFFFF"/>
            <w:tcMar>
              <w:top w:w="55" w:type="dxa"/>
              <w:left w:w="55" w:type="dxa"/>
              <w:bottom w:w="55" w:type="dxa"/>
              <w:right w:w="55" w:type="dxa"/>
            </w:tcMar>
            <w:vAlign w:val="center"/>
          </w:tcPr>
          <w:p w14:paraId="0D0B739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-12.492234</w:t>
            </w:r>
          </w:p>
        </w:tc>
        <w:tc>
          <w:tcPr>
            <w:tcW w:w="1032" w:type="pct"/>
            <w:tcBorders>
              <w:top w:val="nil"/>
              <w:left w:val="nil"/>
              <w:bottom w:val="nil"/>
              <w:right w:val="nil"/>
            </w:tcBorders>
            <w:shd w:val="clear" w:color="auto" w:fill="FFFFFF"/>
            <w:tcMar>
              <w:top w:w="55" w:type="dxa"/>
              <w:left w:w="55" w:type="dxa"/>
              <w:bottom w:w="55" w:type="dxa"/>
              <w:right w:w="55" w:type="dxa"/>
            </w:tcMar>
            <w:vAlign w:val="center"/>
          </w:tcPr>
          <w:p w14:paraId="7794C60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12.492234</w:t>
            </w:r>
          </w:p>
        </w:tc>
      </w:tr>
      <w:tr w14:paraId="25091E33">
        <w:trPr>
          <w:trHeight w:val="193" w:hRule="atLeast"/>
          <w:jc w:val="center"/>
        </w:trPr>
        <w:tc>
          <w:tcPr>
            <w:tcW w:w="994"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927BC4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0.074401</w:t>
            </w:r>
          </w:p>
        </w:tc>
        <w:tc>
          <w:tcPr>
            <w:tcW w:w="93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AE65E7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2.599654</w:t>
            </w:r>
          </w:p>
        </w:tc>
        <w:tc>
          <w:tcPr>
            <w:tcW w:w="934"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B67C69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0.044657</w:t>
            </w:r>
          </w:p>
        </w:tc>
        <w:tc>
          <w:tcPr>
            <w:tcW w:w="109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015D7E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-12.36939</w:t>
            </w:r>
          </w:p>
        </w:tc>
        <w:tc>
          <w:tcPr>
            <w:tcW w:w="1032"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48AF40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12.36939</w:t>
            </w:r>
          </w:p>
        </w:tc>
      </w:tr>
    </w:tbl>
    <w:p w14:paraId="003540FD">
      <w:pPr>
        <w:spacing w:before="0" w:after="120" w:line="240" w:lineRule="auto"/>
        <w:rPr>
          <w:rFonts w:hint="default" w:ascii="Times New Roman Regular" w:hAnsi="Times New Roman Regular" w:cs="Times New Roman Regular"/>
          <w:b w:val="0"/>
          <w:bCs w:val="0"/>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b w:val="0"/>
          <w:bCs w:val="0"/>
          <w:sz w:val="20"/>
          <w:szCs w:val="22"/>
          <w:lang w:val="en-US" w:eastAsia="zh-CN"/>
        </w:rPr>
        <w:t>This table presents leading candidate turning points identified in the exploratory threshold search for ferritin slope in relation to repeated forced expiratory volume in 1 second (</w:t>
      </w:r>
      <w:r>
        <w:rPr>
          <w:rFonts w:hint="default" w:ascii="Times New Roman" w:hAnsi="Times New Roman" w:eastAsia="Times New Roman" w:cs="Times New Roman Regular"/>
          <w:sz w:val="20"/>
          <w:szCs w:val="22"/>
          <w:lang w:val="en-US" w:eastAsia="zh-CN"/>
        </w:rPr>
        <w:t>FEV₁</w:t>
      </w:r>
      <w:r>
        <w:rPr>
          <w:rFonts w:hint="default" w:ascii="Times New Roman" w:hAnsi="Times New Roman" w:eastAsia="Times New Roman" w:cs="Times New Roman Regular"/>
          <w:b w:val="0"/>
          <w:bCs w:val="0"/>
          <w:sz w:val="20"/>
          <w:szCs w:val="22"/>
          <w:lang w:val="en-US" w:eastAsia="zh-CN"/>
        </w:rPr>
        <w:t xml:space="preserve">). For each candidate threshold, the predicted </w:t>
      </w:r>
      <w:r>
        <w:rPr>
          <w:rFonts w:hint="default" w:ascii="Times New Roman" w:hAnsi="Times New Roman" w:eastAsia="Times New Roman" w:cs="Times New Roman Regular"/>
          <w:sz w:val="20"/>
          <w:szCs w:val="22"/>
          <w:lang w:val="en-US" w:eastAsia="zh-CN"/>
        </w:rPr>
        <w:t>FEV₁</w:t>
      </w:r>
      <w:r>
        <w:rPr>
          <w:rFonts w:hint="default" w:ascii="Times New Roman" w:hAnsi="Times New Roman" w:eastAsia="Times New Roman" w:cs="Times New Roman Regular"/>
          <w:b w:val="0"/>
          <w:bCs w:val="0"/>
          <w:sz w:val="20"/>
          <w:szCs w:val="22"/>
          <w:lang w:val="en-US" w:eastAsia="zh-CN"/>
        </w:rPr>
        <w:t>, local slope, curvature, and absolute curvature are shown. These results are provided as technical details underlying the selection of the final piecewise cutoff.</w:t>
      </w:r>
    </w:p>
    <w:p w14:paraId="237D02C7">
      <w:pPr>
        <w:spacing w:before="0" w:after="0" w:line="240" w:lineRule="auto"/>
        <w:rPr>
          <w:rFonts w:hint="default" w:ascii="Times New Roman Regular" w:hAnsi="Times New Roman Regular" w:cs="Times New Roman Regular"/>
          <w:b w:val="0"/>
          <w:bCs w:val="0"/>
          <w:sz w:val="22"/>
          <w:szCs w:val="22"/>
          <w:lang w:val="en-US" w:eastAsia="zh-CN"/>
        </w:rPr>
      </w:pPr>
      <w:r>
        <w:rPr>
          <w:rFonts w:hint="default" w:ascii="Times New Roman Regular" w:hAnsi="Times New Roman Regular" w:cs="Times New Roman Regular"/>
          <w:b w:val="0"/>
          <w:bCs w:val="0"/>
          <w:sz w:val="22"/>
          <w:szCs w:val="22"/>
          <w:lang w:val="en-US" w:eastAsia="zh-CN"/>
        </w:rPr>
        <w:br w:type="page"/>
      </w:r>
    </w:p>
    <w:p w14:paraId="10FC677B">
      <w:pPr>
        <w:pStyle w:val="2"/>
        <w:keepNext/>
        <w:spacing w:before="0" w:after="120" w:line="240" w:lineRule="auto"/>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S76. Primary exploratory threshold point and middle 5%–95% restricted threshold point for ferritin slope</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32"/>
        <w:gridCol w:w="1234"/>
        <w:gridCol w:w="1007"/>
        <w:gridCol w:w="751"/>
        <w:gridCol w:w="711"/>
        <w:gridCol w:w="1202"/>
        <w:gridCol w:w="1349"/>
        <w:gridCol w:w="1254"/>
        <w:gridCol w:w="1525"/>
        <w:gridCol w:w="1240"/>
        <w:gridCol w:w="1234"/>
        <w:gridCol w:w="1427"/>
      </w:tblGrid>
      <w:tr w14:paraId="42A0F617">
        <w:trPr>
          <w:trHeight w:val="193" w:hRule="atLeast"/>
          <w:tblHeader/>
          <w:jc w:val="center"/>
        </w:trPr>
        <w:tc>
          <w:tcPr>
            <w:tcW w:w="498" w:type="pct"/>
            <w:tcBorders>
              <w:top w:val="single" w:color="000000" w:sz="12" w:space="0"/>
              <w:left w:val="nil"/>
              <w:bottom w:val="single" w:color="000000" w:sz="4" w:space="0"/>
              <w:right w:val="nil"/>
              <w:tl2br w:val="nil"/>
            </w:tcBorders>
            <w:shd w:val="clear" w:color="auto" w:fill="EAF2F8"/>
            <w:tcMar>
              <w:top w:w="55" w:type="dxa"/>
              <w:left w:w="55" w:type="dxa"/>
              <w:bottom w:w="55" w:type="dxa"/>
              <w:right w:w="55" w:type="dxa"/>
            </w:tcMar>
            <w:vAlign w:val="center"/>
          </w:tcPr>
          <w:p w14:paraId="28CA303D">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Threshold selection approach</w:t>
            </w:r>
          </w:p>
        </w:tc>
        <w:tc>
          <w:tcPr>
            <w:tcW w:w="429" w:type="pct"/>
            <w:tcBorders>
              <w:top w:val="single" w:color="000000" w:sz="12" w:space="0"/>
              <w:left w:val="nil"/>
              <w:bottom w:val="single" w:color="000000" w:sz="4" w:space="0"/>
              <w:right w:val="nil"/>
            </w:tcBorders>
            <w:shd w:val="clear" w:color="auto" w:fill="EAF2F8"/>
            <w:tcMar>
              <w:top w:w="55" w:type="dxa"/>
              <w:left w:w="55" w:type="dxa"/>
              <w:bottom w:w="55" w:type="dxa"/>
              <w:right w:w="55" w:type="dxa"/>
            </w:tcMar>
            <w:vAlign w:val="center"/>
          </w:tcPr>
          <w:p w14:paraId="39FD8171">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Ferritin slope</w:t>
            </w:r>
          </w:p>
        </w:tc>
        <w:tc>
          <w:tcPr>
            <w:tcW w:w="350" w:type="pct"/>
            <w:tcBorders>
              <w:top w:val="single" w:color="000000" w:sz="12" w:space="0"/>
              <w:left w:val="nil"/>
              <w:bottom w:val="single" w:color="000000" w:sz="4" w:space="0"/>
              <w:right w:val="nil"/>
            </w:tcBorders>
            <w:shd w:val="clear" w:color="auto" w:fill="EAF2F8"/>
            <w:tcMar>
              <w:top w:w="55" w:type="dxa"/>
              <w:left w:w="55" w:type="dxa"/>
              <w:bottom w:w="55" w:type="dxa"/>
              <w:right w:w="55" w:type="dxa"/>
            </w:tcMar>
            <w:vAlign w:val="center"/>
          </w:tcPr>
          <w:p w14:paraId="518BDF19">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Time (years)</w:t>
            </w:r>
          </w:p>
        </w:tc>
        <w:tc>
          <w:tcPr>
            <w:tcW w:w="261" w:type="pct"/>
            <w:tcBorders>
              <w:top w:val="single" w:color="000000" w:sz="12" w:space="0"/>
              <w:left w:val="nil"/>
              <w:bottom w:val="single" w:color="000000" w:sz="4" w:space="0"/>
              <w:right w:val="nil"/>
            </w:tcBorders>
            <w:shd w:val="clear" w:color="auto" w:fill="EAF2F8"/>
            <w:tcMar>
              <w:top w:w="55" w:type="dxa"/>
              <w:left w:w="55" w:type="dxa"/>
              <w:bottom w:w="55" w:type="dxa"/>
              <w:right w:w="55" w:type="dxa"/>
            </w:tcMar>
            <w:vAlign w:val="center"/>
          </w:tcPr>
          <w:p w14:paraId="1D2E969D">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Age</w:t>
            </w:r>
          </w:p>
        </w:tc>
        <w:tc>
          <w:tcPr>
            <w:tcW w:w="247" w:type="pct"/>
            <w:tcBorders>
              <w:top w:val="single" w:color="000000" w:sz="12" w:space="0"/>
              <w:left w:val="nil"/>
              <w:bottom w:val="single" w:color="000000" w:sz="4" w:space="0"/>
              <w:right w:val="nil"/>
            </w:tcBorders>
            <w:shd w:val="clear" w:color="auto" w:fill="EAF2F8"/>
            <w:tcMar>
              <w:top w:w="55" w:type="dxa"/>
              <w:left w:w="55" w:type="dxa"/>
              <w:bottom w:w="55" w:type="dxa"/>
              <w:right w:w="55" w:type="dxa"/>
            </w:tcMar>
            <w:vAlign w:val="center"/>
          </w:tcPr>
          <w:p w14:paraId="2F4224BA">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Sex</w:t>
            </w:r>
          </w:p>
        </w:tc>
        <w:tc>
          <w:tcPr>
            <w:tcW w:w="418" w:type="pct"/>
            <w:tcBorders>
              <w:top w:val="single" w:color="000000" w:sz="12" w:space="0"/>
              <w:left w:val="nil"/>
              <w:bottom w:val="single" w:color="000000" w:sz="4" w:space="0"/>
              <w:right w:val="nil"/>
            </w:tcBorders>
            <w:shd w:val="clear" w:color="auto" w:fill="EAF2F8"/>
            <w:tcMar>
              <w:top w:w="55" w:type="dxa"/>
              <w:left w:w="55" w:type="dxa"/>
              <w:bottom w:w="55" w:type="dxa"/>
              <w:right w:w="55" w:type="dxa"/>
            </w:tcMar>
            <w:vAlign w:val="center"/>
          </w:tcPr>
          <w:p w14:paraId="4251DE88">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Smoking</w:t>
            </w:r>
          </w:p>
        </w:tc>
        <w:tc>
          <w:tcPr>
            <w:tcW w:w="469" w:type="pct"/>
            <w:tcBorders>
              <w:top w:val="single" w:color="000000" w:sz="12" w:space="0"/>
              <w:left w:val="nil"/>
              <w:bottom w:val="single" w:color="000000" w:sz="4" w:space="0"/>
              <w:right w:val="nil"/>
            </w:tcBorders>
            <w:shd w:val="clear" w:color="auto" w:fill="EAF2F8"/>
            <w:tcMar>
              <w:top w:w="55" w:type="dxa"/>
              <w:left w:w="55" w:type="dxa"/>
              <w:bottom w:w="55" w:type="dxa"/>
              <w:right w:w="55" w:type="dxa"/>
            </w:tcMar>
            <w:vAlign w:val="center"/>
          </w:tcPr>
          <w:p w14:paraId="5EED33BD">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BMI</w:t>
            </w:r>
          </w:p>
        </w:tc>
        <w:tc>
          <w:tcPr>
            <w:tcW w:w="436" w:type="pct"/>
            <w:tcBorders>
              <w:top w:val="single" w:color="000000" w:sz="12" w:space="0"/>
              <w:left w:val="nil"/>
              <w:bottom w:val="single" w:color="000000" w:sz="4" w:space="0"/>
              <w:right w:val="nil"/>
            </w:tcBorders>
            <w:shd w:val="clear" w:color="auto" w:fill="EAF2F8"/>
            <w:tcMar>
              <w:top w:w="55" w:type="dxa"/>
              <w:left w:w="55" w:type="dxa"/>
              <w:bottom w:w="55" w:type="dxa"/>
              <w:right w:w="55" w:type="dxa"/>
            </w:tcMar>
            <w:vAlign w:val="center"/>
          </w:tcPr>
          <w:p w14:paraId="25D74AF9">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log(CRP)</w:t>
            </w:r>
          </w:p>
        </w:tc>
        <w:tc>
          <w:tcPr>
            <w:tcW w:w="530" w:type="pct"/>
            <w:tcBorders>
              <w:top w:val="single" w:color="000000" w:sz="12" w:space="0"/>
              <w:left w:val="nil"/>
              <w:bottom w:val="single" w:color="000000" w:sz="4" w:space="0"/>
              <w:right w:val="nil"/>
            </w:tcBorders>
            <w:shd w:val="clear" w:color="auto" w:fill="EAF2F8"/>
            <w:tcMar>
              <w:top w:w="55" w:type="dxa"/>
              <w:left w:w="55" w:type="dxa"/>
              <w:bottom w:w="55" w:type="dxa"/>
              <w:right w:w="55" w:type="dxa"/>
            </w:tcMar>
            <w:vAlign w:val="center"/>
          </w:tcPr>
          <w:p w14:paraId="7368003B">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Hemoglobin</w:t>
            </w:r>
          </w:p>
        </w:tc>
        <w:tc>
          <w:tcPr>
            <w:tcW w:w="431" w:type="pct"/>
            <w:tcBorders>
              <w:top w:val="single" w:color="000000" w:sz="12" w:space="0"/>
              <w:left w:val="nil"/>
              <w:bottom w:val="single" w:color="000000" w:sz="4" w:space="0"/>
              <w:right w:val="nil"/>
            </w:tcBorders>
            <w:shd w:val="clear" w:color="auto" w:fill="EAF2F8"/>
            <w:tcMar>
              <w:top w:w="55" w:type="dxa"/>
              <w:left w:w="55" w:type="dxa"/>
              <w:bottom w:w="55" w:type="dxa"/>
              <w:right w:w="55" w:type="dxa"/>
            </w:tcMar>
            <w:vAlign w:val="center"/>
          </w:tcPr>
          <w:p w14:paraId="15B07739">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 xml:space="preserve">Predicted </w:t>
            </w:r>
            <w:r>
              <w:rPr>
                <w:rFonts w:hint="default" w:ascii="Times New Roman" w:hAnsi="Times New Roman" w:eastAsia="Times New Roman" w:cs="Times New Roman Regular"/>
                <w:b/>
                <w:sz w:val="16"/>
                <w:szCs w:val="22"/>
                <w:lang w:val="en-US" w:eastAsia="zh-CN"/>
              </w:rPr>
              <w:t>FEV₁</w:t>
            </w:r>
          </w:p>
        </w:tc>
        <w:tc>
          <w:tcPr>
            <w:tcW w:w="429" w:type="pct"/>
            <w:tcBorders>
              <w:top w:val="single" w:color="000000" w:sz="12" w:space="0"/>
              <w:left w:val="nil"/>
              <w:bottom w:val="single" w:color="000000" w:sz="4" w:space="0"/>
              <w:right w:val="nil"/>
            </w:tcBorders>
            <w:shd w:val="clear" w:color="auto" w:fill="EAF2F8"/>
            <w:tcMar>
              <w:top w:w="55" w:type="dxa"/>
              <w:left w:w="55" w:type="dxa"/>
              <w:bottom w:w="55" w:type="dxa"/>
              <w:right w:w="55" w:type="dxa"/>
            </w:tcMar>
            <w:vAlign w:val="center"/>
          </w:tcPr>
          <w:p w14:paraId="4A5728BB">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Local slope</w:t>
            </w:r>
          </w:p>
        </w:tc>
        <w:tc>
          <w:tcPr>
            <w:tcW w:w="496" w:type="pct"/>
            <w:tcBorders>
              <w:top w:val="single" w:color="000000" w:sz="12" w:space="0"/>
              <w:left w:val="nil"/>
              <w:bottom w:val="single" w:color="000000" w:sz="4" w:space="0"/>
              <w:right w:val="nil"/>
            </w:tcBorders>
            <w:shd w:val="clear" w:color="auto" w:fill="EAF2F8"/>
            <w:tcMar>
              <w:top w:w="55" w:type="dxa"/>
              <w:left w:w="55" w:type="dxa"/>
              <w:bottom w:w="55" w:type="dxa"/>
              <w:right w:w="55" w:type="dxa"/>
            </w:tcMar>
            <w:vAlign w:val="center"/>
          </w:tcPr>
          <w:p w14:paraId="47DB1DD5">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Curvature</w:t>
            </w:r>
          </w:p>
        </w:tc>
      </w:tr>
      <w:tr w14:paraId="38FE22CF">
        <w:trPr>
          <w:trHeight w:val="193" w:hRule="atLeast"/>
          <w:jc w:val="center"/>
        </w:trPr>
        <w:tc>
          <w:tcPr>
            <w:tcW w:w="498" w:type="pct"/>
            <w:tcBorders>
              <w:top w:val="single" w:color="000000" w:sz="4" w:space="0"/>
              <w:left w:val="nil"/>
              <w:bottom w:val="nil"/>
              <w:right w:val="nil"/>
            </w:tcBorders>
            <w:shd w:val="clear" w:color="auto" w:fill="FFFFFF"/>
            <w:tcMar>
              <w:top w:w="55" w:type="dxa"/>
              <w:left w:w="55" w:type="dxa"/>
              <w:bottom w:w="55" w:type="dxa"/>
              <w:right w:w="55" w:type="dxa"/>
            </w:tcMar>
            <w:vAlign w:val="center"/>
          </w:tcPr>
          <w:p w14:paraId="670613F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Main exploratory threshold</w:t>
            </w:r>
          </w:p>
        </w:tc>
        <w:tc>
          <w:tcPr>
            <w:tcW w:w="429" w:type="pct"/>
            <w:tcBorders>
              <w:top w:val="single" w:color="000000" w:sz="4" w:space="0"/>
              <w:left w:val="nil"/>
              <w:bottom w:val="nil"/>
              <w:right w:val="nil"/>
            </w:tcBorders>
            <w:shd w:val="clear" w:color="auto" w:fill="FFFFFF"/>
            <w:tcMar>
              <w:top w:w="55" w:type="dxa"/>
              <w:left w:w="55" w:type="dxa"/>
              <w:bottom w:w="55" w:type="dxa"/>
              <w:right w:w="55" w:type="dxa"/>
            </w:tcMar>
            <w:vAlign w:val="center"/>
          </w:tcPr>
          <w:p w14:paraId="1D92F1E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0.064515</w:t>
            </w:r>
          </w:p>
        </w:tc>
        <w:tc>
          <w:tcPr>
            <w:tcW w:w="350" w:type="pct"/>
            <w:tcBorders>
              <w:top w:val="single" w:color="000000" w:sz="4" w:space="0"/>
              <w:left w:val="nil"/>
              <w:bottom w:val="nil"/>
              <w:right w:val="nil"/>
            </w:tcBorders>
            <w:shd w:val="clear" w:color="auto" w:fill="FFFFFF"/>
            <w:tcMar>
              <w:top w:w="55" w:type="dxa"/>
              <w:left w:w="55" w:type="dxa"/>
              <w:bottom w:w="55" w:type="dxa"/>
              <w:right w:w="55" w:type="dxa"/>
            </w:tcMar>
            <w:vAlign w:val="center"/>
          </w:tcPr>
          <w:p w14:paraId="13958D0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4</w:t>
            </w:r>
          </w:p>
        </w:tc>
        <w:tc>
          <w:tcPr>
            <w:tcW w:w="261" w:type="pct"/>
            <w:tcBorders>
              <w:top w:val="single" w:color="000000" w:sz="4" w:space="0"/>
              <w:left w:val="nil"/>
              <w:bottom w:val="nil"/>
              <w:right w:val="nil"/>
            </w:tcBorders>
            <w:shd w:val="clear" w:color="auto" w:fill="FFFFFF"/>
            <w:tcMar>
              <w:top w:w="55" w:type="dxa"/>
              <w:left w:w="55" w:type="dxa"/>
              <w:bottom w:w="55" w:type="dxa"/>
              <w:right w:w="55" w:type="dxa"/>
            </w:tcMar>
            <w:vAlign w:val="center"/>
          </w:tcPr>
          <w:p w14:paraId="4259AF7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66</w:t>
            </w:r>
          </w:p>
        </w:tc>
        <w:tc>
          <w:tcPr>
            <w:tcW w:w="247" w:type="pct"/>
            <w:tcBorders>
              <w:top w:val="single" w:color="000000" w:sz="4" w:space="0"/>
              <w:left w:val="nil"/>
              <w:bottom w:val="nil"/>
              <w:right w:val="nil"/>
            </w:tcBorders>
            <w:shd w:val="clear" w:color="auto" w:fill="FFFFFF"/>
            <w:tcMar>
              <w:top w:w="55" w:type="dxa"/>
              <w:left w:w="55" w:type="dxa"/>
              <w:bottom w:w="55" w:type="dxa"/>
              <w:right w:w="55" w:type="dxa"/>
            </w:tcMar>
            <w:vAlign w:val="center"/>
          </w:tcPr>
          <w:p w14:paraId="5B6E981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1</w:t>
            </w:r>
          </w:p>
        </w:tc>
        <w:tc>
          <w:tcPr>
            <w:tcW w:w="418" w:type="pct"/>
            <w:tcBorders>
              <w:top w:val="single" w:color="000000" w:sz="4" w:space="0"/>
              <w:left w:val="nil"/>
              <w:bottom w:val="nil"/>
              <w:right w:val="nil"/>
            </w:tcBorders>
            <w:shd w:val="clear" w:color="auto" w:fill="FFFFFF"/>
            <w:tcMar>
              <w:top w:w="55" w:type="dxa"/>
              <w:left w:w="55" w:type="dxa"/>
              <w:bottom w:w="55" w:type="dxa"/>
              <w:right w:w="55" w:type="dxa"/>
            </w:tcMar>
            <w:vAlign w:val="center"/>
          </w:tcPr>
          <w:p w14:paraId="21D8B3D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w:t>
            </w:r>
          </w:p>
        </w:tc>
        <w:tc>
          <w:tcPr>
            <w:tcW w:w="469" w:type="pct"/>
            <w:tcBorders>
              <w:top w:val="single" w:color="000000" w:sz="4" w:space="0"/>
              <w:left w:val="nil"/>
              <w:bottom w:val="nil"/>
              <w:right w:val="nil"/>
            </w:tcBorders>
            <w:shd w:val="clear" w:color="auto" w:fill="FFFFFF"/>
            <w:tcMar>
              <w:top w:w="55" w:type="dxa"/>
              <w:left w:w="55" w:type="dxa"/>
              <w:bottom w:w="55" w:type="dxa"/>
              <w:right w:w="55" w:type="dxa"/>
            </w:tcMar>
            <w:vAlign w:val="center"/>
          </w:tcPr>
          <w:p w14:paraId="70220E2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27.700001</w:t>
            </w:r>
          </w:p>
        </w:tc>
        <w:tc>
          <w:tcPr>
            <w:tcW w:w="436" w:type="pct"/>
            <w:tcBorders>
              <w:top w:val="single" w:color="000000" w:sz="4" w:space="0"/>
              <w:left w:val="nil"/>
              <w:bottom w:val="nil"/>
              <w:right w:val="nil"/>
            </w:tcBorders>
            <w:shd w:val="clear" w:color="auto" w:fill="FFFFFF"/>
            <w:tcMar>
              <w:top w:w="55" w:type="dxa"/>
              <w:left w:w="55" w:type="dxa"/>
              <w:bottom w:w="55" w:type="dxa"/>
              <w:right w:w="55" w:type="dxa"/>
            </w:tcMar>
            <w:vAlign w:val="center"/>
          </w:tcPr>
          <w:p w14:paraId="58E27CD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1.201634</w:t>
            </w:r>
          </w:p>
        </w:tc>
        <w:tc>
          <w:tcPr>
            <w:tcW w:w="530" w:type="pct"/>
            <w:tcBorders>
              <w:top w:val="single" w:color="000000" w:sz="4" w:space="0"/>
              <w:left w:val="nil"/>
              <w:bottom w:val="nil"/>
              <w:right w:val="nil"/>
            </w:tcBorders>
            <w:shd w:val="clear" w:color="auto" w:fill="FFFFFF"/>
            <w:tcMar>
              <w:top w:w="55" w:type="dxa"/>
              <w:left w:w="55" w:type="dxa"/>
              <w:bottom w:w="55" w:type="dxa"/>
              <w:right w:w="55" w:type="dxa"/>
            </w:tcMar>
            <w:vAlign w:val="center"/>
          </w:tcPr>
          <w:p w14:paraId="1C7D00B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14</w:t>
            </w:r>
          </w:p>
        </w:tc>
        <w:tc>
          <w:tcPr>
            <w:tcW w:w="431" w:type="pct"/>
            <w:tcBorders>
              <w:top w:val="single" w:color="000000" w:sz="4" w:space="0"/>
              <w:left w:val="nil"/>
              <w:bottom w:val="nil"/>
              <w:right w:val="nil"/>
            </w:tcBorders>
            <w:shd w:val="clear" w:color="auto" w:fill="FFFFFF"/>
            <w:tcMar>
              <w:top w:w="55" w:type="dxa"/>
              <w:left w:w="55" w:type="dxa"/>
              <w:bottom w:w="55" w:type="dxa"/>
              <w:right w:w="55" w:type="dxa"/>
            </w:tcMar>
            <w:vAlign w:val="center"/>
          </w:tcPr>
          <w:p w14:paraId="6A8C60F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2.598686</w:t>
            </w:r>
          </w:p>
        </w:tc>
        <w:tc>
          <w:tcPr>
            <w:tcW w:w="429" w:type="pct"/>
            <w:tcBorders>
              <w:top w:val="single" w:color="000000" w:sz="4" w:space="0"/>
              <w:left w:val="nil"/>
              <w:bottom w:val="nil"/>
              <w:right w:val="nil"/>
            </w:tcBorders>
            <w:shd w:val="clear" w:color="auto" w:fill="FFFFFF"/>
            <w:tcMar>
              <w:top w:w="55" w:type="dxa"/>
              <w:left w:w="55" w:type="dxa"/>
              <w:bottom w:w="55" w:type="dxa"/>
              <w:right w:w="55" w:type="dxa"/>
            </w:tcMar>
            <w:vAlign w:val="center"/>
          </w:tcPr>
          <w:p w14:paraId="5EBB509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0.170582</w:t>
            </w:r>
          </w:p>
        </w:tc>
        <w:tc>
          <w:tcPr>
            <w:tcW w:w="496" w:type="pct"/>
            <w:tcBorders>
              <w:top w:val="single" w:color="000000" w:sz="4" w:space="0"/>
              <w:left w:val="nil"/>
              <w:bottom w:val="nil"/>
              <w:right w:val="nil"/>
            </w:tcBorders>
            <w:shd w:val="clear" w:color="auto" w:fill="FFFFFF"/>
            <w:tcMar>
              <w:top w:w="55" w:type="dxa"/>
              <w:left w:w="55" w:type="dxa"/>
              <w:bottom w:w="55" w:type="dxa"/>
              <w:right w:w="55" w:type="dxa"/>
            </w:tcMar>
            <w:vAlign w:val="center"/>
          </w:tcPr>
          <w:p w14:paraId="12839B4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-13.162219</w:t>
            </w:r>
          </w:p>
        </w:tc>
      </w:tr>
      <w:tr w14:paraId="782B2144">
        <w:trPr>
          <w:trHeight w:val="193" w:hRule="atLeast"/>
          <w:jc w:val="center"/>
        </w:trPr>
        <w:tc>
          <w:tcPr>
            <w:tcW w:w="498"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214F6D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Middle 5%–95% restricted threshold</w:t>
            </w:r>
          </w:p>
        </w:tc>
        <w:tc>
          <w:tcPr>
            <w:tcW w:w="42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D714F9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0.064515</w:t>
            </w:r>
          </w:p>
        </w:tc>
        <w:tc>
          <w:tcPr>
            <w:tcW w:w="35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63C1326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4</w:t>
            </w:r>
          </w:p>
        </w:tc>
        <w:tc>
          <w:tcPr>
            <w:tcW w:w="261"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B9BD53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66</w:t>
            </w:r>
          </w:p>
        </w:tc>
        <w:tc>
          <w:tcPr>
            <w:tcW w:w="24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80EB6C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1</w:t>
            </w:r>
          </w:p>
        </w:tc>
        <w:tc>
          <w:tcPr>
            <w:tcW w:w="418"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A15436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w:t>
            </w:r>
          </w:p>
        </w:tc>
        <w:tc>
          <w:tcPr>
            <w:tcW w:w="46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DF96A7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27.700001</w:t>
            </w:r>
          </w:p>
        </w:tc>
        <w:tc>
          <w:tcPr>
            <w:tcW w:w="436"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3D768F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1.201634</w:t>
            </w:r>
          </w:p>
        </w:tc>
        <w:tc>
          <w:tcPr>
            <w:tcW w:w="53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6DE684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14</w:t>
            </w:r>
          </w:p>
        </w:tc>
        <w:tc>
          <w:tcPr>
            <w:tcW w:w="431"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63A5EA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2.598686</w:t>
            </w:r>
          </w:p>
        </w:tc>
        <w:tc>
          <w:tcPr>
            <w:tcW w:w="42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63EB86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0.170582</w:t>
            </w:r>
          </w:p>
        </w:tc>
        <w:tc>
          <w:tcPr>
            <w:tcW w:w="496"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3ACBF5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-13.162219</w:t>
            </w:r>
          </w:p>
        </w:tc>
      </w:tr>
    </w:tbl>
    <w:p w14:paraId="22EC041D">
      <w:pPr>
        <w:spacing w:before="0" w:after="120" w:line="240" w:lineRule="auto"/>
        <w:rPr>
          <w:rFonts w:hint="default" w:ascii="Times New Roman Regular" w:hAnsi="Times New Roman Regular" w:cs="Times New Roman Regular"/>
          <w:b w:val="0"/>
          <w:bCs w:val="0"/>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b w:val="0"/>
          <w:bCs w:val="0"/>
          <w:sz w:val="20"/>
          <w:szCs w:val="22"/>
          <w:lang w:val="en-US" w:eastAsia="zh-CN"/>
        </w:rPr>
        <w:t>This table presents the primary exploratory turning point and the threshold retained after restriction to the middle 5%–95% of the ferritin slope distribution for analyses of repeated forced expiratory volume in 1 second (</w:t>
      </w:r>
      <w:r>
        <w:rPr>
          <w:rFonts w:hint="default" w:ascii="Times New Roman" w:hAnsi="Times New Roman" w:eastAsia="Times New Roman" w:cs="Times New Roman Regular"/>
          <w:sz w:val="20"/>
          <w:szCs w:val="22"/>
          <w:lang w:val="en-US" w:eastAsia="zh-CN"/>
        </w:rPr>
        <w:t>FEV₁</w:t>
      </w:r>
      <w:r>
        <w:rPr>
          <w:rFonts w:hint="default" w:ascii="Times New Roman" w:hAnsi="Times New Roman" w:eastAsia="Times New Roman" w:cs="Times New Roman Regular"/>
          <w:b w:val="0"/>
          <w:bCs w:val="0"/>
          <w:sz w:val="20"/>
          <w:szCs w:val="22"/>
          <w:lang w:val="en-US" w:eastAsia="zh-CN"/>
        </w:rPr>
        <w:t xml:space="preserve">). Reported values include the ferritin slope value, representative covariate profile, predicted </w:t>
      </w:r>
      <w:r>
        <w:rPr>
          <w:rFonts w:hint="default" w:ascii="Times New Roman" w:hAnsi="Times New Roman" w:eastAsia="Times New Roman" w:cs="Times New Roman Regular"/>
          <w:sz w:val="20"/>
          <w:szCs w:val="22"/>
          <w:lang w:val="en-US" w:eastAsia="zh-CN"/>
        </w:rPr>
        <w:t>FEV₁</w:t>
      </w:r>
      <w:r>
        <w:rPr>
          <w:rFonts w:hint="default" w:ascii="Times New Roman" w:hAnsi="Times New Roman" w:eastAsia="Times New Roman" w:cs="Times New Roman Regular"/>
          <w:b w:val="0"/>
          <w:bCs w:val="0"/>
          <w:sz w:val="20"/>
          <w:szCs w:val="22"/>
          <w:lang w:val="en-US" w:eastAsia="zh-CN"/>
        </w:rPr>
        <w:t>, local slope, and curvature. These results are provided to document the stability of the selected threshold under the restricted exploratory procedure.</w:t>
      </w:r>
    </w:p>
    <w:p w14:paraId="0DFB4A4D">
      <w:pPr>
        <w:spacing w:before="0" w:after="0" w:line="240" w:lineRule="auto"/>
        <w:rPr>
          <w:rFonts w:hint="default" w:ascii="Times New Roman Regular" w:hAnsi="Times New Roman Regular" w:cs="Times New Roman Regular"/>
          <w:b w:val="0"/>
          <w:bCs w:val="0"/>
          <w:sz w:val="22"/>
          <w:szCs w:val="22"/>
          <w:lang w:val="en-US" w:eastAsia="zh-CN"/>
        </w:rPr>
      </w:pPr>
      <w:r>
        <w:rPr>
          <w:rFonts w:hint="default" w:ascii="Times New Roman Regular" w:hAnsi="Times New Roman Regular" w:cs="Times New Roman Regular"/>
          <w:b w:val="0"/>
          <w:bCs w:val="0"/>
          <w:sz w:val="22"/>
          <w:szCs w:val="22"/>
          <w:lang w:val="en-US" w:eastAsia="zh-CN"/>
        </w:rPr>
        <w:br w:type="page"/>
      </w:r>
    </w:p>
    <w:p w14:paraId="713D4A2D">
      <w:pPr>
        <w:pStyle w:val="2"/>
        <w:keepNext/>
        <w:spacing w:before="0" w:after="120" w:line="240" w:lineRule="auto"/>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S77. Reverse-causation analyses under baseline-normal subgroup restrictions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829"/>
        <w:gridCol w:w="3001"/>
        <w:gridCol w:w="2588"/>
        <w:gridCol w:w="3347"/>
        <w:gridCol w:w="1601"/>
      </w:tblGrid>
      <w:tr w14:paraId="3BE0F262">
        <w:trPr>
          <w:trHeight w:val="193" w:hRule="atLeast"/>
          <w:tblHeader/>
          <w:jc w:val="center"/>
        </w:trPr>
        <w:tc>
          <w:tcPr>
            <w:tcW w:w="1332"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83DE839">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Analysis</w:t>
            </w:r>
          </w:p>
        </w:tc>
        <w:tc>
          <w:tcPr>
            <w:tcW w:w="1044"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710121F4">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Outcome</w:t>
            </w:r>
          </w:p>
        </w:tc>
        <w:tc>
          <w:tcPr>
            <w:tcW w:w="90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84A6BA5">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Exposure</w:t>
            </w:r>
          </w:p>
        </w:tc>
        <w:tc>
          <w:tcPr>
            <w:tcW w:w="1164"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6A5BF8A8">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Estimate (95% CI)</w:t>
            </w:r>
          </w:p>
        </w:tc>
        <w:tc>
          <w:tcPr>
            <w:tcW w:w="557"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10549BA">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P value</w:t>
            </w:r>
          </w:p>
        </w:tc>
      </w:tr>
      <w:tr w14:paraId="0FE990D6">
        <w:trPr>
          <w:trHeight w:val="193" w:hRule="atLeast"/>
          <w:jc w:val="center"/>
        </w:trPr>
        <w:tc>
          <w:tcPr>
            <w:tcW w:w="1332"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0DAAC5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good FEV subgroup</w:t>
            </w:r>
          </w:p>
        </w:tc>
        <w:tc>
          <w:tcPr>
            <w:tcW w:w="1044"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1C1907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xml:space="preserve">Repeated </w:t>
            </w:r>
            <w:r>
              <w:rPr>
                <w:rFonts w:hint="default" w:ascii="Times New Roman" w:hAnsi="Times New Roman" w:eastAsia="Times New Roman" w:cs="Times New Roman Regular"/>
                <w:sz w:val="16"/>
                <w:szCs w:val="22"/>
                <w:lang w:val="en-US" w:eastAsia="zh-CN"/>
              </w:rPr>
              <w:t>FEV₁</w:t>
            </w:r>
          </w:p>
        </w:tc>
        <w:tc>
          <w:tcPr>
            <w:tcW w:w="90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F5B3BD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IFI main effect</w:t>
            </w:r>
          </w:p>
        </w:tc>
        <w:tc>
          <w:tcPr>
            <w:tcW w:w="1164"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6AA2AB6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-0.021 (-0.047 to 0.004)</w:t>
            </w:r>
          </w:p>
        </w:tc>
        <w:tc>
          <w:tcPr>
            <w:tcW w:w="557"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7AE69A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0.105</w:t>
            </w:r>
          </w:p>
        </w:tc>
      </w:tr>
      <w:tr w14:paraId="3E3F619A">
        <w:trPr>
          <w:trHeight w:val="193" w:hRule="atLeast"/>
          <w:jc w:val="center"/>
        </w:trPr>
        <w:tc>
          <w:tcPr>
            <w:tcW w:w="1332" w:type="pct"/>
            <w:tcBorders>
              <w:top w:val="nil"/>
              <w:left w:val="nil"/>
              <w:bottom w:val="nil"/>
              <w:right w:val="nil"/>
            </w:tcBorders>
            <w:shd w:val="clear" w:color="auto" w:fill="FFFFFF"/>
            <w:tcMar>
              <w:top w:w="55" w:type="dxa"/>
              <w:left w:w="55" w:type="dxa"/>
              <w:bottom w:w="55" w:type="dxa"/>
              <w:right w:w="55" w:type="dxa"/>
            </w:tcMar>
            <w:vAlign w:val="center"/>
          </w:tcPr>
          <w:p w14:paraId="0160D5A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good FEV subgroup</w:t>
            </w:r>
          </w:p>
        </w:tc>
        <w:tc>
          <w:tcPr>
            <w:tcW w:w="1044" w:type="pct"/>
            <w:tcBorders>
              <w:top w:val="nil"/>
              <w:left w:val="nil"/>
              <w:bottom w:val="nil"/>
              <w:right w:val="nil"/>
            </w:tcBorders>
            <w:shd w:val="clear" w:color="auto" w:fill="FFFFFF"/>
            <w:tcMar>
              <w:top w:w="55" w:type="dxa"/>
              <w:left w:w="55" w:type="dxa"/>
              <w:bottom w:w="55" w:type="dxa"/>
              <w:right w:w="55" w:type="dxa"/>
            </w:tcMar>
            <w:vAlign w:val="center"/>
          </w:tcPr>
          <w:p w14:paraId="6A9BAE9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xml:space="preserve">Repeated </w:t>
            </w:r>
            <w:r>
              <w:rPr>
                <w:rFonts w:hint="default" w:ascii="Times New Roman" w:hAnsi="Times New Roman" w:eastAsia="Times New Roman" w:cs="Times New Roman Regular"/>
                <w:sz w:val="16"/>
                <w:szCs w:val="22"/>
                <w:lang w:val="en-US" w:eastAsia="zh-CN"/>
              </w:rPr>
              <w:t>FEV₁</w:t>
            </w:r>
          </w:p>
        </w:tc>
        <w:tc>
          <w:tcPr>
            <w:tcW w:w="900" w:type="pct"/>
            <w:tcBorders>
              <w:top w:val="nil"/>
              <w:left w:val="nil"/>
              <w:bottom w:val="nil"/>
              <w:right w:val="nil"/>
            </w:tcBorders>
            <w:shd w:val="clear" w:color="auto" w:fill="FFFFFF"/>
            <w:tcMar>
              <w:top w:w="55" w:type="dxa"/>
              <w:left w:w="55" w:type="dxa"/>
              <w:bottom w:w="55" w:type="dxa"/>
              <w:right w:w="55" w:type="dxa"/>
            </w:tcMar>
            <w:vAlign w:val="center"/>
          </w:tcPr>
          <w:p w14:paraId="46F8E0B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IFI × time</w:t>
            </w:r>
          </w:p>
        </w:tc>
        <w:tc>
          <w:tcPr>
            <w:tcW w:w="1164" w:type="pct"/>
            <w:tcBorders>
              <w:top w:val="nil"/>
              <w:left w:val="nil"/>
              <w:bottom w:val="nil"/>
              <w:right w:val="nil"/>
            </w:tcBorders>
            <w:shd w:val="clear" w:color="auto" w:fill="FFFFFF"/>
            <w:tcMar>
              <w:top w:w="55" w:type="dxa"/>
              <w:left w:w="55" w:type="dxa"/>
              <w:bottom w:w="55" w:type="dxa"/>
              <w:right w:w="55" w:type="dxa"/>
            </w:tcMar>
            <w:vAlign w:val="center"/>
          </w:tcPr>
          <w:p w14:paraId="5E9300D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-0.001 (-0.004 to 0.003)</w:t>
            </w:r>
          </w:p>
        </w:tc>
        <w:tc>
          <w:tcPr>
            <w:tcW w:w="557" w:type="pct"/>
            <w:tcBorders>
              <w:top w:val="nil"/>
              <w:left w:val="nil"/>
              <w:bottom w:val="nil"/>
              <w:right w:val="nil"/>
            </w:tcBorders>
            <w:shd w:val="clear" w:color="auto" w:fill="FFFFFF"/>
            <w:tcMar>
              <w:top w:w="55" w:type="dxa"/>
              <w:left w:w="55" w:type="dxa"/>
              <w:bottom w:w="55" w:type="dxa"/>
              <w:right w:w="55" w:type="dxa"/>
            </w:tcMar>
            <w:vAlign w:val="center"/>
          </w:tcPr>
          <w:p w14:paraId="7BAFC9F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0.671</w:t>
            </w:r>
          </w:p>
        </w:tc>
      </w:tr>
      <w:tr w14:paraId="71E58166">
        <w:trPr>
          <w:trHeight w:val="193" w:hRule="atLeast"/>
          <w:jc w:val="center"/>
        </w:trPr>
        <w:tc>
          <w:tcPr>
            <w:tcW w:w="1332" w:type="pct"/>
            <w:tcBorders>
              <w:top w:val="nil"/>
              <w:left w:val="nil"/>
              <w:bottom w:val="nil"/>
              <w:right w:val="nil"/>
            </w:tcBorders>
            <w:shd w:val="clear" w:color="auto" w:fill="FFFFFF"/>
            <w:tcMar>
              <w:top w:w="55" w:type="dxa"/>
              <w:left w:w="55" w:type="dxa"/>
              <w:bottom w:w="55" w:type="dxa"/>
              <w:right w:w="55" w:type="dxa"/>
            </w:tcMar>
            <w:vAlign w:val="center"/>
          </w:tcPr>
          <w:p w14:paraId="5347C3D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good FEV subgroup</w:t>
            </w:r>
          </w:p>
        </w:tc>
        <w:tc>
          <w:tcPr>
            <w:tcW w:w="1044" w:type="pct"/>
            <w:tcBorders>
              <w:top w:val="nil"/>
              <w:left w:val="nil"/>
              <w:bottom w:val="nil"/>
              <w:right w:val="nil"/>
            </w:tcBorders>
            <w:shd w:val="clear" w:color="auto" w:fill="FFFFFF"/>
            <w:tcMar>
              <w:top w:w="55" w:type="dxa"/>
              <w:left w:w="55" w:type="dxa"/>
              <w:bottom w:w="55" w:type="dxa"/>
              <w:right w:w="55" w:type="dxa"/>
            </w:tcMar>
            <w:vAlign w:val="center"/>
          </w:tcPr>
          <w:p w14:paraId="34E9BA3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xml:space="preserve">Repeated </w:t>
            </w:r>
            <w:r>
              <w:rPr>
                <w:rFonts w:hint="default" w:ascii="Times New Roman" w:hAnsi="Times New Roman" w:eastAsia="Times New Roman" w:cs="Times New Roman Regular"/>
                <w:sz w:val="16"/>
                <w:szCs w:val="22"/>
                <w:lang w:val="en-US" w:eastAsia="zh-CN"/>
              </w:rPr>
              <w:t>FEV₁</w:t>
            </w:r>
          </w:p>
        </w:tc>
        <w:tc>
          <w:tcPr>
            <w:tcW w:w="900" w:type="pct"/>
            <w:tcBorders>
              <w:top w:val="nil"/>
              <w:left w:val="nil"/>
              <w:bottom w:val="nil"/>
              <w:right w:val="nil"/>
            </w:tcBorders>
            <w:shd w:val="clear" w:color="auto" w:fill="FFFFFF"/>
            <w:tcMar>
              <w:top w:w="55" w:type="dxa"/>
              <w:left w:w="55" w:type="dxa"/>
              <w:bottom w:w="55" w:type="dxa"/>
              <w:right w:w="55" w:type="dxa"/>
            </w:tcMar>
            <w:vAlign w:val="center"/>
          </w:tcPr>
          <w:p w14:paraId="000C8FD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CV main effect</w:t>
            </w:r>
          </w:p>
        </w:tc>
        <w:tc>
          <w:tcPr>
            <w:tcW w:w="1164" w:type="pct"/>
            <w:tcBorders>
              <w:top w:val="nil"/>
              <w:left w:val="nil"/>
              <w:bottom w:val="nil"/>
              <w:right w:val="nil"/>
            </w:tcBorders>
            <w:shd w:val="clear" w:color="auto" w:fill="FFFFFF"/>
            <w:tcMar>
              <w:top w:w="55" w:type="dxa"/>
              <w:left w:w="55" w:type="dxa"/>
              <w:bottom w:w="55" w:type="dxa"/>
              <w:right w:w="55" w:type="dxa"/>
            </w:tcMar>
            <w:vAlign w:val="center"/>
          </w:tcPr>
          <w:p w14:paraId="4C47940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-0.183 (-0.413 to 0.048)</w:t>
            </w:r>
          </w:p>
        </w:tc>
        <w:tc>
          <w:tcPr>
            <w:tcW w:w="557" w:type="pct"/>
            <w:tcBorders>
              <w:top w:val="nil"/>
              <w:left w:val="nil"/>
              <w:bottom w:val="nil"/>
              <w:right w:val="nil"/>
            </w:tcBorders>
            <w:shd w:val="clear" w:color="auto" w:fill="FFFFFF"/>
            <w:tcMar>
              <w:top w:w="55" w:type="dxa"/>
              <w:left w:w="55" w:type="dxa"/>
              <w:bottom w:w="55" w:type="dxa"/>
              <w:right w:w="55" w:type="dxa"/>
            </w:tcMar>
            <w:vAlign w:val="center"/>
          </w:tcPr>
          <w:p w14:paraId="08DEBD0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0.121</w:t>
            </w:r>
          </w:p>
        </w:tc>
      </w:tr>
      <w:tr w14:paraId="2785D4CF">
        <w:trPr>
          <w:trHeight w:val="193" w:hRule="atLeast"/>
          <w:jc w:val="center"/>
        </w:trPr>
        <w:tc>
          <w:tcPr>
            <w:tcW w:w="1332" w:type="pct"/>
            <w:tcBorders>
              <w:top w:val="nil"/>
              <w:left w:val="nil"/>
              <w:bottom w:val="nil"/>
              <w:right w:val="nil"/>
            </w:tcBorders>
            <w:shd w:val="clear" w:color="auto" w:fill="FFFFFF"/>
            <w:tcMar>
              <w:top w:w="55" w:type="dxa"/>
              <w:left w:w="55" w:type="dxa"/>
              <w:bottom w:w="55" w:type="dxa"/>
              <w:right w:w="55" w:type="dxa"/>
            </w:tcMar>
            <w:vAlign w:val="center"/>
          </w:tcPr>
          <w:p w14:paraId="60BB6BE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good FEV subgroup</w:t>
            </w:r>
          </w:p>
        </w:tc>
        <w:tc>
          <w:tcPr>
            <w:tcW w:w="1044" w:type="pct"/>
            <w:tcBorders>
              <w:top w:val="nil"/>
              <w:left w:val="nil"/>
              <w:bottom w:val="nil"/>
              <w:right w:val="nil"/>
            </w:tcBorders>
            <w:shd w:val="clear" w:color="auto" w:fill="FFFFFF"/>
            <w:tcMar>
              <w:top w:w="55" w:type="dxa"/>
              <w:left w:w="55" w:type="dxa"/>
              <w:bottom w:w="55" w:type="dxa"/>
              <w:right w:w="55" w:type="dxa"/>
            </w:tcMar>
            <w:vAlign w:val="center"/>
          </w:tcPr>
          <w:p w14:paraId="4C6B877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xml:space="preserve">Repeated </w:t>
            </w:r>
            <w:r>
              <w:rPr>
                <w:rFonts w:hint="default" w:ascii="Times New Roman" w:hAnsi="Times New Roman" w:eastAsia="Times New Roman" w:cs="Times New Roman Regular"/>
                <w:sz w:val="16"/>
                <w:szCs w:val="22"/>
                <w:lang w:val="en-US" w:eastAsia="zh-CN"/>
              </w:rPr>
              <w:t>FEV₁</w:t>
            </w:r>
          </w:p>
        </w:tc>
        <w:tc>
          <w:tcPr>
            <w:tcW w:w="900" w:type="pct"/>
            <w:tcBorders>
              <w:top w:val="nil"/>
              <w:left w:val="nil"/>
              <w:bottom w:val="nil"/>
              <w:right w:val="nil"/>
            </w:tcBorders>
            <w:shd w:val="clear" w:color="auto" w:fill="FFFFFF"/>
            <w:tcMar>
              <w:top w:w="55" w:type="dxa"/>
              <w:left w:w="55" w:type="dxa"/>
              <w:bottom w:w="55" w:type="dxa"/>
              <w:right w:w="55" w:type="dxa"/>
            </w:tcMar>
            <w:vAlign w:val="center"/>
          </w:tcPr>
          <w:p w14:paraId="1B5EED4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CV × time</w:t>
            </w:r>
          </w:p>
        </w:tc>
        <w:tc>
          <w:tcPr>
            <w:tcW w:w="1164" w:type="pct"/>
            <w:tcBorders>
              <w:top w:val="nil"/>
              <w:left w:val="nil"/>
              <w:bottom w:val="nil"/>
              <w:right w:val="nil"/>
            </w:tcBorders>
            <w:shd w:val="clear" w:color="auto" w:fill="FFFFFF"/>
            <w:tcMar>
              <w:top w:w="55" w:type="dxa"/>
              <w:left w:w="55" w:type="dxa"/>
              <w:bottom w:w="55" w:type="dxa"/>
              <w:right w:w="55" w:type="dxa"/>
            </w:tcMar>
            <w:vAlign w:val="center"/>
          </w:tcPr>
          <w:p w14:paraId="33C9232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-0.003 (-0.031 to 0.026)</w:t>
            </w:r>
          </w:p>
        </w:tc>
        <w:tc>
          <w:tcPr>
            <w:tcW w:w="557" w:type="pct"/>
            <w:tcBorders>
              <w:top w:val="nil"/>
              <w:left w:val="nil"/>
              <w:bottom w:val="nil"/>
              <w:right w:val="nil"/>
            </w:tcBorders>
            <w:shd w:val="clear" w:color="auto" w:fill="FFFFFF"/>
            <w:tcMar>
              <w:top w:w="55" w:type="dxa"/>
              <w:left w:w="55" w:type="dxa"/>
              <w:bottom w:w="55" w:type="dxa"/>
              <w:right w:w="55" w:type="dxa"/>
            </w:tcMar>
            <w:vAlign w:val="center"/>
          </w:tcPr>
          <w:p w14:paraId="3D5195BF">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0.86</w:t>
            </w:r>
          </w:p>
        </w:tc>
      </w:tr>
      <w:tr w14:paraId="6CA12DDC">
        <w:trPr>
          <w:trHeight w:val="193" w:hRule="atLeast"/>
          <w:jc w:val="center"/>
        </w:trPr>
        <w:tc>
          <w:tcPr>
            <w:tcW w:w="1332" w:type="pct"/>
            <w:tcBorders>
              <w:top w:val="nil"/>
              <w:left w:val="nil"/>
              <w:bottom w:val="nil"/>
              <w:right w:val="nil"/>
            </w:tcBorders>
            <w:shd w:val="clear" w:color="auto" w:fill="FFFFFF"/>
            <w:tcMar>
              <w:top w:w="55" w:type="dxa"/>
              <w:left w:w="55" w:type="dxa"/>
              <w:bottom w:w="55" w:type="dxa"/>
              <w:right w:w="55" w:type="dxa"/>
            </w:tcMar>
            <w:vAlign w:val="center"/>
          </w:tcPr>
          <w:p w14:paraId="75E96FB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low-symptom subgroup</w:t>
            </w:r>
          </w:p>
        </w:tc>
        <w:tc>
          <w:tcPr>
            <w:tcW w:w="1044" w:type="pct"/>
            <w:tcBorders>
              <w:top w:val="nil"/>
              <w:left w:val="nil"/>
              <w:bottom w:val="nil"/>
              <w:right w:val="nil"/>
            </w:tcBorders>
            <w:shd w:val="clear" w:color="auto" w:fill="FFFFFF"/>
            <w:tcMar>
              <w:top w:w="55" w:type="dxa"/>
              <w:left w:w="55" w:type="dxa"/>
              <w:bottom w:w="55" w:type="dxa"/>
              <w:right w:w="55" w:type="dxa"/>
            </w:tcMar>
            <w:vAlign w:val="center"/>
          </w:tcPr>
          <w:p w14:paraId="40DCCBF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Any asthma-like symptom</w:t>
            </w:r>
          </w:p>
        </w:tc>
        <w:tc>
          <w:tcPr>
            <w:tcW w:w="900" w:type="pct"/>
            <w:tcBorders>
              <w:top w:val="nil"/>
              <w:left w:val="nil"/>
              <w:bottom w:val="nil"/>
              <w:right w:val="nil"/>
            </w:tcBorders>
            <w:shd w:val="clear" w:color="auto" w:fill="FFFFFF"/>
            <w:tcMar>
              <w:top w:w="55" w:type="dxa"/>
              <w:left w:w="55" w:type="dxa"/>
              <w:bottom w:w="55" w:type="dxa"/>
              <w:right w:w="55" w:type="dxa"/>
            </w:tcMar>
            <w:vAlign w:val="center"/>
          </w:tcPr>
          <w:p w14:paraId="5ED8F4A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Persistent low ferritin</w:t>
            </w:r>
          </w:p>
        </w:tc>
        <w:tc>
          <w:tcPr>
            <w:tcW w:w="1164" w:type="pct"/>
            <w:tcBorders>
              <w:top w:val="nil"/>
              <w:left w:val="nil"/>
              <w:bottom w:val="nil"/>
              <w:right w:val="nil"/>
            </w:tcBorders>
            <w:shd w:val="clear" w:color="auto" w:fill="FFFFFF"/>
            <w:tcMar>
              <w:top w:w="55" w:type="dxa"/>
              <w:left w:w="55" w:type="dxa"/>
              <w:bottom w:w="55" w:type="dxa"/>
              <w:right w:w="55" w:type="dxa"/>
            </w:tcMar>
            <w:vAlign w:val="center"/>
          </w:tcPr>
          <w:p w14:paraId="3D19D9A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1.40 (0.58 to 3.40)</w:t>
            </w:r>
          </w:p>
        </w:tc>
        <w:tc>
          <w:tcPr>
            <w:tcW w:w="557" w:type="pct"/>
            <w:tcBorders>
              <w:top w:val="nil"/>
              <w:left w:val="nil"/>
              <w:bottom w:val="nil"/>
              <w:right w:val="nil"/>
            </w:tcBorders>
            <w:shd w:val="clear" w:color="auto" w:fill="FFFFFF"/>
            <w:tcMar>
              <w:top w:w="55" w:type="dxa"/>
              <w:left w:w="55" w:type="dxa"/>
              <w:bottom w:w="55" w:type="dxa"/>
              <w:right w:w="55" w:type="dxa"/>
            </w:tcMar>
            <w:vAlign w:val="center"/>
          </w:tcPr>
          <w:p w14:paraId="2A5C0A8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0.453</w:t>
            </w:r>
          </w:p>
        </w:tc>
      </w:tr>
      <w:tr w14:paraId="016ADB03">
        <w:trPr>
          <w:trHeight w:val="193" w:hRule="atLeast"/>
          <w:jc w:val="center"/>
        </w:trPr>
        <w:tc>
          <w:tcPr>
            <w:tcW w:w="1332" w:type="pct"/>
            <w:tcBorders>
              <w:top w:val="nil"/>
              <w:left w:val="nil"/>
              <w:bottom w:val="nil"/>
              <w:right w:val="nil"/>
            </w:tcBorders>
            <w:shd w:val="clear" w:color="auto" w:fill="FFFFFF"/>
            <w:tcMar>
              <w:top w:w="55" w:type="dxa"/>
              <w:left w:w="55" w:type="dxa"/>
              <w:bottom w:w="55" w:type="dxa"/>
              <w:right w:w="55" w:type="dxa"/>
            </w:tcMar>
            <w:vAlign w:val="center"/>
          </w:tcPr>
          <w:p w14:paraId="60909BD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low-symptom subgroup</w:t>
            </w:r>
          </w:p>
        </w:tc>
        <w:tc>
          <w:tcPr>
            <w:tcW w:w="1044" w:type="pct"/>
            <w:tcBorders>
              <w:top w:val="nil"/>
              <w:left w:val="nil"/>
              <w:bottom w:val="nil"/>
              <w:right w:val="nil"/>
            </w:tcBorders>
            <w:shd w:val="clear" w:color="auto" w:fill="FFFFFF"/>
            <w:tcMar>
              <w:top w:w="55" w:type="dxa"/>
              <w:left w:w="55" w:type="dxa"/>
              <w:bottom w:w="55" w:type="dxa"/>
              <w:right w:w="55" w:type="dxa"/>
            </w:tcMar>
            <w:vAlign w:val="center"/>
          </w:tcPr>
          <w:p w14:paraId="6343954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Any asthma-like symptom</w:t>
            </w:r>
          </w:p>
        </w:tc>
        <w:tc>
          <w:tcPr>
            <w:tcW w:w="900" w:type="pct"/>
            <w:tcBorders>
              <w:top w:val="nil"/>
              <w:left w:val="nil"/>
              <w:bottom w:val="nil"/>
              <w:right w:val="nil"/>
            </w:tcBorders>
            <w:shd w:val="clear" w:color="auto" w:fill="FFFFFF"/>
            <w:tcMar>
              <w:top w:w="55" w:type="dxa"/>
              <w:left w:w="55" w:type="dxa"/>
              <w:bottom w:w="55" w:type="dxa"/>
              <w:right w:w="55" w:type="dxa"/>
            </w:tcMar>
            <w:vAlign w:val="center"/>
          </w:tcPr>
          <w:p w14:paraId="7693386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slope</w:t>
            </w:r>
          </w:p>
        </w:tc>
        <w:tc>
          <w:tcPr>
            <w:tcW w:w="1164" w:type="pct"/>
            <w:tcBorders>
              <w:top w:val="nil"/>
              <w:left w:val="nil"/>
              <w:bottom w:val="nil"/>
              <w:right w:val="nil"/>
            </w:tcBorders>
            <w:shd w:val="clear" w:color="auto" w:fill="FFFFFF"/>
            <w:tcMar>
              <w:top w:w="55" w:type="dxa"/>
              <w:left w:w="55" w:type="dxa"/>
              <w:bottom w:w="55" w:type="dxa"/>
              <w:right w:w="55" w:type="dxa"/>
            </w:tcMar>
            <w:vAlign w:val="center"/>
          </w:tcPr>
          <w:p w14:paraId="75E3D2B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0.50 (0.06 to 4.06)</w:t>
            </w:r>
          </w:p>
        </w:tc>
        <w:tc>
          <w:tcPr>
            <w:tcW w:w="557" w:type="pct"/>
            <w:tcBorders>
              <w:top w:val="nil"/>
              <w:left w:val="nil"/>
              <w:bottom w:val="nil"/>
              <w:right w:val="nil"/>
            </w:tcBorders>
            <w:shd w:val="clear" w:color="auto" w:fill="FFFFFF"/>
            <w:tcMar>
              <w:top w:w="55" w:type="dxa"/>
              <w:left w:w="55" w:type="dxa"/>
              <w:bottom w:w="55" w:type="dxa"/>
              <w:right w:w="55" w:type="dxa"/>
            </w:tcMar>
            <w:vAlign w:val="center"/>
          </w:tcPr>
          <w:p w14:paraId="5A76C85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0.52</w:t>
            </w:r>
          </w:p>
        </w:tc>
      </w:tr>
      <w:tr w14:paraId="08315F28">
        <w:trPr>
          <w:trHeight w:val="193" w:hRule="atLeast"/>
          <w:jc w:val="center"/>
        </w:trPr>
        <w:tc>
          <w:tcPr>
            <w:tcW w:w="1332" w:type="pct"/>
            <w:tcBorders>
              <w:top w:val="nil"/>
              <w:left w:val="nil"/>
              <w:bottom w:val="nil"/>
              <w:right w:val="nil"/>
            </w:tcBorders>
            <w:shd w:val="clear" w:color="auto" w:fill="FFFFFF"/>
            <w:tcMar>
              <w:top w:w="55" w:type="dxa"/>
              <w:left w:w="55" w:type="dxa"/>
              <w:bottom w:w="55" w:type="dxa"/>
              <w:right w:w="55" w:type="dxa"/>
            </w:tcMar>
            <w:vAlign w:val="center"/>
          </w:tcPr>
          <w:p w14:paraId="0D1726F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not-low-ferritin subgroup</w:t>
            </w:r>
          </w:p>
        </w:tc>
        <w:tc>
          <w:tcPr>
            <w:tcW w:w="1044" w:type="pct"/>
            <w:tcBorders>
              <w:top w:val="nil"/>
              <w:left w:val="nil"/>
              <w:bottom w:val="nil"/>
              <w:right w:val="nil"/>
            </w:tcBorders>
            <w:shd w:val="clear" w:color="auto" w:fill="FFFFFF"/>
            <w:tcMar>
              <w:top w:w="55" w:type="dxa"/>
              <w:left w:w="55" w:type="dxa"/>
              <w:bottom w:w="55" w:type="dxa"/>
              <w:right w:w="55" w:type="dxa"/>
            </w:tcMar>
            <w:vAlign w:val="center"/>
          </w:tcPr>
          <w:p w14:paraId="54F320C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xml:space="preserve">Repeated </w:t>
            </w:r>
            <w:r>
              <w:rPr>
                <w:rFonts w:hint="default" w:ascii="Times New Roman" w:hAnsi="Times New Roman" w:eastAsia="Times New Roman" w:cs="Times New Roman Regular"/>
                <w:sz w:val="16"/>
                <w:szCs w:val="22"/>
                <w:lang w:val="en-US" w:eastAsia="zh-CN"/>
              </w:rPr>
              <w:t>FEV₁</w:t>
            </w:r>
          </w:p>
        </w:tc>
        <w:tc>
          <w:tcPr>
            <w:tcW w:w="900" w:type="pct"/>
            <w:tcBorders>
              <w:top w:val="nil"/>
              <w:left w:val="nil"/>
              <w:bottom w:val="nil"/>
              <w:right w:val="nil"/>
            </w:tcBorders>
            <w:shd w:val="clear" w:color="auto" w:fill="FFFFFF"/>
            <w:tcMar>
              <w:top w:w="55" w:type="dxa"/>
              <w:left w:w="55" w:type="dxa"/>
              <w:bottom w:w="55" w:type="dxa"/>
              <w:right w:w="55" w:type="dxa"/>
            </w:tcMar>
            <w:vAlign w:val="center"/>
          </w:tcPr>
          <w:p w14:paraId="7469096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IFI main effect</w:t>
            </w:r>
          </w:p>
        </w:tc>
        <w:tc>
          <w:tcPr>
            <w:tcW w:w="1164" w:type="pct"/>
            <w:tcBorders>
              <w:top w:val="nil"/>
              <w:left w:val="nil"/>
              <w:bottom w:val="nil"/>
              <w:right w:val="nil"/>
            </w:tcBorders>
            <w:shd w:val="clear" w:color="auto" w:fill="FFFFFF"/>
            <w:tcMar>
              <w:top w:w="55" w:type="dxa"/>
              <w:left w:w="55" w:type="dxa"/>
              <w:bottom w:w="55" w:type="dxa"/>
              <w:right w:w="55" w:type="dxa"/>
            </w:tcMar>
            <w:vAlign w:val="center"/>
          </w:tcPr>
          <w:p w14:paraId="34EE751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-0.033 (-0.063 to -0.003)</w:t>
            </w:r>
          </w:p>
        </w:tc>
        <w:tc>
          <w:tcPr>
            <w:tcW w:w="557" w:type="pct"/>
            <w:tcBorders>
              <w:top w:val="nil"/>
              <w:left w:val="nil"/>
              <w:bottom w:val="nil"/>
              <w:right w:val="nil"/>
            </w:tcBorders>
            <w:shd w:val="clear" w:color="auto" w:fill="FFFFFF"/>
            <w:tcMar>
              <w:top w:w="55" w:type="dxa"/>
              <w:left w:w="55" w:type="dxa"/>
              <w:bottom w:w="55" w:type="dxa"/>
              <w:right w:w="55" w:type="dxa"/>
            </w:tcMar>
            <w:vAlign w:val="center"/>
          </w:tcPr>
          <w:p w14:paraId="3088CDC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0.03</w:t>
            </w:r>
          </w:p>
        </w:tc>
      </w:tr>
      <w:tr w14:paraId="3388A174">
        <w:trPr>
          <w:trHeight w:val="193" w:hRule="atLeast"/>
          <w:jc w:val="center"/>
        </w:trPr>
        <w:tc>
          <w:tcPr>
            <w:tcW w:w="1332" w:type="pct"/>
            <w:tcBorders>
              <w:top w:val="nil"/>
              <w:left w:val="nil"/>
              <w:bottom w:val="nil"/>
              <w:right w:val="nil"/>
            </w:tcBorders>
            <w:shd w:val="clear" w:color="auto" w:fill="FFFFFF"/>
            <w:tcMar>
              <w:top w:w="55" w:type="dxa"/>
              <w:left w:w="55" w:type="dxa"/>
              <w:bottom w:w="55" w:type="dxa"/>
              <w:right w:w="55" w:type="dxa"/>
            </w:tcMar>
            <w:vAlign w:val="center"/>
          </w:tcPr>
          <w:p w14:paraId="53DA38D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not-low-ferritin subgroup</w:t>
            </w:r>
          </w:p>
        </w:tc>
        <w:tc>
          <w:tcPr>
            <w:tcW w:w="1044" w:type="pct"/>
            <w:tcBorders>
              <w:top w:val="nil"/>
              <w:left w:val="nil"/>
              <w:bottom w:val="nil"/>
              <w:right w:val="nil"/>
            </w:tcBorders>
            <w:shd w:val="clear" w:color="auto" w:fill="FFFFFF"/>
            <w:tcMar>
              <w:top w:w="55" w:type="dxa"/>
              <w:left w:w="55" w:type="dxa"/>
              <w:bottom w:w="55" w:type="dxa"/>
              <w:right w:w="55" w:type="dxa"/>
            </w:tcMar>
            <w:vAlign w:val="center"/>
          </w:tcPr>
          <w:p w14:paraId="2BB8507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xml:space="preserve">Repeated </w:t>
            </w:r>
            <w:r>
              <w:rPr>
                <w:rFonts w:hint="default" w:ascii="Times New Roman" w:hAnsi="Times New Roman" w:eastAsia="Times New Roman" w:cs="Times New Roman Regular"/>
                <w:sz w:val="16"/>
                <w:szCs w:val="22"/>
                <w:lang w:val="en-US" w:eastAsia="zh-CN"/>
              </w:rPr>
              <w:t>FEV₁</w:t>
            </w:r>
          </w:p>
        </w:tc>
        <w:tc>
          <w:tcPr>
            <w:tcW w:w="900" w:type="pct"/>
            <w:tcBorders>
              <w:top w:val="nil"/>
              <w:left w:val="nil"/>
              <w:bottom w:val="nil"/>
              <w:right w:val="nil"/>
            </w:tcBorders>
            <w:shd w:val="clear" w:color="auto" w:fill="FFFFFF"/>
            <w:tcMar>
              <w:top w:w="55" w:type="dxa"/>
              <w:left w:w="55" w:type="dxa"/>
              <w:bottom w:w="55" w:type="dxa"/>
              <w:right w:w="55" w:type="dxa"/>
            </w:tcMar>
            <w:vAlign w:val="center"/>
          </w:tcPr>
          <w:p w14:paraId="21255A0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IFI × time</w:t>
            </w:r>
          </w:p>
        </w:tc>
        <w:tc>
          <w:tcPr>
            <w:tcW w:w="1164" w:type="pct"/>
            <w:tcBorders>
              <w:top w:val="nil"/>
              <w:left w:val="nil"/>
              <w:bottom w:val="nil"/>
              <w:right w:val="nil"/>
            </w:tcBorders>
            <w:shd w:val="clear" w:color="auto" w:fill="FFFFFF"/>
            <w:tcMar>
              <w:top w:w="55" w:type="dxa"/>
              <w:left w:w="55" w:type="dxa"/>
              <w:bottom w:w="55" w:type="dxa"/>
              <w:right w:w="55" w:type="dxa"/>
            </w:tcMar>
            <w:vAlign w:val="center"/>
          </w:tcPr>
          <w:p w14:paraId="7B01A62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0.001 (-0.003 to 0.004)</w:t>
            </w:r>
          </w:p>
        </w:tc>
        <w:tc>
          <w:tcPr>
            <w:tcW w:w="557" w:type="pct"/>
            <w:tcBorders>
              <w:top w:val="nil"/>
              <w:left w:val="nil"/>
              <w:bottom w:val="nil"/>
              <w:right w:val="nil"/>
            </w:tcBorders>
            <w:shd w:val="clear" w:color="auto" w:fill="FFFFFF"/>
            <w:tcMar>
              <w:top w:w="55" w:type="dxa"/>
              <w:left w:w="55" w:type="dxa"/>
              <w:bottom w:w="55" w:type="dxa"/>
              <w:right w:w="55" w:type="dxa"/>
            </w:tcMar>
            <w:vAlign w:val="center"/>
          </w:tcPr>
          <w:p w14:paraId="6E2DC96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0.774</w:t>
            </w:r>
          </w:p>
        </w:tc>
      </w:tr>
      <w:tr w14:paraId="26DD4A1F">
        <w:trPr>
          <w:trHeight w:val="193" w:hRule="atLeast"/>
          <w:jc w:val="center"/>
        </w:trPr>
        <w:tc>
          <w:tcPr>
            <w:tcW w:w="1332" w:type="pct"/>
            <w:tcBorders>
              <w:top w:val="nil"/>
              <w:left w:val="nil"/>
              <w:bottom w:val="nil"/>
              <w:right w:val="nil"/>
            </w:tcBorders>
            <w:shd w:val="clear" w:color="auto" w:fill="FFFFFF"/>
            <w:tcMar>
              <w:top w:w="55" w:type="dxa"/>
              <w:left w:w="55" w:type="dxa"/>
              <w:bottom w:w="55" w:type="dxa"/>
              <w:right w:w="55" w:type="dxa"/>
            </w:tcMar>
            <w:vAlign w:val="center"/>
          </w:tcPr>
          <w:p w14:paraId="1A93139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non-anemia subgroup</w:t>
            </w:r>
          </w:p>
        </w:tc>
        <w:tc>
          <w:tcPr>
            <w:tcW w:w="1044" w:type="pct"/>
            <w:tcBorders>
              <w:top w:val="nil"/>
              <w:left w:val="nil"/>
              <w:bottom w:val="nil"/>
              <w:right w:val="nil"/>
            </w:tcBorders>
            <w:shd w:val="clear" w:color="auto" w:fill="FFFFFF"/>
            <w:tcMar>
              <w:top w:w="55" w:type="dxa"/>
              <w:left w:w="55" w:type="dxa"/>
              <w:bottom w:w="55" w:type="dxa"/>
              <w:right w:w="55" w:type="dxa"/>
            </w:tcMar>
            <w:vAlign w:val="center"/>
          </w:tcPr>
          <w:p w14:paraId="60AFE91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xml:space="preserve">Repeated </w:t>
            </w:r>
            <w:r>
              <w:rPr>
                <w:rFonts w:hint="default" w:ascii="Times New Roman" w:hAnsi="Times New Roman" w:eastAsia="Times New Roman" w:cs="Times New Roman Regular"/>
                <w:sz w:val="16"/>
                <w:szCs w:val="22"/>
                <w:lang w:val="en-US" w:eastAsia="zh-CN"/>
              </w:rPr>
              <w:t>FEV₁</w:t>
            </w:r>
          </w:p>
        </w:tc>
        <w:tc>
          <w:tcPr>
            <w:tcW w:w="900" w:type="pct"/>
            <w:tcBorders>
              <w:top w:val="nil"/>
              <w:left w:val="nil"/>
              <w:bottom w:val="nil"/>
              <w:right w:val="nil"/>
            </w:tcBorders>
            <w:shd w:val="clear" w:color="auto" w:fill="FFFFFF"/>
            <w:tcMar>
              <w:top w:w="55" w:type="dxa"/>
              <w:left w:w="55" w:type="dxa"/>
              <w:bottom w:w="55" w:type="dxa"/>
              <w:right w:w="55" w:type="dxa"/>
            </w:tcMar>
            <w:vAlign w:val="center"/>
          </w:tcPr>
          <w:p w14:paraId="5A41C96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IFI main effect</w:t>
            </w:r>
          </w:p>
        </w:tc>
        <w:tc>
          <w:tcPr>
            <w:tcW w:w="1164" w:type="pct"/>
            <w:tcBorders>
              <w:top w:val="nil"/>
              <w:left w:val="nil"/>
              <w:bottom w:val="nil"/>
              <w:right w:val="nil"/>
            </w:tcBorders>
            <w:shd w:val="clear" w:color="auto" w:fill="FFFFFF"/>
            <w:tcMar>
              <w:top w:w="55" w:type="dxa"/>
              <w:left w:w="55" w:type="dxa"/>
              <w:bottom w:w="55" w:type="dxa"/>
              <w:right w:w="55" w:type="dxa"/>
            </w:tcMar>
            <w:vAlign w:val="center"/>
          </w:tcPr>
          <w:p w14:paraId="4A8315E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-0.030 (-0.057 to -0.003)</w:t>
            </w:r>
          </w:p>
        </w:tc>
        <w:tc>
          <w:tcPr>
            <w:tcW w:w="557" w:type="pct"/>
            <w:tcBorders>
              <w:top w:val="nil"/>
              <w:left w:val="nil"/>
              <w:bottom w:val="nil"/>
              <w:right w:val="nil"/>
            </w:tcBorders>
            <w:shd w:val="clear" w:color="auto" w:fill="FFFFFF"/>
            <w:tcMar>
              <w:top w:w="55" w:type="dxa"/>
              <w:left w:w="55" w:type="dxa"/>
              <w:bottom w:w="55" w:type="dxa"/>
              <w:right w:w="55" w:type="dxa"/>
            </w:tcMar>
            <w:vAlign w:val="center"/>
          </w:tcPr>
          <w:p w14:paraId="71A2444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0.031</w:t>
            </w:r>
          </w:p>
        </w:tc>
      </w:tr>
      <w:tr w14:paraId="40B06F61">
        <w:trPr>
          <w:trHeight w:val="193" w:hRule="atLeast"/>
          <w:jc w:val="center"/>
        </w:trPr>
        <w:tc>
          <w:tcPr>
            <w:tcW w:w="1332"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E74BFF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non-anemia subgroup</w:t>
            </w:r>
          </w:p>
        </w:tc>
        <w:tc>
          <w:tcPr>
            <w:tcW w:w="1044"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4A9547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xml:space="preserve">Repeated </w:t>
            </w:r>
            <w:r>
              <w:rPr>
                <w:rFonts w:hint="default" w:ascii="Times New Roman" w:hAnsi="Times New Roman" w:eastAsia="Times New Roman" w:cs="Times New Roman Regular"/>
                <w:sz w:val="16"/>
                <w:szCs w:val="22"/>
                <w:lang w:val="en-US" w:eastAsia="zh-CN"/>
              </w:rPr>
              <w:t>FEV₁</w:t>
            </w:r>
          </w:p>
        </w:tc>
        <w:tc>
          <w:tcPr>
            <w:tcW w:w="90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A06745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IFI × time</w:t>
            </w:r>
          </w:p>
        </w:tc>
        <w:tc>
          <w:tcPr>
            <w:tcW w:w="1164"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459E1D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0.001 (-0.002 to 0.004)</w:t>
            </w:r>
          </w:p>
        </w:tc>
        <w:tc>
          <w:tcPr>
            <w:tcW w:w="55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82F24C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0.353</w:t>
            </w:r>
          </w:p>
        </w:tc>
      </w:tr>
    </w:tbl>
    <w:p w14:paraId="08B9868E">
      <w:pPr>
        <w:spacing w:before="0" w:after="120" w:line="240" w:lineRule="auto"/>
        <w:rPr>
          <w:rFonts w:hint="default" w:ascii="Times New Roman Regular" w:hAnsi="Times New Roman Regular" w:cs="Times New Roman Regular"/>
          <w:b w:val="0"/>
          <w:bCs w:val="0"/>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b w:val="0"/>
          <w:bCs w:val="0"/>
          <w:sz w:val="20"/>
          <w:szCs w:val="22"/>
          <w:lang w:val="en-US" w:eastAsia="zh-CN"/>
        </w:rPr>
        <w:t xml:space="preserve">Regression coefficients (β) or odds ratios (ORs), 95% confidence intervals (CIs), and P values are shown from reverse-causation analyses restricted to baseline-normal subgroups. Repeated </w:t>
      </w:r>
      <w:r>
        <w:rPr>
          <w:rFonts w:hint="default" w:ascii="Times New Roman" w:hAnsi="Times New Roman" w:eastAsia="Times New Roman" w:cs="Times New Roman Regular"/>
          <w:sz w:val="20"/>
          <w:szCs w:val="22"/>
          <w:lang w:val="en-US" w:eastAsia="zh-CN"/>
        </w:rPr>
        <w:t>FEV₁</w:t>
      </w:r>
      <w:r>
        <w:rPr>
          <w:rFonts w:hint="default" w:ascii="Times New Roman" w:hAnsi="Times New Roman" w:eastAsia="Times New Roman" w:cs="Times New Roman Regular"/>
          <w:b w:val="0"/>
          <w:bCs w:val="0"/>
          <w:sz w:val="20"/>
          <w:szCs w:val="22"/>
          <w:lang w:val="en-US" w:eastAsia="zh-CN"/>
        </w:rPr>
        <w:t xml:space="preserve"> models were fitted in participants with relatively preserved baseline lung function or without baseline low ferritin or anemia, as applicable. Symptom models were fitted in participants with low baseline symptom burden. These analyses were used to assess whether the primary associations between dynamic iron-related measures and subsequent outcomes remained directionally consistent after restriction to subgroups less likely to reflect reverse causation. </w:t>
      </w:r>
    </w:p>
    <w:p w14:paraId="6917524B">
      <w:pPr>
        <w:spacing w:before="0" w:after="0" w:line="240" w:lineRule="auto"/>
        <w:rPr>
          <w:rFonts w:hint="default" w:ascii="Times New Roman Regular" w:hAnsi="Times New Roman Regular" w:cs="Times New Roman Regular"/>
          <w:b/>
          <w:bCs/>
          <w:sz w:val="22"/>
          <w:szCs w:val="22"/>
          <w:lang w:val="en-US" w:eastAsia="zh-CN"/>
        </w:rPr>
      </w:pPr>
      <w:r>
        <w:rPr>
          <w:rFonts w:hint="default" w:ascii="Times New Roman Regular" w:hAnsi="Times New Roman Regular" w:cs="Times New Roman Regular"/>
          <w:b/>
          <w:bCs/>
          <w:sz w:val="22"/>
          <w:szCs w:val="22"/>
          <w:lang w:val="en-US" w:eastAsia="zh-CN"/>
        </w:rPr>
        <w:br w:type="page"/>
      </w:r>
    </w:p>
    <w:p w14:paraId="59A54850">
      <w:pPr>
        <w:spacing w:before="0" w:after="120" w:line="240" w:lineRule="auto"/>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S78. Reverse-causation analyses after exclusion of early deterioration</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75"/>
        <w:gridCol w:w="3528"/>
        <w:gridCol w:w="3105"/>
        <w:gridCol w:w="3769"/>
        <w:gridCol w:w="1389"/>
      </w:tblGrid>
      <w:tr w14:paraId="64B3450C">
        <w:trPr>
          <w:trHeight w:val="193" w:hRule="atLeast"/>
          <w:tblHeader/>
          <w:jc w:val="center"/>
        </w:trPr>
        <w:tc>
          <w:tcPr>
            <w:tcW w:w="896"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0D7AF7E1">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Analysis</w:t>
            </w:r>
          </w:p>
        </w:tc>
        <w:tc>
          <w:tcPr>
            <w:tcW w:w="1227"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065BD5A9">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Outcome</w:t>
            </w:r>
          </w:p>
        </w:tc>
        <w:tc>
          <w:tcPr>
            <w:tcW w:w="108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60400249">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Exposure</w:t>
            </w:r>
          </w:p>
        </w:tc>
        <w:tc>
          <w:tcPr>
            <w:tcW w:w="1311"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DFAFB32">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Estimate (95% CI)</w:t>
            </w:r>
          </w:p>
        </w:tc>
        <w:tc>
          <w:tcPr>
            <w:tcW w:w="483"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B48F083">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P value</w:t>
            </w:r>
          </w:p>
        </w:tc>
      </w:tr>
      <w:tr w14:paraId="6A3ABF5D">
        <w:trPr>
          <w:trHeight w:val="193" w:hRule="atLeast"/>
          <w:jc w:val="center"/>
        </w:trPr>
        <w:tc>
          <w:tcPr>
            <w:tcW w:w="896"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442B21B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Exclude early poor FEV</w:t>
            </w:r>
          </w:p>
        </w:tc>
        <w:tc>
          <w:tcPr>
            <w:tcW w:w="1227"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75100F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xml:space="preserve">Repeated </w:t>
            </w:r>
            <w:r>
              <w:rPr>
                <w:rFonts w:hint="default" w:ascii="Times New Roman" w:hAnsi="Times New Roman" w:eastAsia="Times New Roman" w:cs="Times New Roman Regular"/>
                <w:sz w:val="16"/>
                <w:szCs w:val="22"/>
                <w:lang w:val="en-US" w:eastAsia="zh-CN"/>
              </w:rPr>
              <w:t>FEV₁</w:t>
            </w:r>
          </w:p>
        </w:tc>
        <w:tc>
          <w:tcPr>
            <w:tcW w:w="108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B91826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IFI main effect</w:t>
            </w:r>
          </w:p>
        </w:tc>
        <w:tc>
          <w:tcPr>
            <w:tcW w:w="1311"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88614D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-0.021 (-0.047 to 0.004)</w:t>
            </w:r>
          </w:p>
        </w:tc>
        <w:tc>
          <w:tcPr>
            <w:tcW w:w="483"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63F76877">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0.105</w:t>
            </w:r>
          </w:p>
        </w:tc>
      </w:tr>
      <w:tr w14:paraId="68A24967">
        <w:trPr>
          <w:trHeight w:val="193" w:hRule="atLeast"/>
          <w:jc w:val="center"/>
        </w:trPr>
        <w:tc>
          <w:tcPr>
            <w:tcW w:w="896" w:type="pct"/>
            <w:tcBorders>
              <w:top w:val="nil"/>
              <w:left w:val="nil"/>
              <w:bottom w:val="nil"/>
              <w:right w:val="nil"/>
            </w:tcBorders>
            <w:shd w:val="clear" w:color="auto" w:fill="FFFFFF"/>
            <w:tcMar>
              <w:top w:w="55" w:type="dxa"/>
              <w:left w:w="55" w:type="dxa"/>
              <w:bottom w:w="55" w:type="dxa"/>
              <w:right w:w="55" w:type="dxa"/>
            </w:tcMar>
            <w:vAlign w:val="center"/>
          </w:tcPr>
          <w:p w14:paraId="6488D67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Exclude early poor FEV</w:t>
            </w:r>
          </w:p>
        </w:tc>
        <w:tc>
          <w:tcPr>
            <w:tcW w:w="1227" w:type="pct"/>
            <w:tcBorders>
              <w:top w:val="nil"/>
              <w:left w:val="nil"/>
              <w:bottom w:val="nil"/>
              <w:right w:val="nil"/>
            </w:tcBorders>
            <w:shd w:val="clear" w:color="auto" w:fill="FFFFFF"/>
            <w:tcMar>
              <w:top w:w="55" w:type="dxa"/>
              <w:left w:w="55" w:type="dxa"/>
              <w:bottom w:w="55" w:type="dxa"/>
              <w:right w:w="55" w:type="dxa"/>
            </w:tcMar>
            <w:vAlign w:val="center"/>
          </w:tcPr>
          <w:p w14:paraId="0FD6EF5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xml:space="preserve">Repeated </w:t>
            </w:r>
            <w:r>
              <w:rPr>
                <w:rFonts w:hint="default" w:ascii="Times New Roman" w:hAnsi="Times New Roman" w:eastAsia="Times New Roman" w:cs="Times New Roman Regular"/>
                <w:sz w:val="16"/>
                <w:szCs w:val="22"/>
                <w:lang w:val="en-US" w:eastAsia="zh-CN"/>
              </w:rPr>
              <w:t>FEV₁</w:t>
            </w:r>
          </w:p>
        </w:tc>
        <w:tc>
          <w:tcPr>
            <w:tcW w:w="1080" w:type="pct"/>
            <w:tcBorders>
              <w:top w:val="nil"/>
              <w:left w:val="nil"/>
              <w:bottom w:val="nil"/>
              <w:right w:val="nil"/>
            </w:tcBorders>
            <w:shd w:val="clear" w:color="auto" w:fill="FFFFFF"/>
            <w:tcMar>
              <w:top w:w="55" w:type="dxa"/>
              <w:left w:w="55" w:type="dxa"/>
              <w:bottom w:w="55" w:type="dxa"/>
              <w:right w:w="55" w:type="dxa"/>
            </w:tcMar>
            <w:vAlign w:val="center"/>
          </w:tcPr>
          <w:p w14:paraId="3909CC1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IFI × time</w:t>
            </w:r>
          </w:p>
        </w:tc>
        <w:tc>
          <w:tcPr>
            <w:tcW w:w="1311" w:type="pct"/>
            <w:tcBorders>
              <w:top w:val="nil"/>
              <w:left w:val="nil"/>
              <w:bottom w:val="nil"/>
              <w:right w:val="nil"/>
            </w:tcBorders>
            <w:shd w:val="clear" w:color="auto" w:fill="FFFFFF"/>
            <w:tcMar>
              <w:top w:w="55" w:type="dxa"/>
              <w:left w:w="55" w:type="dxa"/>
              <w:bottom w:w="55" w:type="dxa"/>
              <w:right w:w="55" w:type="dxa"/>
            </w:tcMar>
            <w:vAlign w:val="center"/>
          </w:tcPr>
          <w:p w14:paraId="3F40C2C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-0.001 (-0.004 to 0.003)</w:t>
            </w:r>
          </w:p>
        </w:tc>
        <w:tc>
          <w:tcPr>
            <w:tcW w:w="483" w:type="pct"/>
            <w:tcBorders>
              <w:top w:val="nil"/>
              <w:left w:val="nil"/>
              <w:bottom w:val="nil"/>
              <w:right w:val="nil"/>
            </w:tcBorders>
            <w:shd w:val="clear" w:color="auto" w:fill="FFFFFF"/>
            <w:tcMar>
              <w:top w:w="55" w:type="dxa"/>
              <w:left w:w="55" w:type="dxa"/>
              <w:bottom w:w="55" w:type="dxa"/>
              <w:right w:w="55" w:type="dxa"/>
            </w:tcMar>
            <w:vAlign w:val="center"/>
          </w:tcPr>
          <w:p w14:paraId="6F02D7E5">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0.671</w:t>
            </w:r>
          </w:p>
        </w:tc>
      </w:tr>
      <w:tr w14:paraId="19FCDE98">
        <w:trPr>
          <w:trHeight w:val="193" w:hRule="atLeast"/>
          <w:jc w:val="center"/>
        </w:trPr>
        <w:tc>
          <w:tcPr>
            <w:tcW w:w="896" w:type="pct"/>
            <w:tcBorders>
              <w:top w:val="nil"/>
              <w:left w:val="nil"/>
              <w:bottom w:val="nil"/>
              <w:right w:val="nil"/>
            </w:tcBorders>
            <w:shd w:val="clear" w:color="auto" w:fill="FFFFFF"/>
            <w:tcMar>
              <w:top w:w="55" w:type="dxa"/>
              <w:left w:w="55" w:type="dxa"/>
              <w:bottom w:w="55" w:type="dxa"/>
              <w:right w:w="55" w:type="dxa"/>
            </w:tcMar>
            <w:vAlign w:val="center"/>
          </w:tcPr>
          <w:p w14:paraId="5DEBDB7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Exclude early poor FEV</w:t>
            </w:r>
          </w:p>
        </w:tc>
        <w:tc>
          <w:tcPr>
            <w:tcW w:w="1227" w:type="pct"/>
            <w:tcBorders>
              <w:top w:val="nil"/>
              <w:left w:val="nil"/>
              <w:bottom w:val="nil"/>
              <w:right w:val="nil"/>
            </w:tcBorders>
            <w:shd w:val="clear" w:color="auto" w:fill="FFFFFF"/>
            <w:tcMar>
              <w:top w:w="55" w:type="dxa"/>
              <w:left w:w="55" w:type="dxa"/>
              <w:bottom w:w="55" w:type="dxa"/>
              <w:right w:w="55" w:type="dxa"/>
            </w:tcMar>
            <w:vAlign w:val="center"/>
          </w:tcPr>
          <w:p w14:paraId="016BB9C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xml:space="preserve">Repeated </w:t>
            </w:r>
            <w:r>
              <w:rPr>
                <w:rFonts w:hint="default" w:ascii="Times New Roman" w:hAnsi="Times New Roman" w:eastAsia="Times New Roman" w:cs="Times New Roman Regular"/>
                <w:sz w:val="16"/>
                <w:szCs w:val="22"/>
                <w:lang w:val="en-US" w:eastAsia="zh-CN"/>
              </w:rPr>
              <w:t>FEV₁</w:t>
            </w:r>
          </w:p>
        </w:tc>
        <w:tc>
          <w:tcPr>
            <w:tcW w:w="1080" w:type="pct"/>
            <w:tcBorders>
              <w:top w:val="nil"/>
              <w:left w:val="nil"/>
              <w:bottom w:val="nil"/>
              <w:right w:val="nil"/>
            </w:tcBorders>
            <w:shd w:val="clear" w:color="auto" w:fill="FFFFFF"/>
            <w:tcMar>
              <w:top w:w="55" w:type="dxa"/>
              <w:left w:w="55" w:type="dxa"/>
              <w:bottom w:w="55" w:type="dxa"/>
              <w:right w:w="55" w:type="dxa"/>
            </w:tcMar>
            <w:vAlign w:val="center"/>
          </w:tcPr>
          <w:p w14:paraId="151984A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CV main effect</w:t>
            </w:r>
          </w:p>
        </w:tc>
        <w:tc>
          <w:tcPr>
            <w:tcW w:w="1311" w:type="pct"/>
            <w:tcBorders>
              <w:top w:val="nil"/>
              <w:left w:val="nil"/>
              <w:bottom w:val="nil"/>
              <w:right w:val="nil"/>
            </w:tcBorders>
            <w:shd w:val="clear" w:color="auto" w:fill="FFFFFF"/>
            <w:tcMar>
              <w:top w:w="55" w:type="dxa"/>
              <w:left w:w="55" w:type="dxa"/>
              <w:bottom w:w="55" w:type="dxa"/>
              <w:right w:w="55" w:type="dxa"/>
            </w:tcMar>
            <w:vAlign w:val="center"/>
          </w:tcPr>
          <w:p w14:paraId="0FFB887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-0.183 (-0.413 to 0.048)</w:t>
            </w:r>
          </w:p>
        </w:tc>
        <w:tc>
          <w:tcPr>
            <w:tcW w:w="483" w:type="pct"/>
            <w:tcBorders>
              <w:top w:val="nil"/>
              <w:left w:val="nil"/>
              <w:bottom w:val="nil"/>
              <w:right w:val="nil"/>
            </w:tcBorders>
            <w:shd w:val="clear" w:color="auto" w:fill="FFFFFF"/>
            <w:tcMar>
              <w:top w:w="55" w:type="dxa"/>
              <w:left w:w="55" w:type="dxa"/>
              <w:bottom w:w="55" w:type="dxa"/>
              <w:right w:w="55" w:type="dxa"/>
            </w:tcMar>
            <w:vAlign w:val="center"/>
          </w:tcPr>
          <w:p w14:paraId="4B53536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0.121</w:t>
            </w:r>
          </w:p>
        </w:tc>
      </w:tr>
      <w:tr w14:paraId="56E3F726">
        <w:trPr>
          <w:trHeight w:val="193" w:hRule="atLeast"/>
          <w:jc w:val="center"/>
        </w:trPr>
        <w:tc>
          <w:tcPr>
            <w:tcW w:w="896" w:type="pct"/>
            <w:tcBorders>
              <w:top w:val="nil"/>
              <w:left w:val="nil"/>
              <w:bottom w:val="nil"/>
              <w:right w:val="nil"/>
            </w:tcBorders>
            <w:shd w:val="clear" w:color="auto" w:fill="FFFFFF"/>
            <w:tcMar>
              <w:top w:w="55" w:type="dxa"/>
              <w:left w:w="55" w:type="dxa"/>
              <w:bottom w:w="55" w:type="dxa"/>
              <w:right w:w="55" w:type="dxa"/>
            </w:tcMar>
            <w:vAlign w:val="center"/>
          </w:tcPr>
          <w:p w14:paraId="462DA54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Exclude early poor FEV</w:t>
            </w:r>
          </w:p>
        </w:tc>
        <w:tc>
          <w:tcPr>
            <w:tcW w:w="1227" w:type="pct"/>
            <w:tcBorders>
              <w:top w:val="nil"/>
              <w:left w:val="nil"/>
              <w:bottom w:val="nil"/>
              <w:right w:val="nil"/>
            </w:tcBorders>
            <w:shd w:val="clear" w:color="auto" w:fill="FFFFFF"/>
            <w:tcMar>
              <w:top w:w="55" w:type="dxa"/>
              <w:left w:w="55" w:type="dxa"/>
              <w:bottom w:w="55" w:type="dxa"/>
              <w:right w:w="55" w:type="dxa"/>
            </w:tcMar>
            <w:vAlign w:val="center"/>
          </w:tcPr>
          <w:p w14:paraId="073064F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xml:space="preserve">Repeated </w:t>
            </w:r>
            <w:r>
              <w:rPr>
                <w:rFonts w:hint="default" w:ascii="Times New Roman" w:hAnsi="Times New Roman" w:eastAsia="Times New Roman" w:cs="Times New Roman Regular"/>
                <w:sz w:val="16"/>
                <w:szCs w:val="22"/>
                <w:lang w:val="en-US" w:eastAsia="zh-CN"/>
              </w:rPr>
              <w:t>FEV₁</w:t>
            </w:r>
          </w:p>
        </w:tc>
        <w:tc>
          <w:tcPr>
            <w:tcW w:w="1080" w:type="pct"/>
            <w:tcBorders>
              <w:top w:val="nil"/>
              <w:left w:val="nil"/>
              <w:bottom w:val="nil"/>
              <w:right w:val="nil"/>
            </w:tcBorders>
            <w:shd w:val="clear" w:color="auto" w:fill="FFFFFF"/>
            <w:tcMar>
              <w:top w:w="55" w:type="dxa"/>
              <w:left w:w="55" w:type="dxa"/>
              <w:bottom w:w="55" w:type="dxa"/>
              <w:right w:w="55" w:type="dxa"/>
            </w:tcMar>
            <w:vAlign w:val="center"/>
          </w:tcPr>
          <w:p w14:paraId="33555B9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CV × time</w:t>
            </w:r>
          </w:p>
        </w:tc>
        <w:tc>
          <w:tcPr>
            <w:tcW w:w="1311" w:type="pct"/>
            <w:tcBorders>
              <w:top w:val="nil"/>
              <w:left w:val="nil"/>
              <w:bottom w:val="nil"/>
              <w:right w:val="nil"/>
            </w:tcBorders>
            <w:shd w:val="clear" w:color="auto" w:fill="FFFFFF"/>
            <w:tcMar>
              <w:top w:w="55" w:type="dxa"/>
              <w:left w:w="55" w:type="dxa"/>
              <w:bottom w:w="55" w:type="dxa"/>
              <w:right w:w="55" w:type="dxa"/>
            </w:tcMar>
            <w:vAlign w:val="center"/>
          </w:tcPr>
          <w:p w14:paraId="1F4C321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-0.003 (-0.031 to 0.026)</w:t>
            </w:r>
          </w:p>
        </w:tc>
        <w:tc>
          <w:tcPr>
            <w:tcW w:w="483" w:type="pct"/>
            <w:tcBorders>
              <w:top w:val="nil"/>
              <w:left w:val="nil"/>
              <w:bottom w:val="nil"/>
              <w:right w:val="nil"/>
            </w:tcBorders>
            <w:shd w:val="clear" w:color="auto" w:fill="FFFFFF"/>
            <w:tcMar>
              <w:top w:w="55" w:type="dxa"/>
              <w:left w:w="55" w:type="dxa"/>
              <w:bottom w:w="55" w:type="dxa"/>
              <w:right w:w="55" w:type="dxa"/>
            </w:tcMar>
            <w:vAlign w:val="center"/>
          </w:tcPr>
          <w:p w14:paraId="53E7A38E">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0.86</w:t>
            </w:r>
          </w:p>
        </w:tc>
      </w:tr>
      <w:tr w14:paraId="4184FCE3">
        <w:trPr>
          <w:trHeight w:val="193" w:hRule="atLeast"/>
          <w:jc w:val="center"/>
        </w:trPr>
        <w:tc>
          <w:tcPr>
            <w:tcW w:w="896" w:type="pct"/>
            <w:tcBorders>
              <w:top w:val="nil"/>
              <w:left w:val="nil"/>
              <w:bottom w:val="nil"/>
              <w:right w:val="nil"/>
            </w:tcBorders>
            <w:shd w:val="clear" w:color="auto" w:fill="FFFFFF"/>
            <w:tcMar>
              <w:top w:w="55" w:type="dxa"/>
              <w:left w:w="55" w:type="dxa"/>
              <w:bottom w:w="55" w:type="dxa"/>
              <w:right w:w="55" w:type="dxa"/>
            </w:tcMar>
            <w:vAlign w:val="center"/>
          </w:tcPr>
          <w:p w14:paraId="7CF8D70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Exclude baseline symptom</w:t>
            </w:r>
          </w:p>
        </w:tc>
        <w:tc>
          <w:tcPr>
            <w:tcW w:w="1227" w:type="pct"/>
            <w:tcBorders>
              <w:top w:val="nil"/>
              <w:left w:val="nil"/>
              <w:bottom w:val="nil"/>
              <w:right w:val="nil"/>
            </w:tcBorders>
            <w:shd w:val="clear" w:color="auto" w:fill="FFFFFF"/>
            <w:tcMar>
              <w:top w:w="55" w:type="dxa"/>
              <w:left w:w="55" w:type="dxa"/>
              <w:bottom w:w="55" w:type="dxa"/>
              <w:right w:w="55" w:type="dxa"/>
            </w:tcMar>
            <w:vAlign w:val="center"/>
          </w:tcPr>
          <w:p w14:paraId="0C0887D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Any asthma-like symptom</w:t>
            </w:r>
          </w:p>
        </w:tc>
        <w:tc>
          <w:tcPr>
            <w:tcW w:w="1080" w:type="pct"/>
            <w:tcBorders>
              <w:top w:val="nil"/>
              <w:left w:val="nil"/>
              <w:bottom w:val="nil"/>
              <w:right w:val="nil"/>
            </w:tcBorders>
            <w:shd w:val="clear" w:color="auto" w:fill="FFFFFF"/>
            <w:tcMar>
              <w:top w:w="55" w:type="dxa"/>
              <w:left w:w="55" w:type="dxa"/>
              <w:bottom w:w="55" w:type="dxa"/>
              <w:right w:w="55" w:type="dxa"/>
            </w:tcMar>
            <w:vAlign w:val="center"/>
          </w:tcPr>
          <w:p w14:paraId="5BAEF01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Persistent low ferritin</w:t>
            </w:r>
          </w:p>
        </w:tc>
        <w:tc>
          <w:tcPr>
            <w:tcW w:w="1311" w:type="pct"/>
            <w:tcBorders>
              <w:top w:val="nil"/>
              <w:left w:val="nil"/>
              <w:bottom w:val="nil"/>
              <w:right w:val="nil"/>
            </w:tcBorders>
            <w:shd w:val="clear" w:color="auto" w:fill="FFFFFF"/>
            <w:tcMar>
              <w:top w:w="55" w:type="dxa"/>
              <w:left w:w="55" w:type="dxa"/>
              <w:bottom w:w="55" w:type="dxa"/>
              <w:right w:w="55" w:type="dxa"/>
            </w:tcMar>
            <w:vAlign w:val="center"/>
          </w:tcPr>
          <w:p w14:paraId="5B8565D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1.40 (0.58 to 3.40)</w:t>
            </w:r>
          </w:p>
        </w:tc>
        <w:tc>
          <w:tcPr>
            <w:tcW w:w="483" w:type="pct"/>
            <w:tcBorders>
              <w:top w:val="nil"/>
              <w:left w:val="nil"/>
              <w:bottom w:val="nil"/>
              <w:right w:val="nil"/>
            </w:tcBorders>
            <w:shd w:val="clear" w:color="auto" w:fill="FFFFFF"/>
            <w:tcMar>
              <w:top w:w="55" w:type="dxa"/>
              <w:left w:w="55" w:type="dxa"/>
              <w:bottom w:w="55" w:type="dxa"/>
              <w:right w:w="55" w:type="dxa"/>
            </w:tcMar>
            <w:vAlign w:val="center"/>
          </w:tcPr>
          <w:p w14:paraId="132E752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0.453</w:t>
            </w:r>
          </w:p>
        </w:tc>
      </w:tr>
      <w:tr w14:paraId="11FD73D0">
        <w:trPr>
          <w:trHeight w:val="193" w:hRule="atLeast"/>
          <w:jc w:val="center"/>
        </w:trPr>
        <w:tc>
          <w:tcPr>
            <w:tcW w:w="896"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5D0546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Exclude baseline symptom</w:t>
            </w:r>
          </w:p>
        </w:tc>
        <w:tc>
          <w:tcPr>
            <w:tcW w:w="122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8F3660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Any asthma-like symptom</w:t>
            </w:r>
          </w:p>
        </w:tc>
        <w:tc>
          <w:tcPr>
            <w:tcW w:w="108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3F6CC90">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slope</w:t>
            </w:r>
          </w:p>
        </w:tc>
        <w:tc>
          <w:tcPr>
            <w:tcW w:w="1311"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67686F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0.50 (0.06 to 4.06)</w:t>
            </w:r>
          </w:p>
        </w:tc>
        <w:tc>
          <w:tcPr>
            <w:tcW w:w="483"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778019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0.52</w:t>
            </w:r>
          </w:p>
        </w:tc>
      </w:tr>
    </w:tbl>
    <w:p w14:paraId="3F7BC202">
      <w:pPr>
        <w:spacing w:before="0" w:after="120" w:line="240" w:lineRule="auto"/>
        <w:rPr>
          <w:rFonts w:hint="default" w:ascii="Times New Roman Regular" w:hAnsi="Times New Roman Regular" w:cs="Times New Roman Regular"/>
          <w:b w:val="0"/>
          <w:bCs w:val="0"/>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b w:val="0"/>
          <w:bCs w:val="0"/>
          <w:sz w:val="20"/>
          <w:szCs w:val="22"/>
          <w:lang w:val="en-US" w:eastAsia="zh-CN"/>
        </w:rPr>
        <w:t xml:space="preserve">Regression coefficients (β) or odds ratios (ORs), 95% confidence intervals (CIs), and P values are shown from reverse-causation analyses excluding participants with early deterioration at baseline. Repeated </w:t>
      </w:r>
      <w:r>
        <w:rPr>
          <w:rFonts w:hint="default" w:ascii="Times New Roman" w:hAnsi="Times New Roman" w:eastAsia="Times New Roman" w:cs="Times New Roman Regular"/>
          <w:sz w:val="20"/>
          <w:szCs w:val="22"/>
          <w:lang w:val="en-US" w:eastAsia="zh-CN"/>
        </w:rPr>
        <w:t>FEV₁</w:t>
      </w:r>
      <w:r>
        <w:rPr>
          <w:rFonts w:hint="default" w:ascii="Times New Roman" w:hAnsi="Times New Roman" w:eastAsia="Times New Roman" w:cs="Times New Roman Regular"/>
          <w:b w:val="0"/>
          <w:bCs w:val="0"/>
          <w:sz w:val="20"/>
          <w:szCs w:val="22"/>
          <w:lang w:val="en-US" w:eastAsia="zh-CN"/>
        </w:rPr>
        <w:t xml:space="preserve"> models excluded participants with poor baseline lung function, and symptom models excluded participants with baseline symptom burden, as applicable. These analyses were used to examine whether the observed associations were materially altered after reducing the influence of early deterioration present at study entry. </w:t>
      </w:r>
    </w:p>
    <w:p w14:paraId="7FEC5CFC">
      <w:pPr>
        <w:spacing w:before="0" w:after="0" w:line="240" w:lineRule="auto"/>
        <w:rPr>
          <w:rFonts w:hint="default" w:ascii="Times New Roman Regular" w:hAnsi="Times New Roman Regular" w:cs="Times New Roman Regular"/>
          <w:b/>
          <w:bCs/>
          <w:sz w:val="22"/>
          <w:szCs w:val="22"/>
          <w:lang w:val="en-US" w:eastAsia="zh-CN"/>
        </w:rPr>
      </w:pPr>
      <w:r>
        <w:rPr>
          <w:rFonts w:hint="default" w:ascii="Times New Roman Regular" w:hAnsi="Times New Roman Regular" w:cs="Times New Roman Regular"/>
          <w:b/>
          <w:bCs/>
          <w:sz w:val="22"/>
          <w:szCs w:val="22"/>
          <w:lang w:val="en-US" w:eastAsia="zh-CN"/>
        </w:rPr>
        <w:br w:type="page"/>
      </w:r>
    </w:p>
    <w:p w14:paraId="74BAE8BC">
      <w:pPr>
        <w:pStyle w:val="2"/>
        <w:keepNext/>
        <w:spacing w:before="0" w:after="120" w:line="240" w:lineRule="auto"/>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S79. Reverse-causation analyses of repeated FEV₁ across dynamic iron-related measures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67"/>
        <w:gridCol w:w="2924"/>
        <w:gridCol w:w="1843"/>
        <w:gridCol w:w="3735"/>
        <w:gridCol w:w="1297"/>
      </w:tblGrid>
      <w:tr w14:paraId="2181A202">
        <w:trPr>
          <w:trHeight w:val="193" w:hRule="atLeast"/>
          <w:tblHeader/>
          <w:jc w:val="center"/>
        </w:trPr>
        <w:tc>
          <w:tcPr>
            <w:tcW w:w="158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5F5496ED">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Analysis</w:t>
            </w:r>
          </w:p>
        </w:tc>
        <w:tc>
          <w:tcPr>
            <w:tcW w:w="1017"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0D2BB496">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Exposure</w:t>
            </w:r>
          </w:p>
        </w:tc>
        <w:tc>
          <w:tcPr>
            <w:tcW w:w="641"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3F20ADCE">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Term</w:t>
            </w:r>
          </w:p>
        </w:tc>
        <w:tc>
          <w:tcPr>
            <w:tcW w:w="129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99EE4BD">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β (95% CI)</w:t>
            </w:r>
          </w:p>
        </w:tc>
        <w:tc>
          <w:tcPr>
            <w:tcW w:w="451"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09619D73">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P value</w:t>
            </w:r>
          </w:p>
        </w:tc>
      </w:tr>
      <w:tr w14:paraId="4DEF9A3B">
        <w:trPr>
          <w:trHeight w:val="193" w:hRule="atLeast"/>
          <w:jc w:val="center"/>
        </w:trPr>
        <w:tc>
          <w:tcPr>
            <w:tcW w:w="158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21C94589">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good FEV subgroup</w:t>
            </w:r>
          </w:p>
        </w:tc>
        <w:tc>
          <w:tcPr>
            <w:tcW w:w="1017"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389999D">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Iron fragility index</w:t>
            </w:r>
          </w:p>
        </w:tc>
        <w:tc>
          <w:tcPr>
            <w:tcW w:w="641"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4ED53B7">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Main effect</w:t>
            </w:r>
          </w:p>
        </w:tc>
        <w:tc>
          <w:tcPr>
            <w:tcW w:w="129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15C4AE9E">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-0.021 (-0.047 to 0.004)</w:t>
            </w:r>
          </w:p>
        </w:tc>
        <w:tc>
          <w:tcPr>
            <w:tcW w:w="451"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51CD085">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0.105</w:t>
            </w:r>
          </w:p>
        </w:tc>
      </w:tr>
      <w:tr w14:paraId="5B3F60C6">
        <w:trPr>
          <w:trHeight w:val="193" w:hRule="atLeast"/>
          <w:jc w:val="center"/>
        </w:trPr>
        <w:tc>
          <w:tcPr>
            <w:tcW w:w="1589" w:type="pct"/>
            <w:tcBorders>
              <w:top w:val="nil"/>
              <w:left w:val="nil"/>
              <w:bottom w:val="nil"/>
              <w:right w:val="nil"/>
            </w:tcBorders>
            <w:shd w:val="clear" w:color="auto" w:fill="FFFFFF"/>
            <w:tcMar>
              <w:top w:w="55" w:type="dxa"/>
              <w:left w:w="55" w:type="dxa"/>
              <w:bottom w:w="55" w:type="dxa"/>
              <w:right w:w="55" w:type="dxa"/>
            </w:tcMar>
            <w:vAlign w:val="center"/>
          </w:tcPr>
          <w:p w14:paraId="515AEF8F">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good FEV subgroup</w:t>
            </w:r>
          </w:p>
        </w:tc>
        <w:tc>
          <w:tcPr>
            <w:tcW w:w="1017" w:type="pct"/>
            <w:tcBorders>
              <w:top w:val="nil"/>
              <w:left w:val="nil"/>
              <w:bottom w:val="nil"/>
              <w:right w:val="nil"/>
            </w:tcBorders>
            <w:shd w:val="clear" w:color="auto" w:fill="FFFFFF"/>
            <w:tcMar>
              <w:top w:w="55" w:type="dxa"/>
              <w:left w:w="55" w:type="dxa"/>
              <w:bottom w:w="55" w:type="dxa"/>
              <w:right w:w="55" w:type="dxa"/>
            </w:tcMar>
            <w:vAlign w:val="center"/>
          </w:tcPr>
          <w:p w14:paraId="63202A29">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Iron fragility index</w:t>
            </w:r>
          </w:p>
        </w:tc>
        <w:tc>
          <w:tcPr>
            <w:tcW w:w="641" w:type="pct"/>
            <w:tcBorders>
              <w:top w:val="nil"/>
              <w:left w:val="nil"/>
              <w:bottom w:val="nil"/>
              <w:right w:val="nil"/>
            </w:tcBorders>
            <w:shd w:val="clear" w:color="auto" w:fill="FFFFFF"/>
            <w:tcMar>
              <w:top w:w="55" w:type="dxa"/>
              <w:left w:w="55" w:type="dxa"/>
              <w:bottom w:w="55" w:type="dxa"/>
              <w:right w:w="55" w:type="dxa"/>
            </w:tcMar>
            <w:vAlign w:val="center"/>
          </w:tcPr>
          <w:p w14:paraId="51E0AEE4">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time</w:t>
            </w:r>
          </w:p>
        </w:tc>
        <w:tc>
          <w:tcPr>
            <w:tcW w:w="1299" w:type="pct"/>
            <w:tcBorders>
              <w:top w:val="nil"/>
              <w:left w:val="nil"/>
              <w:bottom w:val="nil"/>
              <w:right w:val="nil"/>
            </w:tcBorders>
            <w:shd w:val="clear" w:color="auto" w:fill="FFFFFF"/>
            <w:tcMar>
              <w:top w:w="55" w:type="dxa"/>
              <w:left w:w="55" w:type="dxa"/>
              <w:bottom w:w="55" w:type="dxa"/>
              <w:right w:w="55" w:type="dxa"/>
            </w:tcMar>
            <w:vAlign w:val="center"/>
          </w:tcPr>
          <w:p w14:paraId="52EDDE91">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-0.001 (-0.004 to 0.003)</w:t>
            </w:r>
          </w:p>
        </w:tc>
        <w:tc>
          <w:tcPr>
            <w:tcW w:w="451" w:type="pct"/>
            <w:tcBorders>
              <w:top w:val="nil"/>
              <w:left w:val="nil"/>
              <w:bottom w:val="nil"/>
              <w:right w:val="nil"/>
            </w:tcBorders>
            <w:shd w:val="clear" w:color="auto" w:fill="FFFFFF"/>
            <w:tcMar>
              <w:top w:w="55" w:type="dxa"/>
              <w:left w:w="55" w:type="dxa"/>
              <w:bottom w:w="55" w:type="dxa"/>
              <w:right w:w="55" w:type="dxa"/>
            </w:tcMar>
            <w:vAlign w:val="center"/>
          </w:tcPr>
          <w:p w14:paraId="616A7C81">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0.671</w:t>
            </w:r>
          </w:p>
        </w:tc>
      </w:tr>
      <w:tr w14:paraId="2F132038">
        <w:trPr>
          <w:trHeight w:val="193" w:hRule="atLeast"/>
          <w:jc w:val="center"/>
        </w:trPr>
        <w:tc>
          <w:tcPr>
            <w:tcW w:w="1589" w:type="pct"/>
            <w:tcBorders>
              <w:top w:val="nil"/>
              <w:left w:val="nil"/>
              <w:bottom w:val="nil"/>
              <w:right w:val="nil"/>
            </w:tcBorders>
            <w:shd w:val="clear" w:color="auto" w:fill="FFFFFF"/>
            <w:tcMar>
              <w:top w:w="55" w:type="dxa"/>
              <w:left w:w="55" w:type="dxa"/>
              <w:bottom w:w="55" w:type="dxa"/>
              <w:right w:w="55" w:type="dxa"/>
            </w:tcMar>
            <w:vAlign w:val="center"/>
          </w:tcPr>
          <w:p w14:paraId="77F0910A">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good FEV subgroup</w:t>
            </w:r>
          </w:p>
        </w:tc>
        <w:tc>
          <w:tcPr>
            <w:tcW w:w="1017" w:type="pct"/>
            <w:tcBorders>
              <w:top w:val="nil"/>
              <w:left w:val="nil"/>
              <w:bottom w:val="nil"/>
              <w:right w:val="nil"/>
            </w:tcBorders>
            <w:shd w:val="clear" w:color="auto" w:fill="FFFFFF"/>
            <w:tcMar>
              <w:top w:w="55" w:type="dxa"/>
              <w:left w:w="55" w:type="dxa"/>
              <w:bottom w:w="55" w:type="dxa"/>
              <w:right w:w="55" w:type="dxa"/>
            </w:tcMar>
            <w:vAlign w:val="center"/>
          </w:tcPr>
          <w:p w14:paraId="47CFFBCB">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CV</w:t>
            </w:r>
          </w:p>
        </w:tc>
        <w:tc>
          <w:tcPr>
            <w:tcW w:w="641" w:type="pct"/>
            <w:tcBorders>
              <w:top w:val="nil"/>
              <w:left w:val="nil"/>
              <w:bottom w:val="nil"/>
              <w:right w:val="nil"/>
            </w:tcBorders>
            <w:shd w:val="clear" w:color="auto" w:fill="FFFFFF"/>
            <w:tcMar>
              <w:top w:w="55" w:type="dxa"/>
              <w:left w:w="55" w:type="dxa"/>
              <w:bottom w:w="55" w:type="dxa"/>
              <w:right w:w="55" w:type="dxa"/>
            </w:tcMar>
            <w:vAlign w:val="center"/>
          </w:tcPr>
          <w:p w14:paraId="50B0C60A">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Main effect</w:t>
            </w:r>
          </w:p>
        </w:tc>
        <w:tc>
          <w:tcPr>
            <w:tcW w:w="1299" w:type="pct"/>
            <w:tcBorders>
              <w:top w:val="nil"/>
              <w:left w:val="nil"/>
              <w:bottom w:val="nil"/>
              <w:right w:val="nil"/>
            </w:tcBorders>
            <w:shd w:val="clear" w:color="auto" w:fill="FFFFFF"/>
            <w:tcMar>
              <w:top w:w="55" w:type="dxa"/>
              <w:left w:w="55" w:type="dxa"/>
              <w:bottom w:w="55" w:type="dxa"/>
              <w:right w:w="55" w:type="dxa"/>
            </w:tcMar>
            <w:vAlign w:val="center"/>
          </w:tcPr>
          <w:p w14:paraId="29C227C1">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-0.183 (-0.413 to 0.048)</w:t>
            </w:r>
          </w:p>
        </w:tc>
        <w:tc>
          <w:tcPr>
            <w:tcW w:w="451" w:type="pct"/>
            <w:tcBorders>
              <w:top w:val="nil"/>
              <w:left w:val="nil"/>
              <w:bottom w:val="nil"/>
              <w:right w:val="nil"/>
            </w:tcBorders>
            <w:shd w:val="clear" w:color="auto" w:fill="FFFFFF"/>
            <w:tcMar>
              <w:top w:w="55" w:type="dxa"/>
              <w:left w:w="55" w:type="dxa"/>
              <w:bottom w:w="55" w:type="dxa"/>
              <w:right w:w="55" w:type="dxa"/>
            </w:tcMar>
            <w:vAlign w:val="center"/>
          </w:tcPr>
          <w:p w14:paraId="02158335">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0.121</w:t>
            </w:r>
          </w:p>
        </w:tc>
      </w:tr>
      <w:tr w14:paraId="00608C8C">
        <w:trPr>
          <w:trHeight w:val="193" w:hRule="atLeast"/>
          <w:jc w:val="center"/>
        </w:trPr>
        <w:tc>
          <w:tcPr>
            <w:tcW w:w="1589" w:type="pct"/>
            <w:tcBorders>
              <w:top w:val="nil"/>
              <w:left w:val="nil"/>
              <w:bottom w:val="nil"/>
              <w:right w:val="nil"/>
            </w:tcBorders>
            <w:shd w:val="clear" w:color="auto" w:fill="FFFFFF"/>
            <w:tcMar>
              <w:top w:w="55" w:type="dxa"/>
              <w:left w:w="55" w:type="dxa"/>
              <w:bottom w:w="55" w:type="dxa"/>
              <w:right w:w="55" w:type="dxa"/>
            </w:tcMar>
            <w:vAlign w:val="center"/>
          </w:tcPr>
          <w:p w14:paraId="056F10EE">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good FEV subgroup</w:t>
            </w:r>
          </w:p>
        </w:tc>
        <w:tc>
          <w:tcPr>
            <w:tcW w:w="1017" w:type="pct"/>
            <w:tcBorders>
              <w:top w:val="nil"/>
              <w:left w:val="nil"/>
              <w:bottom w:val="nil"/>
              <w:right w:val="nil"/>
            </w:tcBorders>
            <w:shd w:val="clear" w:color="auto" w:fill="FFFFFF"/>
            <w:tcMar>
              <w:top w:w="55" w:type="dxa"/>
              <w:left w:w="55" w:type="dxa"/>
              <w:bottom w:w="55" w:type="dxa"/>
              <w:right w:w="55" w:type="dxa"/>
            </w:tcMar>
            <w:vAlign w:val="center"/>
          </w:tcPr>
          <w:p w14:paraId="7AC25678">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CV</w:t>
            </w:r>
          </w:p>
        </w:tc>
        <w:tc>
          <w:tcPr>
            <w:tcW w:w="641" w:type="pct"/>
            <w:tcBorders>
              <w:top w:val="nil"/>
              <w:left w:val="nil"/>
              <w:bottom w:val="nil"/>
              <w:right w:val="nil"/>
            </w:tcBorders>
            <w:shd w:val="clear" w:color="auto" w:fill="FFFFFF"/>
            <w:tcMar>
              <w:top w:w="55" w:type="dxa"/>
              <w:left w:w="55" w:type="dxa"/>
              <w:bottom w:w="55" w:type="dxa"/>
              <w:right w:w="55" w:type="dxa"/>
            </w:tcMar>
            <w:vAlign w:val="center"/>
          </w:tcPr>
          <w:p w14:paraId="520035C5">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time</w:t>
            </w:r>
          </w:p>
        </w:tc>
        <w:tc>
          <w:tcPr>
            <w:tcW w:w="1299" w:type="pct"/>
            <w:tcBorders>
              <w:top w:val="nil"/>
              <w:left w:val="nil"/>
              <w:bottom w:val="nil"/>
              <w:right w:val="nil"/>
            </w:tcBorders>
            <w:shd w:val="clear" w:color="auto" w:fill="FFFFFF"/>
            <w:tcMar>
              <w:top w:w="55" w:type="dxa"/>
              <w:left w:w="55" w:type="dxa"/>
              <w:bottom w:w="55" w:type="dxa"/>
              <w:right w:w="55" w:type="dxa"/>
            </w:tcMar>
            <w:vAlign w:val="center"/>
          </w:tcPr>
          <w:p w14:paraId="4FF49814">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-0.003 (-0.031 to 0.026)</w:t>
            </w:r>
          </w:p>
        </w:tc>
        <w:tc>
          <w:tcPr>
            <w:tcW w:w="451" w:type="pct"/>
            <w:tcBorders>
              <w:top w:val="nil"/>
              <w:left w:val="nil"/>
              <w:bottom w:val="nil"/>
              <w:right w:val="nil"/>
            </w:tcBorders>
            <w:shd w:val="clear" w:color="auto" w:fill="FFFFFF"/>
            <w:tcMar>
              <w:top w:w="55" w:type="dxa"/>
              <w:left w:w="55" w:type="dxa"/>
              <w:bottom w:w="55" w:type="dxa"/>
              <w:right w:w="55" w:type="dxa"/>
            </w:tcMar>
            <w:vAlign w:val="center"/>
          </w:tcPr>
          <w:p w14:paraId="32A6D755">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0.86</w:t>
            </w:r>
          </w:p>
        </w:tc>
      </w:tr>
      <w:tr w14:paraId="5A2B87C9">
        <w:trPr>
          <w:trHeight w:val="193" w:hRule="atLeast"/>
          <w:jc w:val="center"/>
        </w:trPr>
        <w:tc>
          <w:tcPr>
            <w:tcW w:w="1589" w:type="pct"/>
            <w:tcBorders>
              <w:top w:val="nil"/>
              <w:left w:val="nil"/>
              <w:bottom w:val="nil"/>
              <w:right w:val="nil"/>
            </w:tcBorders>
            <w:shd w:val="clear" w:color="auto" w:fill="FFFFFF"/>
            <w:tcMar>
              <w:top w:w="55" w:type="dxa"/>
              <w:left w:w="55" w:type="dxa"/>
              <w:bottom w:w="55" w:type="dxa"/>
              <w:right w:w="55" w:type="dxa"/>
            </w:tcMar>
            <w:vAlign w:val="center"/>
          </w:tcPr>
          <w:p w14:paraId="6B0B3F8B">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good FEV subgroup</w:t>
            </w:r>
          </w:p>
        </w:tc>
        <w:tc>
          <w:tcPr>
            <w:tcW w:w="1017" w:type="pct"/>
            <w:tcBorders>
              <w:top w:val="nil"/>
              <w:left w:val="nil"/>
              <w:bottom w:val="nil"/>
              <w:right w:val="nil"/>
            </w:tcBorders>
            <w:shd w:val="clear" w:color="auto" w:fill="FFFFFF"/>
            <w:tcMar>
              <w:top w:w="55" w:type="dxa"/>
              <w:left w:w="55" w:type="dxa"/>
              <w:bottom w:w="55" w:type="dxa"/>
              <w:right w:w="55" w:type="dxa"/>
            </w:tcMar>
            <w:vAlign w:val="center"/>
          </w:tcPr>
          <w:p w14:paraId="3D977FFA">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slope</w:t>
            </w:r>
          </w:p>
        </w:tc>
        <w:tc>
          <w:tcPr>
            <w:tcW w:w="641" w:type="pct"/>
            <w:tcBorders>
              <w:top w:val="nil"/>
              <w:left w:val="nil"/>
              <w:bottom w:val="nil"/>
              <w:right w:val="nil"/>
            </w:tcBorders>
            <w:shd w:val="clear" w:color="auto" w:fill="FFFFFF"/>
            <w:tcMar>
              <w:top w:w="55" w:type="dxa"/>
              <w:left w:w="55" w:type="dxa"/>
              <w:bottom w:w="55" w:type="dxa"/>
              <w:right w:w="55" w:type="dxa"/>
            </w:tcMar>
            <w:vAlign w:val="center"/>
          </w:tcPr>
          <w:p w14:paraId="56EA3768">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Main effect</w:t>
            </w:r>
          </w:p>
        </w:tc>
        <w:tc>
          <w:tcPr>
            <w:tcW w:w="1299" w:type="pct"/>
            <w:tcBorders>
              <w:top w:val="nil"/>
              <w:left w:val="nil"/>
              <w:bottom w:val="nil"/>
              <w:right w:val="nil"/>
            </w:tcBorders>
            <w:shd w:val="clear" w:color="auto" w:fill="FFFFFF"/>
            <w:tcMar>
              <w:top w:w="55" w:type="dxa"/>
              <w:left w:w="55" w:type="dxa"/>
              <w:bottom w:w="55" w:type="dxa"/>
              <w:right w:w="55" w:type="dxa"/>
            </w:tcMar>
            <w:vAlign w:val="center"/>
          </w:tcPr>
          <w:p w14:paraId="3E86D4D0">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0.252 (-0.128 to 0.632)</w:t>
            </w:r>
          </w:p>
        </w:tc>
        <w:tc>
          <w:tcPr>
            <w:tcW w:w="451" w:type="pct"/>
            <w:tcBorders>
              <w:top w:val="nil"/>
              <w:left w:val="nil"/>
              <w:bottom w:val="nil"/>
              <w:right w:val="nil"/>
            </w:tcBorders>
            <w:shd w:val="clear" w:color="auto" w:fill="FFFFFF"/>
            <w:tcMar>
              <w:top w:w="55" w:type="dxa"/>
              <w:left w:w="55" w:type="dxa"/>
              <w:bottom w:w="55" w:type="dxa"/>
              <w:right w:w="55" w:type="dxa"/>
            </w:tcMar>
            <w:vAlign w:val="center"/>
          </w:tcPr>
          <w:p w14:paraId="208E891C">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0.194</w:t>
            </w:r>
          </w:p>
        </w:tc>
      </w:tr>
      <w:tr w14:paraId="617DF3F1">
        <w:trPr>
          <w:trHeight w:val="193" w:hRule="atLeast"/>
          <w:jc w:val="center"/>
        </w:trPr>
        <w:tc>
          <w:tcPr>
            <w:tcW w:w="1589" w:type="pct"/>
            <w:tcBorders>
              <w:top w:val="nil"/>
              <w:left w:val="nil"/>
              <w:bottom w:val="nil"/>
              <w:right w:val="nil"/>
            </w:tcBorders>
            <w:shd w:val="clear" w:color="auto" w:fill="FFFFFF"/>
            <w:tcMar>
              <w:top w:w="55" w:type="dxa"/>
              <w:left w:w="55" w:type="dxa"/>
              <w:bottom w:w="55" w:type="dxa"/>
              <w:right w:w="55" w:type="dxa"/>
            </w:tcMar>
            <w:vAlign w:val="center"/>
          </w:tcPr>
          <w:p w14:paraId="4DAFAA42">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good FEV subgroup</w:t>
            </w:r>
          </w:p>
        </w:tc>
        <w:tc>
          <w:tcPr>
            <w:tcW w:w="1017" w:type="pct"/>
            <w:tcBorders>
              <w:top w:val="nil"/>
              <w:left w:val="nil"/>
              <w:bottom w:val="nil"/>
              <w:right w:val="nil"/>
            </w:tcBorders>
            <w:shd w:val="clear" w:color="auto" w:fill="FFFFFF"/>
            <w:tcMar>
              <w:top w:w="55" w:type="dxa"/>
              <w:left w:w="55" w:type="dxa"/>
              <w:bottom w:w="55" w:type="dxa"/>
              <w:right w:w="55" w:type="dxa"/>
            </w:tcMar>
            <w:vAlign w:val="center"/>
          </w:tcPr>
          <w:p w14:paraId="780E166B">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slope</w:t>
            </w:r>
          </w:p>
        </w:tc>
        <w:tc>
          <w:tcPr>
            <w:tcW w:w="641" w:type="pct"/>
            <w:tcBorders>
              <w:top w:val="nil"/>
              <w:left w:val="nil"/>
              <w:bottom w:val="nil"/>
              <w:right w:val="nil"/>
            </w:tcBorders>
            <w:shd w:val="clear" w:color="auto" w:fill="FFFFFF"/>
            <w:tcMar>
              <w:top w:w="55" w:type="dxa"/>
              <w:left w:w="55" w:type="dxa"/>
              <w:bottom w:w="55" w:type="dxa"/>
              <w:right w:w="55" w:type="dxa"/>
            </w:tcMar>
            <w:vAlign w:val="center"/>
          </w:tcPr>
          <w:p w14:paraId="3B889803">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time</w:t>
            </w:r>
          </w:p>
        </w:tc>
        <w:tc>
          <w:tcPr>
            <w:tcW w:w="1299" w:type="pct"/>
            <w:tcBorders>
              <w:top w:val="nil"/>
              <w:left w:val="nil"/>
              <w:bottom w:val="nil"/>
              <w:right w:val="nil"/>
            </w:tcBorders>
            <w:shd w:val="clear" w:color="auto" w:fill="FFFFFF"/>
            <w:tcMar>
              <w:top w:w="55" w:type="dxa"/>
              <w:left w:w="55" w:type="dxa"/>
              <w:bottom w:w="55" w:type="dxa"/>
              <w:right w:w="55" w:type="dxa"/>
            </w:tcMar>
            <w:vAlign w:val="center"/>
          </w:tcPr>
          <w:p w14:paraId="5D31DB25">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0.005 (-0.046 to 0.057)</w:t>
            </w:r>
          </w:p>
        </w:tc>
        <w:tc>
          <w:tcPr>
            <w:tcW w:w="451" w:type="pct"/>
            <w:tcBorders>
              <w:top w:val="nil"/>
              <w:left w:val="nil"/>
              <w:bottom w:val="nil"/>
              <w:right w:val="nil"/>
            </w:tcBorders>
            <w:shd w:val="clear" w:color="auto" w:fill="FFFFFF"/>
            <w:tcMar>
              <w:top w:w="55" w:type="dxa"/>
              <w:left w:w="55" w:type="dxa"/>
              <w:bottom w:w="55" w:type="dxa"/>
              <w:right w:w="55" w:type="dxa"/>
            </w:tcMar>
            <w:vAlign w:val="center"/>
          </w:tcPr>
          <w:p w14:paraId="041F4EF3">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0.835</w:t>
            </w:r>
          </w:p>
        </w:tc>
      </w:tr>
      <w:tr w14:paraId="44B2D01E">
        <w:trPr>
          <w:trHeight w:val="193" w:hRule="atLeast"/>
          <w:jc w:val="center"/>
        </w:trPr>
        <w:tc>
          <w:tcPr>
            <w:tcW w:w="1589" w:type="pct"/>
            <w:tcBorders>
              <w:top w:val="nil"/>
              <w:left w:val="nil"/>
              <w:bottom w:val="nil"/>
              <w:right w:val="nil"/>
            </w:tcBorders>
            <w:shd w:val="clear" w:color="auto" w:fill="FFFFFF"/>
            <w:tcMar>
              <w:top w:w="55" w:type="dxa"/>
              <w:left w:w="55" w:type="dxa"/>
              <w:bottom w:w="55" w:type="dxa"/>
              <w:right w:w="55" w:type="dxa"/>
            </w:tcMar>
            <w:vAlign w:val="center"/>
          </w:tcPr>
          <w:p w14:paraId="62D51CFD">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good FEV subgroup</w:t>
            </w:r>
          </w:p>
        </w:tc>
        <w:tc>
          <w:tcPr>
            <w:tcW w:w="1017" w:type="pct"/>
            <w:tcBorders>
              <w:top w:val="nil"/>
              <w:left w:val="nil"/>
              <w:bottom w:val="nil"/>
              <w:right w:val="nil"/>
            </w:tcBorders>
            <w:shd w:val="clear" w:color="auto" w:fill="FFFFFF"/>
            <w:tcMar>
              <w:top w:w="55" w:type="dxa"/>
              <w:left w:w="55" w:type="dxa"/>
              <w:bottom w:w="55" w:type="dxa"/>
              <w:right w:w="55" w:type="dxa"/>
            </w:tcMar>
            <w:vAlign w:val="center"/>
          </w:tcPr>
          <w:p w14:paraId="1F8FFC76">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Persistent low ferritin</w:t>
            </w:r>
          </w:p>
        </w:tc>
        <w:tc>
          <w:tcPr>
            <w:tcW w:w="641" w:type="pct"/>
            <w:tcBorders>
              <w:top w:val="nil"/>
              <w:left w:val="nil"/>
              <w:bottom w:val="nil"/>
              <w:right w:val="nil"/>
            </w:tcBorders>
            <w:shd w:val="clear" w:color="auto" w:fill="FFFFFF"/>
            <w:tcMar>
              <w:top w:w="55" w:type="dxa"/>
              <w:left w:w="55" w:type="dxa"/>
              <w:bottom w:w="55" w:type="dxa"/>
              <w:right w:w="55" w:type="dxa"/>
            </w:tcMar>
            <w:vAlign w:val="center"/>
          </w:tcPr>
          <w:p w14:paraId="2AA864FF">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Main effect</w:t>
            </w:r>
          </w:p>
        </w:tc>
        <w:tc>
          <w:tcPr>
            <w:tcW w:w="1299" w:type="pct"/>
            <w:tcBorders>
              <w:top w:val="nil"/>
              <w:left w:val="nil"/>
              <w:bottom w:val="nil"/>
              <w:right w:val="nil"/>
            </w:tcBorders>
            <w:shd w:val="clear" w:color="auto" w:fill="FFFFFF"/>
            <w:tcMar>
              <w:top w:w="55" w:type="dxa"/>
              <w:left w:w="55" w:type="dxa"/>
              <w:bottom w:w="55" w:type="dxa"/>
              <w:right w:w="55" w:type="dxa"/>
            </w:tcMar>
            <w:vAlign w:val="center"/>
          </w:tcPr>
          <w:p w14:paraId="0941D620">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-0.125 (-0.285 to 0.034)</w:t>
            </w:r>
          </w:p>
        </w:tc>
        <w:tc>
          <w:tcPr>
            <w:tcW w:w="451" w:type="pct"/>
            <w:tcBorders>
              <w:top w:val="nil"/>
              <w:left w:val="nil"/>
              <w:bottom w:val="nil"/>
              <w:right w:val="nil"/>
            </w:tcBorders>
            <w:shd w:val="clear" w:color="auto" w:fill="FFFFFF"/>
            <w:tcMar>
              <w:top w:w="55" w:type="dxa"/>
              <w:left w:w="55" w:type="dxa"/>
              <w:bottom w:w="55" w:type="dxa"/>
              <w:right w:w="55" w:type="dxa"/>
            </w:tcMar>
            <w:vAlign w:val="center"/>
          </w:tcPr>
          <w:p w14:paraId="4771C24F">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0.124</w:t>
            </w:r>
          </w:p>
        </w:tc>
      </w:tr>
      <w:tr w14:paraId="04A69CEF">
        <w:trPr>
          <w:trHeight w:val="193" w:hRule="atLeast"/>
          <w:jc w:val="center"/>
        </w:trPr>
        <w:tc>
          <w:tcPr>
            <w:tcW w:w="1589" w:type="pct"/>
            <w:tcBorders>
              <w:top w:val="nil"/>
              <w:left w:val="nil"/>
              <w:bottom w:val="nil"/>
              <w:right w:val="nil"/>
            </w:tcBorders>
            <w:shd w:val="clear" w:color="auto" w:fill="FFFFFF"/>
            <w:tcMar>
              <w:top w:w="55" w:type="dxa"/>
              <w:left w:w="55" w:type="dxa"/>
              <w:bottom w:w="55" w:type="dxa"/>
              <w:right w:w="55" w:type="dxa"/>
            </w:tcMar>
            <w:vAlign w:val="center"/>
          </w:tcPr>
          <w:p w14:paraId="47E5B327">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good FEV subgroup</w:t>
            </w:r>
          </w:p>
        </w:tc>
        <w:tc>
          <w:tcPr>
            <w:tcW w:w="1017" w:type="pct"/>
            <w:tcBorders>
              <w:top w:val="nil"/>
              <w:left w:val="nil"/>
              <w:bottom w:val="nil"/>
              <w:right w:val="nil"/>
            </w:tcBorders>
            <w:shd w:val="clear" w:color="auto" w:fill="FFFFFF"/>
            <w:tcMar>
              <w:top w:w="55" w:type="dxa"/>
              <w:left w:w="55" w:type="dxa"/>
              <w:bottom w:w="55" w:type="dxa"/>
              <w:right w:w="55" w:type="dxa"/>
            </w:tcMar>
            <w:vAlign w:val="center"/>
          </w:tcPr>
          <w:p w14:paraId="502C18A7">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Persistent low ferritin</w:t>
            </w:r>
          </w:p>
        </w:tc>
        <w:tc>
          <w:tcPr>
            <w:tcW w:w="641" w:type="pct"/>
            <w:tcBorders>
              <w:top w:val="nil"/>
              <w:left w:val="nil"/>
              <w:bottom w:val="nil"/>
              <w:right w:val="nil"/>
            </w:tcBorders>
            <w:shd w:val="clear" w:color="auto" w:fill="FFFFFF"/>
            <w:tcMar>
              <w:top w:w="55" w:type="dxa"/>
              <w:left w:w="55" w:type="dxa"/>
              <w:bottom w:w="55" w:type="dxa"/>
              <w:right w:w="55" w:type="dxa"/>
            </w:tcMar>
            <w:vAlign w:val="center"/>
          </w:tcPr>
          <w:p w14:paraId="49163B11">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time</w:t>
            </w:r>
          </w:p>
        </w:tc>
        <w:tc>
          <w:tcPr>
            <w:tcW w:w="1299" w:type="pct"/>
            <w:tcBorders>
              <w:top w:val="nil"/>
              <w:left w:val="nil"/>
              <w:bottom w:val="nil"/>
              <w:right w:val="nil"/>
            </w:tcBorders>
            <w:shd w:val="clear" w:color="auto" w:fill="FFFFFF"/>
            <w:tcMar>
              <w:top w:w="55" w:type="dxa"/>
              <w:left w:w="55" w:type="dxa"/>
              <w:bottom w:w="55" w:type="dxa"/>
              <w:right w:w="55" w:type="dxa"/>
            </w:tcMar>
            <w:vAlign w:val="center"/>
          </w:tcPr>
          <w:p w14:paraId="70E2662D">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-0.008 (-0.033 to 0.017)</w:t>
            </w:r>
          </w:p>
        </w:tc>
        <w:tc>
          <w:tcPr>
            <w:tcW w:w="451" w:type="pct"/>
            <w:tcBorders>
              <w:top w:val="nil"/>
              <w:left w:val="nil"/>
              <w:bottom w:val="nil"/>
              <w:right w:val="nil"/>
            </w:tcBorders>
            <w:shd w:val="clear" w:color="auto" w:fill="FFFFFF"/>
            <w:tcMar>
              <w:top w:w="55" w:type="dxa"/>
              <w:left w:w="55" w:type="dxa"/>
              <w:bottom w:w="55" w:type="dxa"/>
              <w:right w:w="55" w:type="dxa"/>
            </w:tcMar>
            <w:vAlign w:val="center"/>
          </w:tcPr>
          <w:p w14:paraId="13A96FA1">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0.536</w:t>
            </w:r>
          </w:p>
        </w:tc>
      </w:tr>
      <w:tr w14:paraId="312B70AF">
        <w:trPr>
          <w:trHeight w:val="193" w:hRule="atLeast"/>
          <w:jc w:val="center"/>
        </w:trPr>
        <w:tc>
          <w:tcPr>
            <w:tcW w:w="1589" w:type="pct"/>
            <w:tcBorders>
              <w:top w:val="nil"/>
              <w:left w:val="nil"/>
              <w:bottom w:val="nil"/>
              <w:right w:val="nil"/>
            </w:tcBorders>
            <w:shd w:val="clear" w:color="auto" w:fill="FFFFFF"/>
            <w:tcMar>
              <w:top w:w="55" w:type="dxa"/>
              <w:left w:w="55" w:type="dxa"/>
              <w:bottom w:w="55" w:type="dxa"/>
              <w:right w:w="55" w:type="dxa"/>
            </w:tcMar>
            <w:vAlign w:val="center"/>
          </w:tcPr>
          <w:p w14:paraId="459E304F">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not-low-ferritin subgroup</w:t>
            </w:r>
          </w:p>
        </w:tc>
        <w:tc>
          <w:tcPr>
            <w:tcW w:w="1017" w:type="pct"/>
            <w:tcBorders>
              <w:top w:val="nil"/>
              <w:left w:val="nil"/>
              <w:bottom w:val="nil"/>
              <w:right w:val="nil"/>
            </w:tcBorders>
            <w:shd w:val="clear" w:color="auto" w:fill="FFFFFF"/>
            <w:tcMar>
              <w:top w:w="55" w:type="dxa"/>
              <w:left w:w="55" w:type="dxa"/>
              <w:bottom w:w="55" w:type="dxa"/>
              <w:right w:w="55" w:type="dxa"/>
            </w:tcMar>
            <w:vAlign w:val="center"/>
          </w:tcPr>
          <w:p w14:paraId="7D8689CB">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Iron fragility index</w:t>
            </w:r>
          </w:p>
        </w:tc>
        <w:tc>
          <w:tcPr>
            <w:tcW w:w="641" w:type="pct"/>
            <w:tcBorders>
              <w:top w:val="nil"/>
              <w:left w:val="nil"/>
              <w:bottom w:val="nil"/>
              <w:right w:val="nil"/>
            </w:tcBorders>
            <w:shd w:val="clear" w:color="auto" w:fill="FFFFFF"/>
            <w:tcMar>
              <w:top w:w="55" w:type="dxa"/>
              <w:left w:w="55" w:type="dxa"/>
              <w:bottom w:w="55" w:type="dxa"/>
              <w:right w:w="55" w:type="dxa"/>
            </w:tcMar>
            <w:vAlign w:val="center"/>
          </w:tcPr>
          <w:p w14:paraId="10B2BED7">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Main effect</w:t>
            </w:r>
          </w:p>
        </w:tc>
        <w:tc>
          <w:tcPr>
            <w:tcW w:w="1299" w:type="pct"/>
            <w:tcBorders>
              <w:top w:val="nil"/>
              <w:left w:val="nil"/>
              <w:bottom w:val="nil"/>
              <w:right w:val="nil"/>
            </w:tcBorders>
            <w:shd w:val="clear" w:color="auto" w:fill="FFFFFF"/>
            <w:tcMar>
              <w:top w:w="55" w:type="dxa"/>
              <w:left w:w="55" w:type="dxa"/>
              <w:bottom w:w="55" w:type="dxa"/>
              <w:right w:w="55" w:type="dxa"/>
            </w:tcMar>
            <w:vAlign w:val="center"/>
          </w:tcPr>
          <w:p w14:paraId="61EFEB28">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-0.033 (-0.063 to -0.003)</w:t>
            </w:r>
          </w:p>
        </w:tc>
        <w:tc>
          <w:tcPr>
            <w:tcW w:w="451" w:type="pct"/>
            <w:tcBorders>
              <w:top w:val="nil"/>
              <w:left w:val="nil"/>
              <w:bottom w:val="nil"/>
              <w:right w:val="nil"/>
            </w:tcBorders>
            <w:shd w:val="clear" w:color="auto" w:fill="FFFFFF"/>
            <w:tcMar>
              <w:top w:w="55" w:type="dxa"/>
              <w:left w:w="55" w:type="dxa"/>
              <w:bottom w:w="55" w:type="dxa"/>
              <w:right w:w="55" w:type="dxa"/>
            </w:tcMar>
            <w:vAlign w:val="center"/>
          </w:tcPr>
          <w:p w14:paraId="224754C8">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0.03</w:t>
            </w:r>
          </w:p>
        </w:tc>
      </w:tr>
      <w:tr w14:paraId="36DD9D6C">
        <w:trPr>
          <w:trHeight w:val="193" w:hRule="atLeast"/>
          <w:jc w:val="center"/>
        </w:trPr>
        <w:tc>
          <w:tcPr>
            <w:tcW w:w="1589" w:type="pct"/>
            <w:tcBorders>
              <w:top w:val="nil"/>
              <w:left w:val="nil"/>
              <w:bottom w:val="nil"/>
              <w:right w:val="nil"/>
            </w:tcBorders>
            <w:shd w:val="clear" w:color="auto" w:fill="FFFFFF"/>
            <w:tcMar>
              <w:top w:w="55" w:type="dxa"/>
              <w:left w:w="55" w:type="dxa"/>
              <w:bottom w:w="55" w:type="dxa"/>
              <w:right w:w="55" w:type="dxa"/>
            </w:tcMar>
            <w:vAlign w:val="center"/>
          </w:tcPr>
          <w:p w14:paraId="4EECA6C2">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not-low-ferritin subgroup</w:t>
            </w:r>
          </w:p>
        </w:tc>
        <w:tc>
          <w:tcPr>
            <w:tcW w:w="1017" w:type="pct"/>
            <w:tcBorders>
              <w:top w:val="nil"/>
              <w:left w:val="nil"/>
              <w:bottom w:val="nil"/>
              <w:right w:val="nil"/>
            </w:tcBorders>
            <w:shd w:val="clear" w:color="auto" w:fill="FFFFFF"/>
            <w:tcMar>
              <w:top w:w="55" w:type="dxa"/>
              <w:left w:w="55" w:type="dxa"/>
              <w:bottom w:w="55" w:type="dxa"/>
              <w:right w:w="55" w:type="dxa"/>
            </w:tcMar>
            <w:vAlign w:val="center"/>
          </w:tcPr>
          <w:p w14:paraId="53F63174">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Iron fragility index</w:t>
            </w:r>
          </w:p>
        </w:tc>
        <w:tc>
          <w:tcPr>
            <w:tcW w:w="641" w:type="pct"/>
            <w:tcBorders>
              <w:top w:val="nil"/>
              <w:left w:val="nil"/>
              <w:bottom w:val="nil"/>
              <w:right w:val="nil"/>
            </w:tcBorders>
            <w:shd w:val="clear" w:color="auto" w:fill="FFFFFF"/>
            <w:tcMar>
              <w:top w:w="55" w:type="dxa"/>
              <w:left w:w="55" w:type="dxa"/>
              <w:bottom w:w="55" w:type="dxa"/>
              <w:right w:w="55" w:type="dxa"/>
            </w:tcMar>
            <w:vAlign w:val="center"/>
          </w:tcPr>
          <w:p w14:paraId="7ADADB12">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time</w:t>
            </w:r>
          </w:p>
        </w:tc>
        <w:tc>
          <w:tcPr>
            <w:tcW w:w="1299" w:type="pct"/>
            <w:tcBorders>
              <w:top w:val="nil"/>
              <w:left w:val="nil"/>
              <w:bottom w:val="nil"/>
              <w:right w:val="nil"/>
            </w:tcBorders>
            <w:shd w:val="clear" w:color="auto" w:fill="FFFFFF"/>
            <w:tcMar>
              <w:top w:w="55" w:type="dxa"/>
              <w:left w:w="55" w:type="dxa"/>
              <w:bottom w:w="55" w:type="dxa"/>
              <w:right w:w="55" w:type="dxa"/>
            </w:tcMar>
            <w:vAlign w:val="center"/>
          </w:tcPr>
          <w:p w14:paraId="1821F369">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0.001 (-0.003 to 0.004)</w:t>
            </w:r>
          </w:p>
        </w:tc>
        <w:tc>
          <w:tcPr>
            <w:tcW w:w="451" w:type="pct"/>
            <w:tcBorders>
              <w:top w:val="nil"/>
              <w:left w:val="nil"/>
              <w:bottom w:val="nil"/>
              <w:right w:val="nil"/>
            </w:tcBorders>
            <w:shd w:val="clear" w:color="auto" w:fill="FFFFFF"/>
            <w:tcMar>
              <w:top w:w="55" w:type="dxa"/>
              <w:left w:w="55" w:type="dxa"/>
              <w:bottom w:w="55" w:type="dxa"/>
              <w:right w:w="55" w:type="dxa"/>
            </w:tcMar>
            <w:vAlign w:val="center"/>
          </w:tcPr>
          <w:p w14:paraId="095E28A6">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0.774</w:t>
            </w:r>
          </w:p>
        </w:tc>
      </w:tr>
      <w:tr w14:paraId="50561D54">
        <w:trPr>
          <w:trHeight w:val="193" w:hRule="atLeast"/>
          <w:jc w:val="center"/>
        </w:trPr>
        <w:tc>
          <w:tcPr>
            <w:tcW w:w="1589" w:type="pct"/>
            <w:tcBorders>
              <w:top w:val="nil"/>
              <w:left w:val="nil"/>
              <w:bottom w:val="nil"/>
              <w:right w:val="nil"/>
            </w:tcBorders>
            <w:shd w:val="clear" w:color="auto" w:fill="FFFFFF"/>
            <w:tcMar>
              <w:top w:w="55" w:type="dxa"/>
              <w:left w:w="55" w:type="dxa"/>
              <w:bottom w:w="55" w:type="dxa"/>
              <w:right w:w="55" w:type="dxa"/>
            </w:tcMar>
            <w:vAlign w:val="center"/>
          </w:tcPr>
          <w:p w14:paraId="41B81A58">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not-low-ferritin subgroup</w:t>
            </w:r>
          </w:p>
        </w:tc>
        <w:tc>
          <w:tcPr>
            <w:tcW w:w="1017" w:type="pct"/>
            <w:tcBorders>
              <w:top w:val="nil"/>
              <w:left w:val="nil"/>
              <w:bottom w:val="nil"/>
              <w:right w:val="nil"/>
            </w:tcBorders>
            <w:shd w:val="clear" w:color="auto" w:fill="FFFFFF"/>
            <w:tcMar>
              <w:top w:w="55" w:type="dxa"/>
              <w:left w:w="55" w:type="dxa"/>
              <w:bottom w:w="55" w:type="dxa"/>
              <w:right w:w="55" w:type="dxa"/>
            </w:tcMar>
            <w:vAlign w:val="center"/>
          </w:tcPr>
          <w:p w14:paraId="27D77F20">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CV</w:t>
            </w:r>
          </w:p>
        </w:tc>
        <w:tc>
          <w:tcPr>
            <w:tcW w:w="641" w:type="pct"/>
            <w:tcBorders>
              <w:top w:val="nil"/>
              <w:left w:val="nil"/>
              <w:bottom w:val="nil"/>
              <w:right w:val="nil"/>
            </w:tcBorders>
            <w:shd w:val="clear" w:color="auto" w:fill="FFFFFF"/>
            <w:tcMar>
              <w:top w:w="55" w:type="dxa"/>
              <w:left w:w="55" w:type="dxa"/>
              <w:bottom w:w="55" w:type="dxa"/>
              <w:right w:w="55" w:type="dxa"/>
            </w:tcMar>
            <w:vAlign w:val="center"/>
          </w:tcPr>
          <w:p w14:paraId="1674F8D4">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Main effect</w:t>
            </w:r>
          </w:p>
        </w:tc>
        <w:tc>
          <w:tcPr>
            <w:tcW w:w="1299" w:type="pct"/>
            <w:tcBorders>
              <w:top w:val="nil"/>
              <w:left w:val="nil"/>
              <w:bottom w:val="nil"/>
              <w:right w:val="nil"/>
            </w:tcBorders>
            <w:shd w:val="clear" w:color="auto" w:fill="FFFFFF"/>
            <w:tcMar>
              <w:top w:w="55" w:type="dxa"/>
              <w:left w:w="55" w:type="dxa"/>
              <w:bottom w:w="55" w:type="dxa"/>
              <w:right w:w="55" w:type="dxa"/>
            </w:tcMar>
            <w:vAlign w:val="center"/>
          </w:tcPr>
          <w:p w14:paraId="531ACB80">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-0.377 (-0.639 to -0.116)</w:t>
            </w:r>
          </w:p>
        </w:tc>
        <w:tc>
          <w:tcPr>
            <w:tcW w:w="451" w:type="pct"/>
            <w:tcBorders>
              <w:top w:val="nil"/>
              <w:left w:val="nil"/>
              <w:bottom w:val="nil"/>
              <w:right w:val="nil"/>
            </w:tcBorders>
            <w:shd w:val="clear" w:color="auto" w:fill="FFFFFF"/>
            <w:tcMar>
              <w:top w:w="55" w:type="dxa"/>
              <w:left w:w="55" w:type="dxa"/>
              <w:bottom w:w="55" w:type="dxa"/>
              <w:right w:w="55" w:type="dxa"/>
            </w:tcMar>
            <w:vAlign w:val="center"/>
          </w:tcPr>
          <w:p w14:paraId="511A92B9">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0.005</w:t>
            </w:r>
          </w:p>
        </w:tc>
      </w:tr>
      <w:tr w14:paraId="26305440">
        <w:trPr>
          <w:trHeight w:val="193" w:hRule="atLeast"/>
          <w:jc w:val="center"/>
        </w:trPr>
        <w:tc>
          <w:tcPr>
            <w:tcW w:w="1589" w:type="pct"/>
            <w:tcBorders>
              <w:top w:val="nil"/>
              <w:left w:val="nil"/>
              <w:bottom w:val="nil"/>
              <w:right w:val="nil"/>
            </w:tcBorders>
            <w:shd w:val="clear" w:color="auto" w:fill="FFFFFF"/>
            <w:tcMar>
              <w:top w:w="55" w:type="dxa"/>
              <w:left w:w="55" w:type="dxa"/>
              <w:bottom w:w="55" w:type="dxa"/>
              <w:right w:w="55" w:type="dxa"/>
            </w:tcMar>
            <w:vAlign w:val="center"/>
          </w:tcPr>
          <w:p w14:paraId="37ED8C89">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not-low-ferritin subgroup</w:t>
            </w:r>
          </w:p>
        </w:tc>
        <w:tc>
          <w:tcPr>
            <w:tcW w:w="1017" w:type="pct"/>
            <w:tcBorders>
              <w:top w:val="nil"/>
              <w:left w:val="nil"/>
              <w:bottom w:val="nil"/>
              <w:right w:val="nil"/>
            </w:tcBorders>
            <w:shd w:val="clear" w:color="auto" w:fill="FFFFFF"/>
            <w:tcMar>
              <w:top w:w="55" w:type="dxa"/>
              <w:left w:w="55" w:type="dxa"/>
              <w:bottom w:w="55" w:type="dxa"/>
              <w:right w:w="55" w:type="dxa"/>
            </w:tcMar>
            <w:vAlign w:val="center"/>
          </w:tcPr>
          <w:p w14:paraId="2E741829">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CV</w:t>
            </w:r>
          </w:p>
        </w:tc>
        <w:tc>
          <w:tcPr>
            <w:tcW w:w="641" w:type="pct"/>
            <w:tcBorders>
              <w:top w:val="nil"/>
              <w:left w:val="nil"/>
              <w:bottom w:val="nil"/>
              <w:right w:val="nil"/>
            </w:tcBorders>
            <w:shd w:val="clear" w:color="auto" w:fill="FFFFFF"/>
            <w:tcMar>
              <w:top w:w="55" w:type="dxa"/>
              <w:left w:w="55" w:type="dxa"/>
              <w:bottom w:w="55" w:type="dxa"/>
              <w:right w:w="55" w:type="dxa"/>
            </w:tcMar>
            <w:vAlign w:val="center"/>
          </w:tcPr>
          <w:p w14:paraId="264CB844">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time</w:t>
            </w:r>
          </w:p>
        </w:tc>
        <w:tc>
          <w:tcPr>
            <w:tcW w:w="1299" w:type="pct"/>
            <w:tcBorders>
              <w:top w:val="nil"/>
              <w:left w:val="nil"/>
              <w:bottom w:val="nil"/>
              <w:right w:val="nil"/>
            </w:tcBorders>
            <w:shd w:val="clear" w:color="auto" w:fill="FFFFFF"/>
            <w:tcMar>
              <w:top w:w="55" w:type="dxa"/>
              <w:left w:w="55" w:type="dxa"/>
              <w:bottom w:w="55" w:type="dxa"/>
              <w:right w:w="55" w:type="dxa"/>
            </w:tcMar>
            <w:vAlign w:val="center"/>
          </w:tcPr>
          <w:p w14:paraId="684A22BC">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0.010 (-0.016 to 0.036)</w:t>
            </w:r>
          </w:p>
        </w:tc>
        <w:tc>
          <w:tcPr>
            <w:tcW w:w="451" w:type="pct"/>
            <w:tcBorders>
              <w:top w:val="nil"/>
              <w:left w:val="nil"/>
              <w:bottom w:val="nil"/>
              <w:right w:val="nil"/>
            </w:tcBorders>
            <w:shd w:val="clear" w:color="auto" w:fill="FFFFFF"/>
            <w:tcMar>
              <w:top w:w="55" w:type="dxa"/>
              <w:left w:w="55" w:type="dxa"/>
              <w:bottom w:w="55" w:type="dxa"/>
              <w:right w:w="55" w:type="dxa"/>
            </w:tcMar>
            <w:vAlign w:val="center"/>
          </w:tcPr>
          <w:p w14:paraId="132901B3">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0.459</w:t>
            </w:r>
          </w:p>
        </w:tc>
      </w:tr>
      <w:tr w14:paraId="598E1EED">
        <w:trPr>
          <w:trHeight w:val="193" w:hRule="atLeast"/>
          <w:jc w:val="center"/>
        </w:trPr>
        <w:tc>
          <w:tcPr>
            <w:tcW w:w="1589" w:type="pct"/>
            <w:tcBorders>
              <w:top w:val="nil"/>
              <w:left w:val="nil"/>
              <w:bottom w:val="nil"/>
              <w:right w:val="nil"/>
            </w:tcBorders>
            <w:shd w:val="clear" w:color="auto" w:fill="FFFFFF"/>
            <w:tcMar>
              <w:top w:w="55" w:type="dxa"/>
              <w:left w:w="55" w:type="dxa"/>
              <w:bottom w:w="55" w:type="dxa"/>
              <w:right w:w="55" w:type="dxa"/>
            </w:tcMar>
            <w:vAlign w:val="center"/>
          </w:tcPr>
          <w:p w14:paraId="66C2EE3B">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not-low-ferritin subgroup</w:t>
            </w:r>
          </w:p>
        </w:tc>
        <w:tc>
          <w:tcPr>
            <w:tcW w:w="1017" w:type="pct"/>
            <w:tcBorders>
              <w:top w:val="nil"/>
              <w:left w:val="nil"/>
              <w:bottom w:val="nil"/>
              <w:right w:val="nil"/>
            </w:tcBorders>
            <w:shd w:val="clear" w:color="auto" w:fill="FFFFFF"/>
            <w:tcMar>
              <w:top w:w="55" w:type="dxa"/>
              <w:left w:w="55" w:type="dxa"/>
              <w:bottom w:w="55" w:type="dxa"/>
              <w:right w:w="55" w:type="dxa"/>
            </w:tcMar>
            <w:vAlign w:val="center"/>
          </w:tcPr>
          <w:p w14:paraId="09A9BC39">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slope</w:t>
            </w:r>
          </w:p>
        </w:tc>
        <w:tc>
          <w:tcPr>
            <w:tcW w:w="641" w:type="pct"/>
            <w:tcBorders>
              <w:top w:val="nil"/>
              <w:left w:val="nil"/>
              <w:bottom w:val="nil"/>
              <w:right w:val="nil"/>
            </w:tcBorders>
            <w:shd w:val="clear" w:color="auto" w:fill="FFFFFF"/>
            <w:tcMar>
              <w:top w:w="55" w:type="dxa"/>
              <w:left w:w="55" w:type="dxa"/>
              <w:bottom w:w="55" w:type="dxa"/>
              <w:right w:w="55" w:type="dxa"/>
            </w:tcMar>
            <w:vAlign w:val="center"/>
          </w:tcPr>
          <w:p w14:paraId="17162149">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Main effect</w:t>
            </w:r>
          </w:p>
        </w:tc>
        <w:tc>
          <w:tcPr>
            <w:tcW w:w="1299" w:type="pct"/>
            <w:tcBorders>
              <w:top w:val="nil"/>
              <w:left w:val="nil"/>
              <w:bottom w:val="nil"/>
              <w:right w:val="nil"/>
            </w:tcBorders>
            <w:shd w:val="clear" w:color="auto" w:fill="FFFFFF"/>
            <w:tcMar>
              <w:top w:w="55" w:type="dxa"/>
              <w:left w:w="55" w:type="dxa"/>
              <w:bottom w:w="55" w:type="dxa"/>
              <w:right w:w="55" w:type="dxa"/>
            </w:tcMar>
            <w:vAlign w:val="center"/>
          </w:tcPr>
          <w:p w14:paraId="46B0B4B3">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0.144 (-0.252 to 0.540)</w:t>
            </w:r>
          </w:p>
        </w:tc>
        <w:tc>
          <w:tcPr>
            <w:tcW w:w="451" w:type="pct"/>
            <w:tcBorders>
              <w:top w:val="nil"/>
              <w:left w:val="nil"/>
              <w:bottom w:val="nil"/>
              <w:right w:val="nil"/>
            </w:tcBorders>
            <w:shd w:val="clear" w:color="auto" w:fill="FFFFFF"/>
            <w:tcMar>
              <w:top w:w="55" w:type="dxa"/>
              <w:left w:w="55" w:type="dxa"/>
              <w:bottom w:w="55" w:type="dxa"/>
              <w:right w:w="55" w:type="dxa"/>
            </w:tcMar>
            <w:vAlign w:val="center"/>
          </w:tcPr>
          <w:p w14:paraId="2A5A313F">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0.476</w:t>
            </w:r>
          </w:p>
        </w:tc>
      </w:tr>
      <w:tr w14:paraId="4ABF5729">
        <w:trPr>
          <w:trHeight w:val="193" w:hRule="atLeast"/>
          <w:jc w:val="center"/>
        </w:trPr>
        <w:tc>
          <w:tcPr>
            <w:tcW w:w="1589" w:type="pct"/>
            <w:tcBorders>
              <w:top w:val="nil"/>
              <w:left w:val="nil"/>
              <w:bottom w:val="nil"/>
              <w:right w:val="nil"/>
            </w:tcBorders>
            <w:shd w:val="clear" w:color="auto" w:fill="FFFFFF"/>
            <w:tcMar>
              <w:top w:w="55" w:type="dxa"/>
              <w:left w:w="55" w:type="dxa"/>
              <w:bottom w:w="55" w:type="dxa"/>
              <w:right w:w="55" w:type="dxa"/>
            </w:tcMar>
            <w:vAlign w:val="center"/>
          </w:tcPr>
          <w:p w14:paraId="5CF8508A">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not-low-ferritin subgroup</w:t>
            </w:r>
          </w:p>
        </w:tc>
        <w:tc>
          <w:tcPr>
            <w:tcW w:w="1017" w:type="pct"/>
            <w:tcBorders>
              <w:top w:val="nil"/>
              <w:left w:val="nil"/>
              <w:bottom w:val="nil"/>
              <w:right w:val="nil"/>
            </w:tcBorders>
            <w:shd w:val="clear" w:color="auto" w:fill="FFFFFF"/>
            <w:tcMar>
              <w:top w:w="55" w:type="dxa"/>
              <w:left w:w="55" w:type="dxa"/>
              <w:bottom w:w="55" w:type="dxa"/>
              <w:right w:w="55" w:type="dxa"/>
            </w:tcMar>
            <w:vAlign w:val="center"/>
          </w:tcPr>
          <w:p w14:paraId="3787C2DF">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slope</w:t>
            </w:r>
          </w:p>
        </w:tc>
        <w:tc>
          <w:tcPr>
            <w:tcW w:w="641" w:type="pct"/>
            <w:tcBorders>
              <w:top w:val="nil"/>
              <w:left w:val="nil"/>
              <w:bottom w:val="nil"/>
              <w:right w:val="nil"/>
            </w:tcBorders>
            <w:shd w:val="clear" w:color="auto" w:fill="FFFFFF"/>
            <w:tcMar>
              <w:top w:w="55" w:type="dxa"/>
              <w:left w:w="55" w:type="dxa"/>
              <w:bottom w:w="55" w:type="dxa"/>
              <w:right w:w="55" w:type="dxa"/>
            </w:tcMar>
            <w:vAlign w:val="center"/>
          </w:tcPr>
          <w:p w14:paraId="5CE5F4BD">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time</w:t>
            </w:r>
          </w:p>
        </w:tc>
        <w:tc>
          <w:tcPr>
            <w:tcW w:w="1299" w:type="pct"/>
            <w:tcBorders>
              <w:top w:val="nil"/>
              <w:left w:val="nil"/>
              <w:bottom w:val="nil"/>
              <w:right w:val="nil"/>
            </w:tcBorders>
            <w:shd w:val="clear" w:color="auto" w:fill="FFFFFF"/>
            <w:tcMar>
              <w:top w:w="55" w:type="dxa"/>
              <w:left w:w="55" w:type="dxa"/>
              <w:bottom w:w="55" w:type="dxa"/>
              <w:right w:w="55" w:type="dxa"/>
            </w:tcMar>
            <w:vAlign w:val="center"/>
          </w:tcPr>
          <w:p w14:paraId="191F5293">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-0.014 (-0.066 to 0.037)</w:t>
            </w:r>
          </w:p>
        </w:tc>
        <w:tc>
          <w:tcPr>
            <w:tcW w:w="451" w:type="pct"/>
            <w:tcBorders>
              <w:top w:val="nil"/>
              <w:left w:val="nil"/>
              <w:bottom w:val="nil"/>
              <w:right w:val="nil"/>
            </w:tcBorders>
            <w:shd w:val="clear" w:color="auto" w:fill="FFFFFF"/>
            <w:tcMar>
              <w:top w:w="55" w:type="dxa"/>
              <w:left w:w="55" w:type="dxa"/>
              <w:bottom w:w="55" w:type="dxa"/>
              <w:right w:w="55" w:type="dxa"/>
            </w:tcMar>
            <w:vAlign w:val="center"/>
          </w:tcPr>
          <w:p w14:paraId="1DF9A0AC">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0.584</w:t>
            </w:r>
          </w:p>
        </w:tc>
      </w:tr>
      <w:tr w14:paraId="1A685941">
        <w:trPr>
          <w:trHeight w:val="193" w:hRule="atLeast"/>
          <w:jc w:val="center"/>
        </w:trPr>
        <w:tc>
          <w:tcPr>
            <w:tcW w:w="1589" w:type="pct"/>
            <w:tcBorders>
              <w:top w:val="nil"/>
              <w:left w:val="nil"/>
              <w:bottom w:val="nil"/>
              <w:right w:val="nil"/>
            </w:tcBorders>
            <w:shd w:val="clear" w:color="auto" w:fill="FFFFFF"/>
            <w:tcMar>
              <w:top w:w="55" w:type="dxa"/>
              <w:left w:w="55" w:type="dxa"/>
              <w:bottom w:w="55" w:type="dxa"/>
              <w:right w:w="55" w:type="dxa"/>
            </w:tcMar>
            <w:vAlign w:val="center"/>
          </w:tcPr>
          <w:p w14:paraId="07C94D99">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not-low-ferritin subgroup</w:t>
            </w:r>
          </w:p>
        </w:tc>
        <w:tc>
          <w:tcPr>
            <w:tcW w:w="1017" w:type="pct"/>
            <w:tcBorders>
              <w:top w:val="nil"/>
              <w:left w:val="nil"/>
              <w:bottom w:val="nil"/>
              <w:right w:val="nil"/>
            </w:tcBorders>
            <w:shd w:val="clear" w:color="auto" w:fill="FFFFFF"/>
            <w:tcMar>
              <w:top w:w="55" w:type="dxa"/>
              <w:left w:w="55" w:type="dxa"/>
              <w:bottom w:w="55" w:type="dxa"/>
              <w:right w:w="55" w:type="dxa"/>
            </w:tcMar>
            <w:vAlign w:val="center"/>
          </w:tcPr>
          <w:p w14:paraId="442ED5AE">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Persistent low ferritin</w:t>
            </w:r>
          </w:p>
        </w:tc>
        <w:tc>
          <w:tcPr>
            <w:tcW w:w="641" w:type="pct"/>
            <w:tcBorders>
              <w:top w:val="nil"/>
              <w:left w:val="nil"/>
              <w:bottom w:val="nil"/>
              <w:right w:val="nil"/>
            </w:tcBorders>
            <w:shd w:val="clear" w:color="auto" w:fill="FFFFFF"/>
            <w:tcMar>
              <w:top w:w="55" w:type="dxa"/>
              <w:left w:w="55" w:type="dxa"/>
              <w:bottom w:w="55" w:type="dxa"/>
              <w:right w:w="55" w:type="dxa"/>
            </w:tcMar>
            <w:vAlign w:val="center"/>
          </w:tcPr>
          <w:p w14:paraId="52B273B0">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Main effect</w:t>
            </w:r>
          </w:p>
        </w:tc>
        <w:tc>
          <w:tcPr>
            <w:tcW w:w="1299" w:type="pct"/>
            <w:tcBorders>
              <w:top w:val="nil"/>
              <w:left w:val="nil"/>
              <w:bottom w:val="nil"/>
              <w:right w:val="nil"/>
            </w:tcBorders>
            <w:shd w:val="clear" w:color="auto" w:fill="FFFFFF"/>
            <w:tcMar>
              <w:top w:w="55" w:type="dxa"/>
              <w:left w:w="55" w:type="dxa"/>
              <w:bottom w:w="55" w:type="dxa"/>
              <w:right w:w="55" w:type="dxa"/>
            </w:tcMar>
            <w:vAlign w:val="center"/>
          </w:tcPr>
          <w:p w14:paraId="049D3F25">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-0.076 (-0.393 to 0.241)</w:t>
            </w:r>
          </w:p>
        </w:tc>
        <w:tc>
          <w:tcPr>
            <w:tcW w:w="451" w:type="pct"/>
            <w:tcBorders>
              <w:top w:val="nil"/>
              <w:left w:val="nil"/>
              <w:bottom w:val="nil"/>
              <w:right w:val="nil"/>
            </w:tcBorders>
            <w:shd w:val="clear" w:color="auto" w:fill="FFFFFF"/>
            <w:tcMar>
              <w:top w:w="55" w:type="dxa"/>
              <w:left w:w="55" w:type="dxa"/>
              <w:bottom w:w="55" w:type="dxa"/>
              <w:right w:w="55" w:type="dxa"/>
            </w:tcMar>
            <w:vAlign w:val="center"/>
          </w:tcPr>
          <w:p w14:paraId="4956E4F5">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0.639</w:t>
            </w:r>
          </w:p>
        </w:tc>
      </w:tr>
      <w:tr w14:paraId="044DCD92">
        <w:trPr>
          <w:trHeight w:val="193" w:hRule="atLeast"/>
          <w:jc w:val="center"/>
        </w:trPr>
        <w:tc>
          <w:tcPr>
            <w:tcW w:w="1589" w:type="pct"/>
            <w:tcBorders>
              <w:top w:val="nil"/>
              <w:left w:val="nil"/>
              <w:bottom w:val="nil"/>
              <w:right w:val="nil"/>
            </w:tcBorders>
            <w:shd w:val="clear" w:color="auto" w:fill="FFFFFF"/>
            <w:tcMar>
              <w:top w:w="55" w:type="dxa"/>
              <w:left w:w="55" w:type="dxa"/>
              <w:bottom w:w="55" w:type="dxa"/>
              <w:right w:w="55" w:type="dxa"/>
            </w:tcMar>
            <w:vAlign w:val="center"/>
          </w:tcPr>
          <w:p w14:paraId="4CDBB00E">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not-low-ferritin subgroup</w:t>
            </w:r>
          </w:p>
        </w:tc>
        <w:tc>
          <w:tcPr>
            <w:tcW w:w="1017" w:type="pct"/>
            <w:tcBorders>
              <w:top w:val="nil"/>
              <w:left w:val="nil"/>
              <w:bottom w:val="nil"/>
              <w:right w:val="nil"/>
            </w:tcBorders>
            <w:shd w:val="clear" w:color="auto" w:fill="FFFFFF"/>
            <w:tcMar>
              <w:top w:w="55" w:type="dxa"/>
              <w:left w:w="55" w:type="dxa"/>
              <w:bottom w:w="55" w:type="dxa"/>
              <w:right w:w="55" w:type="dxa"/>
            </w:tcMar>
            <w:vAlign w:val="center"/>
          </w:tcPr>
          <w:p w14:paraId="292ACB47">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Persistent low ferritin</w:t>
            </w:r>
          </w:p>
        </w:tc>
        <w:tc>
          <w:tcPr>
            <w:tcW w:w="641" w:type="pct"/>
            <w:tcBorders>
              <w:top w:val="nil"/>
              <w:left w:val="nil"/>
              <w:bottom w:val="nil"/>
              <w:right w:val="nil"/>
            </w:tcBorders>
            <w:shd w:val="clear" w:color="auto" w:fill="FFFFFF"/>
            <w:tcMar>
              <w:top w:w="55" w:type="dxa"/>
              <w:left w:w="55" w:type="dxa"/>
              <w:bottom w:w="55" w:type="dxa"/>
              <w:right w:w="55" w:type="dxa"/>
            </w:tcMar>
            <w:vAlign w:val="center"/>
          </w:tcPr>
          <w:p w14:paraId="5531FC2A">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time</w:t>
            </w:r>
          </w:p>
        </w:tc>
        <w:tc>
          <w:tcPr>
            <w:tcW w:w="1299" w:type="pct"/>
            <w:tcBorders>
              <w:top w:val="nil"/>
              <w:left w:val="nil"/>
              <w:bottom w:val="nil"/>
              <w:right w:val="nil"/>
            </w:tcBorders>
            <w:shd w:val="clear" w:color="auto" w:fill="FFFFFF"/>
            <w:tcMar>
              <w:top w:w="55" w:type="dxa"/>
              <w:left w:w="55" w:type="dxa"/>
              <w:bottom w:w="55" w:type="dxa"/>
              <w:right w:w="55" w:type="dxa"/>
            </w:tcMar>
            <w:vAlign w:val="center"/>
          </w:tcPr>
          <w:p w14:paraId="22434545">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-0.030 (-0.055 to -0.005)</w:t>
            </w:r>
          </w:p>
        </w:tc>
        <w:tc>
          <w:tcPr>
            <w:tcW w:w="451" w:type="pct"/>
            <w:tcBorders>
              <w:top w:val="nil"/>
              <w:left w:val="nil"/>
              <w:bottom w:val="nil"/>
              <w:right w:val="nil"/>
            </w:tcBorders>
            <w:shd w:val="clear" w:color="auto" w:fill="FFFFFF"/>
            <w:tcMar>
              <w:top w:w="55" w:type="dxa"/>
              <w:left w:w="55" w:type="dxa"/>
              <w:bottom w:w="55" w:type="dxa"/>
              <w:right w:w="55" w:type="dxa"/>
            </w:tcMar>
            <w:vAlign w:val="center"/>
          </w:tcPr>
          <w:p w14:paraId="2C7D44F9">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0.019</w:t>
            </w:r>
          </w:p>
        </w:tc>
      </w:tr>
      <w:tr w14:paraId="79BDA17C">
        <w:trPr>
          <w:trHeight w:val="193" w:hRule="atLeast"/>
          <w:jc w:val="center"/>
        </w:trPr>
        <w:tc>
          <w:tcPr>
            <w:tcW w:w="1589" w:type="pct"/>
            <w:tcBorders>
              <w:top w:val="nil"/>
              <w:left w:val="nil"/>
              <w:bottom w:val="nil"/>
              <w:right w:val="nil"/>
            </w:tcBorders>
            <w:shd w:val="clear" w:color="auto" w:fill="FFFFFF"/>
            <w:tcMar>
              <w:top w:w="55" w:type="dxa"/>
              <w:left w:w="55" w:type="dxa"/>
              <w:bottom w:w="55" w:type="dxa"/>
              <w:right w:w="55" w:type="dxa"/>
            </w:tcMar>
            <w:vAlign w:val="center"/>
          </w:tcPr>
          <w:p w14:paraId="2B2C15C0">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non-anemia subgroup</w:t>
            </w:r>
          </w:p>
        </w:tc>
        <w:tc>
          <w:tcPr>
            <w:tcW w:w="1017" w:type="pct"/>
            <w:tcBorders>
              <w:top w:val="nil"/>
              <w:left w:val="nil"/>
              <w:bottom w:val="nil"/>
              <w:right w:val="nil"/>
            </w:tcBorders>
            <w:shd w:val="clear" w:color="auto" w:fill="FFFFFF"/>
            <w:tcMar>
              <w:top w:w="55" w:type="dxa"/>
              <w:left w:w="55" w:type="dxa"/>
              <w:bottom w:w="55" w:type="dxa"/>
              <w:right w:w="55" w:type="dxa"/>
            </w:tcMar>
            <w:vAlign w:val="center"/>
          </w:tcPr>
          <w:p w14:paraId="28638D61">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Iron fragility index</w:t>
            </w:r>
          </w:p>
        </w:tc>
        <w:tc>
          <w:tcPr>
            <w:tcW w:w="641" w:type="pct"/>
            <w:tcBorders>
              <w:top w:val="nil"/>
              <w:left w:val="nil"/>
              <w:bottom w:val="nil"/>
              <w:right w:val="nil"/>
            </w:tcBorders>
            <w:shd w:val="clear" w:color="auto" w:fill="FFFFFF"/>
            <w:tcMar>
              <w:top w:w="55" w:type="dxa"/>
              <w:left w:w="55" w:type="dxa"/>
              <w:bottom w:w="55" w:type="dxa"/>
              <w:right w:w="55" w:type="dxa"/>
            </w:tcMar>
            <w:vAlign w:val="center"/>
          </w:tcPr>
          <w:p w14:paraId="70592063">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Main effect</w:t>
            </w:r>
          </w:p>
        </w:tc>
        <w:tc>
          <w:tcPr>
            <w:tcW w:w="1299" w:type="pct"/>
            <w:tcBorders>
              <w:top w:val="nil"/>
              <w:left w:val="nil"/>
              <w:bottom w:val="nil"/>
              <w:right w:val="nil"/>
            </w:tcBorders>
            <w:shd w:val="clear" w:color="auto" w:fill="FFFFFF"/>
            <w:tcMar>
              <w:top w:w="55" w:type="dxa"/>
              <w:left w:w="55" w:type="dxa"/>
              <w:bottom w:w="55" w:type="dxa"/>
              <w:right w:w="55" w:type="dxa"/>
            </w:tcMar>
            <w:vAlign w:val="center"/>
          </w:tcPr>
          <w:p w14:paraId="580EC37D">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-0.030 (-0.057 to -0.003)</w:t>
            </w:r>
          </w:p>
        </w:tc>
        <w:tc>
          <w:tcPr>
            <w:tcW w:w="451" w:type="pct"/>
            <w:tcBorders>
              <w:top w:val="nil"/>
              <w:left w:val="nil"/>
              <w:bottom w:val="nil"/>
              <w:right w:val="nil"/>
            </w:tcBorders>
            <w:shd w:val="clear" w:color="auto" w:fill="FFFFFF"/>
            <w:tcMar>
              <w:top w:w="55" w:type="dxa"/>
              <w:left w:w="55" w:type="dxa"/>
              <w:bottom w:w="55" w:type="dxa"/>
              <w:right w:w="55" w:type="dxa"/>
            </w:tcMar>
            <w:vAlign w:val="center"/>
          </w:tcPr>
          <w:p w14:paraId="1E6AF3FA">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0.031</w:t>
            </w:r>
          </w:p>
        </w:tc>
      </w:tr>
      <w:tr w14:paraId="299197C9">
        <w:trPr>
          <w:trHeight w:val="193" w:hRule="atLeast"/>
          <w:jc w:val="center"/>
        </w:trPr>
        <w:tc>
          <w:tcPr>
            <w:tcW w:w="1589" w:type="pct"/>
            <w:tcBorders>
              <w:top w:val="nil"/>
              <w:left w:val="nil"/>
              <w:bottom w:val="nil"/>
              <w:right w:val="nil"/>
            </w:tcBorders>
            <w:shd w:val="clear" w:color="auto" w:fill="FFFFFF"/>
            <w:tcMar>
              <w:top w:w="55" w:type="dxa"/>
              <w:left w:w="55" w:type="dxa"/>
              <w:bottom w:w="55" w:type="dxa"/>
              <w:right w:w="55" w:type="dxa"/>
            </w:tcMar>
            <w:vAlign w:val="center"/>
          </w:tcPr>
          <w:p w14:paraId="718E81C3">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non-anemia subgroup</w:t>
            </w:r>
          </w:p>
        </w:tc>
        <w:tc>
          <w:tcPr>
            <w:tcW w:w="1017" w:type="pct"/>
            <w:tcBorders>
              <w:top w:val="nil"/>
              <w:left w:val="nil"/>
              <w:bottom w:val="nil"/>
              <w:right w:val="nil"/>
            </w:tcBorders>
            <w:shd w:val="clear" w:color="auto" w:fill="FFFFFF"/>
            <w:tcMar>
              <w:top w:w="55" w:type="dxa"/>
              <w:left w:w="55" w:type="dxa"/>
              <w:bottom w:w="55" w:type="dxa"/>
              <w:right w:w="55" w:type="dxa"/>
            </w:tcMar>
            <w:vAlign w:val="center"/>
          </w:tcPr>
          <w:p w14:paraId="48D7852C">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Iron fragility index</w:t>
            </w:r>
          </w:p>
        </w:tc>
        <w:tc>
          <w:tcPr>
            <w:tcW w:w="641" w:type="pct"/>
            <w:tcBorders>
              <w:top w:val="nil"/>
              <w:left w:val="nil"/>
              <w:bottom w:val="nil"/>
              <w:right w:val="nil"/>
            </w:tcBorders>
            <w:shd w:val="clear" w:color="auto" w:fill="FFFFFF"/>
            <w:tcMar>
              <w:top w:w="55" w:type="dxa"/>
              <w:left w:w="55" w:type="dxa"/>
              <w:bottom w:w="55" w:type="dxa"/>
              <w:right w:w="55" w:type="dxa"/>
            </w:tcMar>
            <w:vAlign w:val="center"/>
          </w:tcPr>
          <w:p w14:paraId="3E72307F">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time</w:t>
            </w:r>
          </w:p>
        </w:tc>
        <w:tc>
          <w:tcPr>
            <w:tcW w:w="1299" w:type="pct"/>
            <w:tcBorders>
              <w:top w:val="nil"/>
              <w:left w:val="nil"/>
              <w:bottom w:val="nil"/>
              <w:right w:val="nil"/>
            </w:tcBorders>
            <w:shd w:val="clear" w:color="auto" w:fill="FFFFFF"/>
            <w:tcMar>
              <w:top w:w="55" w:type="dxa"/>
              <w:left w:w="55" w:type="dxa"/>
              <w:bottom w:w="55" w:type="dxa"/>
              <w:right w:w="55" w:type="dxa"/>
            </w:tcMar>
            <w:vAlign w:val="center"/>
          </w:tcPr>
          <w:p w14:paraId="029BAA2B">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0.001 (-0.002 to 0.004)</w:t>
            </w:r>
          </w:p>
        </w:tc>
        <w:tc>
          <w:tcPr>
            <w:tcW w:w="451" w:type="pct"/>
            <w:tcBorders>
              <w:top w:val="nil"/>
              <w:left w:val="nil"/>
              <w:bottom w:val="nil"/>
              <w:right w:val="nil"/>
            </w:tcBorders>
            <w:shd w:val="clear" w:color="auto" w:fill="FFFFFF"/>
            <w:tcMar>
              <w:top w:w="55" w:type="dxa"/>
              <w:left w:w="55" w:type="dxa"/>
              <w:bottom w:w="55" w:type="dxa"/>
              <w:right w:w="55" w:type="dxa"/>
            </w:tcMar>
            <w:vAlign w:val="center"/>
          </w:tcPr>
          <w:p w14:paraId="7736CD37">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0.353</w:t>
            </w:r>
          </w:p>
        </w:tc>
      </w:tr>
      <w:tr w14:paraId="40A98117">
        <w:trPr>
          <w:trHeight w:val="193" w:hRule="atLeast"/>
          <w:jc w:val="center"/>
        </w:trPr>
        <w:tc>
          <w:tcPr>
            <w:tcW w:w="1589" w:type="pct"/>
            <w:tcBorders>
              <w:top w:val="nil"/>
              <w:left w:val="nil"/>
              <w:bottom w:val="nil"/>
              <w:right w:val="nil"/>
            </w:tcBorders>
            <w:shd w:val="clear" w:color="auto" w:fill="FFFFFF"/>
            <w:tcMar>
              <w:top w:w="55" w:type="dxa"/>
              <w:left w:w="55" w:type="dxa"/>
              <w:bottom w:w="55" w:type="dxa"/>
              <w:right w:w="55" w:type="dxa"/>
            </w:tcMar>
            <w:vAlign w:val="center"/>
          </w:tcPr>
          <w:p w14:paraId="14BD2A91">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non-anemia subgroup</w:t>
            </w:r>
          </w:p>
        </w:tc>
        <w:tc>
          <w:tcPr>
            <w:tcW w:w="1017" w:type="pct"/>
            <w:tcBorders>
              <w:top w:val="nil"/>
              <w:left w:val="nil"/>
              <w:bottom w:val="nil"/>
              <w:right w:val="nil"/>
            </w:tcBorders>
            <w:shd w:val="clear" w:color="auto" w:fill="FFFFFF"/>
            <w:tcMar>
              <w:top w:w="55" w:type="dxa"/>
              <w:left w:w="55" w:type="dxa"/>
              <w:bottom w:w="55" w:type="dxa"/>
              <w:right w:w="55" w:type="dxa"/>
            </w:tcMar>
            <w:vAlign w:val="center"/>
          </w:tcPr>
          <w:p w14:paraId="24CE404F">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CV</w:t>
            </w:r>
          </w:p>
        </w:tc>
        <w:tc>
          <w:tcPr>
            <w:tcW w:w="641" w:type="pct"/>
            <w:tcBorders>
              <w:top w:val="nil"/>
              <w:left w:val="nil"/>
              <w:bottom w:val="nil"/>
              <w:right w:val="nil"/>
            </w:tcBorders>
            <w:shd w:val="clear" w:color="auto" w:fill="FFFFFF"/>
            <w:tcMar>
              <w:top w:w="55" w:type="dxa"/>
              <w:left w:w="55" w:type="dxa"/>
              <w:bottom w:w="55" w:type="dxa"/>
              <w:right w:w="55" w:type="dxa"/>
            </w:tcMar>
            <w:vAlign w:val="center"/>
          </w:tcPr>
          <w:p w14:paraId="16E36B86">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Main effect</w:t>
            </w:r>
          </w:p>
        </w:tc>
        <w:tc>
          <w:tcPr>
            <w:tcW w:w="1299" w:type="pct"/>
            <w:tcBorders>
              <w:top w:val="nil"/>
              <w:left w:val="nil"/>
              <w:bottom w:val="nil"/>
              <w:right w:val="nil"/>
            </w:tcBorders>
            <w:shd w:val="clear" w:color="auto" w:fill="FFFFFF"/>
            <w:tcMar>
              <w:top w:w="55" w:type="dxa"/>
              <w:left w:w="55" w:type="dxa"/>
              <w:bottom w:w="55" w:type="dxa"/>
              <w:right w:w="55" w:type="dxa"/>
            </w:tcMar>
            <w:vAlign w:val="center"/>
          </w:tcPr>
          <w:p w14:paraId="035283AA">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-0.379 (-0.605 to -0.153)</w:t>
            </w:r>
          </w:p>
        </w:tc>
        <w:tc>
          <w:tcPr>
            <w:tcW w:w="451" w:type="pct"/>
            <w:tcBorders>
              <w:top w:val="nil"/>
              <w:left w:val="nil"/>
              <w:bottom w:val="nil"/>
              <w:right w:val="nil"/>
            </w:tcBorders>
            <w:shd w:val="clear" w:color="auto" w:fill="FFFFFF"/>
            <w:tcMar>
              <w:top w:w="55" w:type="dxa"/>
              <w:left w:w="55" w:type="dxa"/>
              <w:bottom w:w="55" w:type="dxa"/>
              <w:right w:w="55" w:type="dxa"/>
            </w:tcMar>
            <w:vAlign w:val="center"/>
          </w:tcPr>
          <w:p w14:paraId="76EA2613">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0.001</w:t>
            </w:r>
          </w:p>
        </w:tc>
      </w:tr>
      <w:tr w14:paraId="2CF5DB23">
        <w:trPr>
          <w:trHeight w:val="193" w:hRule="atLeast"/>
          <w:jc w:val="center"/>
        </w:trPr>
        <w:tc>
          <w:tcPr>
            <w:tcW w:w="1589" w:type="pct"/>
            <w:tcBorders>
              <w:top w:val="nil"/>
              <w:left w:val="nil"/>
              <w:bottom w:val="nil"/>
              <w:right w:val="nil"/>
            </w:tcBorders>
            <w:shd w:val="clear" w:color="auto" w:fill="FFFFFF"/>
            <w:tcMar>
              <w:top w:w="55" w:type="dxa"/>
              <w:left w:w="55" w:type="dxa"/>
              <w:bottom w:w="55" w:type="dxa"/>
              <w:right w:w="55" w:type="dxa"/>
            </w:tcMar>
            <w:vAlign w:val="center"/>
          </w:tcPr>
          <w:p w14:paraId="14AD19C5">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non-anemia subgroup</w:t>
            </w:r>
          </w:p>
        </w:tc>
        <w:tc>
          <w:tcPr>
            <w:tcW w:w="1017" w:type="pct"/>
            <w:tcBorders>
              <w:top w:val="nil"/>
              <w:left w:val="nil"/>
              <w:bottom w:val="nil"/>
              <w:right w:val="nil"/>
            </w:tcBorders>
            <w:shd w:val="clear" w:color="auto" w:fill="FFFFFF"/>
            <w:tcMar>
              <w:top w:w="55" w:type="dxa"/>
              <w:left w:w="55" w:type="dxa"/>
              <w:bottom w:w="55" w:type="dxa"/>
              <w:right w:w="55" w:type="dxa"/>
            </w:tcMar>
            <w:vAlign w:val="center"/>
          </w:tcPr>
          <w:p w14:paraId="452964A6">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CV</w:t>
            </w:r>
          </w:p>
        </w:tc>
        <w:tc>
          <w:tcPr>
            <w:tcW w:w="641" w:type="pct"/>
            <w:tcBorders>
              <w:top w:val="nil"/>
              <w:left w:val="nil"/>
              <w:bottom w:val="nil"/>
              <w:right w:val="nil"/>
            </w:tcBorders>
            <w:shd w:val="clear" w:color="auto" w:fill="FFFFFF"/>
            <w:tcMar>
              <w:top w:w="55" w:type="dxa"/>
              <w:left w:w="55" w:type="dxa"/>
              <w:bottom w:w="55" w:type="dxa"/>
              <w:right w:w="55" w:type="dxa"/>
            </w:tcMar>
            <w:vAlign w:val="center"/>
          </w:tcPr>
          <w:p w14:paraId="00683883">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time</w:t>
            </w:r>
          </w:p>
        </w:tc>
        <w:tc>
          <w:tcPr>
            <w:tcW w:w="1299" w:type="pct"/>
            <w:tcBorders>
              <w:top w:val="nil"/>
              <w:left w:val="nil"/>
              <w:bottom w:val="nil"/>
              <w:right w:val="nil"/>
            </w:tcBorders>
            <w:shd w:val="clear" w:color="auto" w:fill="FFFFFF"/>
            <w:tcMar>
              <w:top w:w="55" w:type="dxa"/>
              <w:left w:w="55" w:type="dxa"/>
              <w:bottom w:w="55" w:type="dxa"/>
              <w:right w:w="55" w:type="dxa"/>
            </w:tcMar>
            <w:vAlign w:val="center"/>
          </w:tcPr>
          <w:p w14:paraId="2670BB25">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0.010 (-0.013 to 0.033)</w:t>
            </w:r>
          </w:p>
        </w:tc>
        <w:tc>
          <w:tcPr>
            <w:tcW w:w="451" w:type="pct"/>
            <w:tcBorders>
              <w:top w:val="nil"/>
              <w:left w:val="nil"/>
              <w:bottom w:val="nil"/>
              <w:right w:val="nil"/>
            </w:tcBorders>
            <w:shd w:val="clear" w:color="auto" w:fill="FFFFFF"/>
            <w:tcMar>
              <w:top w:w="55" w:type="dxa"/>
              <w:left w:w="55" w:type="dxa"/>
              <w:bottom w:w="55" w:type="dxa"/>
              <w:right w:w="55" w:type="dxa"/>
            </w:tcMar>
            <w:vAlign w:val="center"/>
          </w:tcPr>
          <w:p w14:paraId="1C8C2523">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0.402</w:t>
            </w:r>
          </w:p>
        </w:tc>
      </w:tr>
      <w:tr w14:paraId="1AAFF5D5">
        <w:trPr>
          <w:trHeight w:val="193" w:hRule="atLeast"/>
          <w:jc w:val="center"/>
        </w:trPr>
        <w:tc>
          <w:tcPr>
            <w:tcW w:w="1589" w:type="pct"/>
            <w:tcBorders>
              <w:top w:val="nil"/>
              <w:left w:val="nil"/>
              <w:bottom w:val="nil"/>
              <w:right w:val="nil"/>
            </w:tcBorders>
            <w:shd w:val="clear" w:color="auto" w:fill="FFFFFF"/>
            <w:tcMar>
              <w:top w:w="55" w:type="dxa"/>
              <w:left w:w="55" w:type="dxa"/>
              <w:bottom w:w="55" w:type="dxa"/>
              <w:right w:w="55" w:type="dxa"/>
            </w:tcMar>
            <w:vAlign w:val="center"/>
          </w:tcPr>
          <w:p w14:paraId="4F741532">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non-anemia subgroup</w:t>
            </w:r>
          </w:p>
        </w:tc>
        <w:tc>
          <w:tcPr>
            <w:tcW w:w="1017" w:type="pct"/>
            <w:tcBorders>
              <w:top w:val="nil"/>
              <w:left w:val="nil"/>
              <w:bottom w:val="nil"/>
              <w:right w:val="nil"/>
            </w:tcBorders>
            <w:shd w:val="clear" w:color="auto" w:fill="FFFFFF"/>
            <w:tcMar>
              <w:top w:w="55" w:type="dxa"/>
              <w:left w:w="55" w:type="dxa"/>
              <w:bottom w:w="55" w:type="dxa"/>
              <w:right w:w="55" w:type="dxa"/>
            </w:tcMar>
            <w:vAlign w:val="center"/>
          </w:tcPr>
          <w:p w14:paraId="39C8084B">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slope</w:t>
            </w:r>
          </w:p>
        </w:tc>
        <w:tc>
          <w:tcPr>
            <w:tcW w:w="641" w:type="pct"/>
            <w:tcBorders>
              <w:top w:val="nil"/>
              <w:left w:val="nil"/>
              <w:bottom w:val="nil"/>
              <w:right w:val="nil"/>
            </w:tcBorders>
            <w:shd w:val="clear" w:color="auto" w:fill="FFFFFF"/>
            <w:tcMar>
              <w:top w:w="55" w:type="dxa"/>
              <w:left w:w="55" w:type="dxa"/>
              <w:bottom w:w="55" w:type="dxa"/>
              <w:right w:w="55" w:type="dxa"/>
            </w:tcMar>
            <w:vAlign w:val="center"/>
          </w:tcPr>
          <w:p w14:paraId="4635F6D5">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Main effect</w:t>
            </w:r>
          </w:p>
        </w:tc>
        <w:tc>
          <w:tcPr>
            <w:tcW w:w="1299" w:type="pct"/>
            <w:tcBorders>
              <w:top w:val="nil"/>
              <w:left w:val="nil"/>
              <w:bottom w:val="nil"/>
              <w:right w:val="nil"/>
            </w:tcBorders>
            <w:shd w:val="clear" w:color="auto" w:fill="FFFFFF"/>
            <w:tcMar>
              <w:top w:w="55" w:type="dxa"/>
              <w:left w:w="55" w:type="dxa"/>
              <w:bottom w:w="55" w:type="dxa"/>
              <w:right w:w="55" w:type="dxa"/>
            </w:tcMar>
            <w:vAlign w:val="center"/>
          </w:tcPr>
          <w:p w14:paraId="4E1A6B11">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0.099 (-0.269 to 0.467)</w:t>
            </w:r>
          </w:p>
        </w:tc>
        <w:tc>
          <w:tcPr>
            <w:tcW w:w="451" w:type="pct"/>
            <w:tcBorders>
              <w:top w:val="nil"/>
              <w:left w:val="nil"/>
              <w:bottom w:val="nil"/>
              <w:right w:val="nil"/>
            </w:tcBorders>
            <w:shd w:val="clear" w:color="auto" w:fill="FFFFFF"/>
            <w:tcMar>
              <w:top w:w="55" w:type="dxa"/>
              <w:left w:w="55" w:type="dxa"/>
              <w:bottom w:w="55" w:type="dxa"/>
              <w:right w:w="55" w:type="dxa"/>
            </w:tcMar>
            <w:vAlign w:val="center"/>
          </w:tcPr>
          <w:p w14:paraId="1DF4A4A2">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0.599</w:t>
            </w:r>
          </w:p>
        </w:tc>
      </w:tr>
      <w:tr w14:paraId="7C40E4F9">
        <w:trPr>
          <w:trHeight w:val="193" w:hRule="atLeast"/>
          <w:jc w:val="center"/>
        </w:trPr>
        <w:tc>
          <w:tcPr>
            <w:tcW w:w="1589" w:type="pct"/>
            <w:tcBorders>
              <w:top w:val="nil"/>
              <w:left w:val="nil"/>
              <w:bottom w:val="nil"/>
              <w:right w:val="nil"/>
            </w:tcBorders>
            <w:shd w:val="clear" w:color="auto" w:fill="FFFFFF"/>
            <w:tcMar>
              <w:top w:w="55" w:type="dxa"/>
              <w:left w:w="55" w:type="dxa"/>
              <w:bottom w:w="55" w:type="dxa"/>
              <w:right w:w="55" w:type="dxa"/>
            </w:tcMar>
            <w:vAlign w:val="center"/>
          </w:tcPr>
          <w:p w14:paraId="6563CB4F">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non-anemia subgroup</w:t>
            </w:r>
          </w:p>
        </w:tc>
        <w:tc>
          <w:tcPr>
            <w:tcW w:w="1017" w:type="pct"/>
            <w:tcBorders>
              <w:top w:val="nil"/>
              <w:left w:val="nil"/>
              <w:bottom w:val="nil"/>
              <w:right w:val="nil"/>
            </w:tcBorders>
            <w:shd w:val="clear" w:color="auto" w:fill="FFFFFF"/>
            <w:tcMar>
              <w:top w:w="55" w:type="dxa"/>
              <w:left w:w="55" w:type="dxa"/>
              <w:bottom w:w="55" w:type="dxa"/>
              <w:right w:w="55" w:type="dxa"/>
            </w:tcMar>
            <w:vAlign w:val="center"/>
          </w:tcPr>
          <w:p w14:paraId="271B0A38">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slope</w:t>
            </w:r>
          </w:p>
        </w:tc>
        <w:tc>
          <w:tcPr>
            <w:tcW w:w="641" w:type="pct"/>
            <w:tcBorders>
              <w:top w:val="nil"/>
              <w:left w:val="nil"/>
              <w:bottom w:val="nil"/>
              <w:right w:val="nil"/>
            </w:tcBorders>
            <w:shd w:val="clear" w:color="auto" w:fill="FFFFFF"/>
            <w:tcMar>
              <w:top w:w="55" w:type="dxa"/>
              <w:left w:w="55" w:type="dxa"/>
              <w:bottom w:w="55" w:type="dxa"/>
              <w:right w:w="55" w:type="dxa"/>
            </w:tcMar>
            <w:vAlign w:val="center"/>
          </w:tcPr>
          <w:p w14:paraId="42FE5E9D">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time</w:t>
            </w:r>
          </w:p>
        </w:tc>
        <w:tc>
          <w:tcPr>
            <w:tcW w:w="1299" w:type="pct"/>
            <w:tcBorders>
              <w:top w:val="nil"/>
              <w:left w:val="nil"/>
              <w:bottom w:val="nil"/>
              <w:right w:val="nil"/>
            </w:tcBorders>
            <w:shd w:val="clear" w:color="auto" w:fill="FFFFFF"/>
            <w:tcMar>
              <w:top w:w="55" w:type="dxa"/>
              <w:left w:w="55" w:type="dxa"/>
              <w:bottom w:w="55" w:type="dxa"/>
              <w:right w:w="55" w:type="dxa"/>
            </w:tcMar>
            <w:vAlign w:val="center"/>
          </w:tcPr>
          <w:p w14:paraId="16ED189F">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-0.019 (-0.065 to 0.027)</w:t>
            </w:r>
          </w:p>
        </w:tc>
        <w:tc>
          <w:tcPr>
            <w:tcW w:w="451" w:type="pct"/>
            <w:tcBorders>
              <w:top w:val="nil"/>
              <w:left w:val="nil"/>
              <w:bottom w:val="nil"/>
              <w:right w:val="nil"/>
            </w:tcBorders>
            <w:shd w:val="clear" w:color="auto" w:fill="FFFFFF"/>
            <w:tcMar>
              <w:top w:w="55" w:type="dxa"/>
              <w:left w:w="55" w:type="dxa"/>
              <w:bottom w:w="55" w:type="dxa"/>
              <w:right w:w="55" w:type="dxa"/>
            </w:tcMar>
            <w:vAlign w:val="center"/>
          </w:tcPr>
          <w:p w14:paraId="6B847034">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0.416</w:t>
            </w:r>
          </w:p>
        </w:tc>
      </w:tr>
      <w:tr w14:paraId="228E1625">
        <w:trPr>
          <w:trHeight w:val="193" w:hRule="atLeast"/>
          <w:jc w:val="center"/>
        </w:trPr>
        <w:tc>
          <w:tcPr>
            <w:tcW w:w="1589" w:type="pct"/>
            <w:tcBorders>
              <w:top w:val="nil"/>
              <w:left w:val="nil"/>
              <w:bottom w:val="nil"/>
              <w:right w:val="nil"/>
            </w:tcBorders>
            <w:shd w:val="clear" w:color="auto" w:fill="FFFFFF"/>
            <w:tcMar>
              <w:top w:w="55" w:type="dxa"/>
              <w:left w:w="55" w:type="dxa"/>
              <w:bottom w:w="55" w:type="dxa"/>
              <w:right w:w="55" w:type="dxa"/>
            </w:tcMar>
            <w:vAlign w:val="center"/>
          </w:tcPr>
          <w:p w14:paraId="604BD6AB">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non-anemia subgroup</w:t>
            </w:r>
          </w:p>
        </w:tc>
        <w:tc>
          <w:tcPr>
            <w:tcW w:w="1017" w:type="pct"/>
            <w:tcBorders>
              <w:top w:val="nil"/>
              <w:left w:val="nil"/>
              <w:bottom w:val="nil"/>
              <w:right w:val="nil"/>
            </w:tcBorders>
            <w:shd w:val="clear" w:color="auto" w:fill="FFFFFF"/>
            <w:tcMar>
              <w:top w:w="55" w:type="dxa"/>
              <w:left w:w="55" w:type="dxa"/>
              <w:bottom w:w="55" w:type="dxa"/>
              <w:right w:w="55" w:type="dxa"/>
            </w:tcMar>
            <w:vAlign w:val="center"/>
          </w:tcPr>
          <w:p w14:paraId="26D7506D">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Persistent low ferritin</w:t>
            </w:r>
          </w:p>
        </w:tc>
        <w:tc>
          <w:tcPr>
            <w:tcW w:w="641" w:type="pct"/>
            <w:tcBorders>
              <w:top w:val="nil"/>
              <w:left w:val="nil"/>
              <w:bottom w:val="nil"/>
              <w:right w:val="nil"/>
            </w:tcBorders>
            <w:shd w:val="clear" w:color="auto" w:fill="FFFFFF"/>
            <w:tcMar>
              <w:top w:w="55" w:type="dxa"/>
              <w:left w:w="55" w:type="dxa"/>
              <w:bottom w:w="55" w:type="dxa"/>
              <w:right w:w="55" w:type="dxa"/>
            </w:tcMar>
            <w:vAlign w:val="center"/>
          </w:tcPr>
          <w:p w14:paraId="38FC5501">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Main effect</w:t>
            </w:r>
          </w:p>
        </w:tc>
        <w:tc>
          <w:tcPr>
            <w:tcW w:w="1299" w:type="pct"/>
            <w:tcBorders>
              <w:top w:val="nil"/>
              <w:left w:val="nil"/>
              <w:bottom w:val="nil"/>
              <w:right w:val="nil"/>
            </w:tcBorders>
            <w:shd w:val="clear" w:color="auto" w:fill="FFFFFF"/>
            <w:tcMar>
              <w:top w:w="55" w:type="dxa"/>
              <w:left w:w="55" w:type="dxa"/>
              <w:bottom w:w="55" w:type="dxa"/>
              <w:right w:w="55" w:type="dxa"/>
            </w:tcMar>
            <w:vAlign w:val="center"/>
          </w:tcPr>
          <w:p w14:paraId="729496A2">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-0.015 (-0.207 to 0.176)</w:t>
            </w:r>
          </w:p>
        </w:tc>
        <w:tc>
          <w:tcPr>
            <w:tcW w:w="451" w:type="pct"/>
            <w:tcBorders>
              <w:top w:val="nil"/>
              <w:left w:val="nil"/>
              <w:bottom w:val="nil"/>
              <w:right w:val="nil"/>
            </w:tcBorders>
            <w:shd w:val="clear" w:color="auto" w:fill="FFFFFF"/>
            <w:tcMar>
              <w:top w:w="55" w:type="dxa"/>
              <w:left w:w="55" w:type="dxa"/>
              <w:bottom w:w="55" w:type="dxa"/>
              <w:right w:w="55" w:type="dxa"/>
            </w:tcMar>
            <w:vAlign w:val="center"/>
          </w:tcPr>
          <w:p w14:paraId="233F6009">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0.875</w:t>
            </w:r>
          </w:p>
        </w:tc>
      </w:tr>
      <w:tr w14:paraId="13F571D3">
        <w:trPr>
          <w:trHeight w:val="193" w:hRule="atLeast"/>
          <w:jc w:val="center"/>
        </w:trPr>
        <w:tc>
          <w:tcPr>
            <w:tcW w:w="1589" w:type="pct"/>
            <w:tcBorders>
              <w:top w:val="nil"/>
              <w:left w:val="nil"/>
              <w:bottom w:val="nil"/>
              <w:right w:val="nil"/>
            </w:tcBorders>
            <w:shd w:val="clear" w:color="auto" w:fill="FFFFFF"/>
            <w:tcMar>
              <w:top w:w="55" w:type="dxa"/>
              <w:left w:w="55" w:type="dxa"/>
              <w:bottom w:w="55" w:type="dxa"/>
              <w:right w:w="55" w:type="dxa"/>
            </w:tcMar>
            <w:vAlign w:val="center"/>
          </w:tcPr>
          <w:p w14:paraId="667CFE6B">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Baseline non-anemia subgroup</w:t>
            </w:r>
          </w:p>
        </w:tc>
        <w:tc>
          <w:tcPr>
            <w:tcW w:w="1017" w:type="pct"/>
            <w:tcBorders>
              <w:top w:val="nil"/>
              <w:left w:val="nil"/>
              <w:bottom w:val="nil"/>
              <w:right w:val="nil"/>
            </w:tcBorders>
            <w:shd w:val="clear" w:color="auto" w:fill="FFFFFF"/>
            <w:tcMar>
              <w:top w:w="55" w:type="dxa"/>
              <w:left w:w="55" w:type="dxa"/>
              <w:bottom w:w="55" w:type="dxa"/>
              <w:right w:w="55" w:type="dxa"/>
            </w:tcMar>
            <w:vAlign w:val="center"/>
          </w:tcPr>
          <w:p w14:paraId="5F0309BE">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Persistent low ferritin</w:t>
            </w:r>
          </w:p>
        </w:tc>
        <w:tc>
          <w:tcPr>
            <w:tcW w:w="641" w:type="pct"/>
            <w:tcBorders>
              <w:top w:val="nil"/>
              <w:left w:val="nil"/>
              <w:bottom w:val="nil"/>
              <w:right w:val="nil"/>
            </w:tcBorders>
            <w:shd w:val="clear" w:color="auto" w:fill="FFFFFF"/>
            <w:tcMar>
              <w:top w:w="55" w:type="dxa"/>
              <w:left w:w="55" w:type="dxa"/>
              <w:bottom w:w="55" w:type="dxa"/>
              <w:right w:w="55" w:type="dxa"/>
            </w:tcMar>
            <w:vAlign w:val="center"/>
          </w:tcPr>
          <w:p w14:paraId="718FD175">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time</w:t>
            </w:r>
          </w:p>
        </w:tc>
        <w:tc>
          <w:tcPr>
            <w:tcW w:w="1299" w:type="pct"/>
            <w:tcBorders>
              <w:top w:val="nil"/>
              <w:left w:val="nil"/>
              <w:bottom w:val="nil"/>
              <w:right w:val="nil"/>
            </w:tcBorders>
            <w:shd w:val="clear" w:color="auto" w:fill="FFFFFF"/>
            <w:tcMar>
              <w:top w:w="55" w:type="dxa"/>
              <w:left w:w="55" w:type="dxa"/>
              <w:bottom w:w="55" w:type="dxa"/>
              <w:right w:w="55" w:type="dxa"/>
            </w:tcMar>
            <w:vAlign w:val="center"/>
          </w:tcPr>
          <w:p w14:paraId="673A70C2">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-0.008 (-0.026 to 0.009)</w:t>
            </w:r>
          </w:p>
        </w:tc>
        <w:tc>
          <w:tcPr>
            <w:tcW w:w="451" w:type="pct"/>
            <w:tcBorders>
              <w:top w:val="nil"/>
              <w:left w:val="nil"/>
              <w:bottom w:val="nil"/>
              <w:right w:val="nil"/>
            </w:tcBorders>
            <w:shd w:val="clear" w:color="auto" w:fill="FFFFFF"/>
            <w:tcMar>
              <w:top w:w="55" w:type="dxa"/>
              <w:left w:w="55" w:type="dxa"/>
              <w:bottom w:w="55" w:type="dxa"/>
              <w:right w:w="55" w:type="dxa"/>
            </w:tcMar>
            <w:vAlign w:val="center"/>
          </w:tcPr>
          <w:p w14:paraId="1D95993C">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0.356</w:t>
            </w:r>
          </w:p>
        </w:tc>
      </w:tr>
      <w:tr w14:paraId="18DC899B">
        <w:trPr>
          <w:trHeight w:val="193" w:hRule="atLeast"/>
          <w:jc w:val="center"/>
        </w:trPr>
        <w:tc>
          <w:tcPr>
            <w:tcW w:w="1589" w:type="pct"/>
            <w:tcBorders>
              <w:top w:val="nil"/>
              <w:left w:val="nil"/>
              <w:bottom w:val="nil"/>
              <w:right w:val="nil"/>
            </w:tcBorders>
            <w:shd w:val="clear" w:color="auto" w:fill="FFFFFF"/>
            <w:tcMar>
              <w:top w:w="55" w:type="dxa"/>
              <w:left w:w="55" w:type="dxa"/>
              <w:bottom w:w="55" w:type="dxa"/>
              <w:right w:w="55" w:type="dxa"/>
            </w:tcMar>
            <w:vAlign w:val="center"/>
          </w:tcPr>
          <w:p w14:paraId="7B3F815B">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Exclude early poor FEV</w:t>
            </w:r>
          </w:p>
        </w:tc>
        <w:tc>
          <w:tcPr>
            <w:tcW w:w="1017" w:type="pct"/>
            <w:tcBorders>
              <w:top w:val="nil"/>
              <w:left w:val="nil"/>
              <w:bottom w:val="nil"/>
              <w:right w:val="nil"/>
            </w:tcBorders>
            <w:shd w:val="clear" w:color="auto" w:fill="FFFFFF"/>
            <w:tcMar>
              <w:top w:w="55" w:type="dxa"/>
              <w:left w:w="55" w:type="dxa"/>
              <w:bottom w:w="55" w:type="dxa"/>
              <w:right w:w="55" w:type="dxa"/>
            </w:tcMar>
            <w:vAlign w:val="center"/>
          </w:tcPr>
          <w:p w14:paraId="21082F73">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Iron fragility index</w:t>
            </w:r>
          </w:p>
        </w:tc>
        <w:tc>
          <w:tcPr>
            <w:tcW w:w="641" w:type="pct"/>
            <w:tcBorders>
              <w:top w:val="nil"/>
              <w:left w:val="nil"/>
              <w:bottom w:val="nil"/>
              <w:right w:val="nil"/>
            </w:tcBorders>
            <w:shd w:val="clear" w:color="auto" w:fill="FFFFFF"/>
            <w:tcMar>
              <w:top w:w="55" w:type="dxa"/>
              <w:left w:w="55" w:type="dxa"/>
              <w:bottom w:w="55" w:type="dxa"/>
              <w:right w:w="55" w:type="dxa"/>
            </w:tcMar>
            <w:vAlign w:val="center"/>
          </w:tcPr>
          <w:p w14:paraId="03CF5FAE">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Main effect</w:t>
            </w:r>
          </w:p>
        </w:tc>
        <w:tc>
          <w:tcPr>
            <w:tcW w:w="1299" w:type="pct"/>
            <w:tcBorders>
              <w:top w:val="nil"/>
              <w:left w:val="nil"/>
              <w:bottom w:val="nil"/>
              <w:right w:val="nil"/>
            </w:tcBorders>
            <w:shd w:val="clear" w:color="auto" w:fill="FFFFFF"/>
            <w:tcMar>
              <w:top w:w="55" w:type="dxa"/>
              <w:left w:w="55" w:type="dxa"/>
              <w:bottom w:w="55" w:type="dxa"/>
              <w:right w:w="55" w:type="dxa"/>
            </w:tcMar>
            <w:vAlign w:val="center"/>
          </w:tcPr>
          <w:p w14:paraId="3CDE2C02">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-0.021 (-0.047 to 0.004)</w:t>
            </w:r>
          </w:p>
        </w:tc>
        <w:tc>
          <w:tcPr>
            <w:tcW w:w="451" w:type="pct"/>
            <w:tcBorders>
              <w:top w:val="nil"/>
              <w:left w:val="nil"/>
              <w:bottom w:val="nil"/>
              <w:right w:val="nil"/>
            </w:tcBorders>
            <w:shd w:val="clear" w:color="auto" w:fill="FFFFFF"/>
            <w:tcMar>
              <w:top w:w="55" w:type="dxa"/>
              <w:left w:w="55" w:type="dxa"/>
              <w:bottom w:w="55" w:type="dxa"/>
              <w:right w:w="55" w:type="dxa"/>
            </w:tcMar>
            <w:vAlign w:val="center"/>
          </w:tcPr>
          <w:p w14:paraId="1620B4AD">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0.105</w:t>
            </w:r>
          </w:p>
        </w:tc>
      </w:tr>
      <w:tr w14:paraId="153D8A0E">
        <w:trPr>
          <w:trHeight w:val="193" w:hRule="atLeast"/>
          <w:jc w:val="center"/>
        </w:trPr>
        <w:tc>
          <w:tcPr>
            <w:tcW w:w="1589" w:type="pct"/>
            <w:tcBorders>
              <w:top w:val="nil"/>
              <w:left w:val="nil"/>
              <w:bottom w:val="nil"/>
              <w:right w:val="nil"/>
            </w:tcBorders>
            <w:shd w:val="clear" w:color="auto" w:fill="FFFFFF"/>
            <w:tcMar>
              <w:top w:w="55" w:type="dxa"/>
              <w:left w:w="55" w:type="dxa"/>
              <w:bottom w:w="55" w:type="dxa"/>
              <w:right w:w="55" w:type="dxa"/>
            </w:tcMar>
            <w:vAlign w:val="center"/>
          </w:tcPr>
          <w:p w14:paraId="5A0B9C7D">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Exclude early poor FEV</w:t>
            </w:r>
          </w:p>
        </w:tc>
        <w:tc>
          <w:tcPr>
            <w:tcW w:w="1017" w:type="pct"/>
            <w:tcBorders>
              <w:top w:val="nil"/>
              <w:left w:val="nil"/>
              <w:bottom w:val="nil"/>
              <w:right w:val="nil"/>
            </w:tcBorders>
            <w:shd w:val="clear" w:color="auto" w:fill="FFFFFF"/>
            <w:tcMar>
              <w:top w:w="55" w:type="dxa"/>
              <w:left w:w="55" w:type="dxa"/>
              <w:bottom w:w="55" w:type="dxa"/>
              <w:right w:w="55" w:type="dxa"/>
            </w:tcMar>
            <w:vAlign w:val="center"/>
          </w:tcPr>
          <w:p w14:paraId="6B0A862E">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Iron fragility index</w:t>
            </w:r>
          </w:p>
        </w:tc>
        <w:tc>
          <w:tcPr>
            <w:tcW w:w="641" w:type="pct"/>
            <w:tcBorders>
              <w:top w:val="nil"/>
              <w:left w:val="nil"/>
              <w:bottom w:val="nil"/>
              <w:right w:val="nil"/>
            </w:tcBorders>
            <w:shd w:val="clear" w:color="auto" w:fill="FFFFFF"/>
            <w:tcMar>
              <w:top w:w="55" w:type="dxa"/>
              <w:left w:w="55" w:type="dxa"/>
              <w:bottom w:w="55" w:type="dxa"/>
              <w:right w:w="55" w:type="dxa"/>
            </w:tcMar>
            <w:vAlign w:val="center"/>
          </w:tcPr>
          <w:p w14:paraId="171E20E1">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time</w:t>
            </w:r>
          </w:p>
        </w:tc>
        <w:tc>
          <w:tcPr>
            <w:tcW w:w="1299" w:type="pct"/>
            <w:tcBorders>
              <w:top w:val="nil"/>
              <w:left w:val="nil"/>
              <w:bottom w:val="nil"/>
              <w:right w:val="nil"/>
            </w:tcBorders>
            <w:shd w:val="clear" w:color="auto" w:fill="FFFFFF"/>
            <w:tcMar>
              <w:top w:w="55" w:type="dxa"/>
              <w:left w:w="55" w:type="dxa"/>
              <w:bottom w:w="55" w:type="dxa"/>
              <w:right w:w="55" w:type="dxa"/>
            </w:tcMar>
            <w:vAlign w:val="center"/>
          </w:tcPr>
          <w:p w14:paraId="5D8D759C">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-0.001 (-0.004 to 0.003)</w:t>
            </w:r>
          </w:p>
        </w:tc>
        <w:tc>
          <w:tcPr>
            <w:tcW w:w="451" w:type="pct"/>
            <w:tcBorders>
              <w:top w:val="nil"/>
              <w:left w:val="nil"/>
              <w:bottom w:val="nil"/>
              <w:right w:val="nil"/>
            </w:tcBorders>
            <w:shd w:val="clear" w:color="auto" w:fill="FFFFFF"/>
            <w:tcMar>
              <w:top w:w="55" w:type="dxa"/>
              <w:left w:w="55" w:type="dxa"/>
              <w:bottom w:w="55" w:type="dxa"/>
              <w:right w:w="55" w:type="dxa"/>
            </w:tcMar>
            <w:vAlign w:val="center"/>
          </w:tcPr>
          <w:p w14:paraId="4482EA43">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0.671</w:t>
            </w:r>
          </w:p>
        </w:tc>
      </w:tr>
      <w:tr w14:paraId="1074C05B">
        <w:trPr>
          <w:trHeight w:val="193" w:hRule="atLeast"/>
          <w:jc w:val="center"/>
        </w:trPr>
        <w:tc>
          <w:tcPr>
            <w:tcW w:w="1589" w:type="pct"/>
            <w:tcBorders>
              <w:top w:val="nil"/>
              <w:left w:val="nil"/>
              <w:bottom w:val="nil"/>
              <w:right w:val="nil"/>
            </w:tcBorders>
            <w:shd w:val="clear" w:color="auto" w:fill="FFFFFF"/>
            <w:tcMar>
              <w:top w:w="55" w:type="dxa"/>
              <w:left w:w="55" w:type="dxa"/>
              <w:bottom w:w="55" w:type="dxa"/>
              <w:right w:w="55" w:type="dxa"/>
            </w:tcMar>
            <w:vAlign w:val="center"/>
          </w:tcPr>
          <w:p w14:paraId="15EBED98">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Exclude early poor FEV</w:t>
            </w:r>
          </w:p>
        </w:tc>
        <w:tc>
          <w:tcPr>
            <w:tcW w:w="1017" w:type="pct"/>
            <w:tcBorders>
              <w:top w:val="nil"/>
              <w:left w:val="nil"/>
              <w:bottom w:val="nil"/>
              <w:right w:val="nil"/>
            </w:tcBorders>
            <w:shd w:val="clear" w:color="auto" w:fill="FFFFFF"/>
            <w:tcMar>
              <w:top w:w="55" w:type="dxa"/>
              <w:left w:w="55" w:type="dxa"/>
              <w:bottom w:w="55" w:type="dxa"/>
              <w:right w:w="55" w:type="dxa"/>
            </w:tcMar>
            <w:vAlign w:val="center"/>
          </w:tcPr>
          <w:p w14:paraId="76734CC8">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CV</w:t>
            </w:r>
          </w:p>
        </w:tc>
        <w:tc>
          <w:tcPr>
            <w:tcW w:w="641" w:type="pct"/>
            <w:tcBorders>
              <w:top w:val="nil"/>
              <w:left w:val="nil"/>
              <w:bottom w:val="nil"/>
              <w:right w:val="nil"/>
            </w:tcBorders>
            <w:shd w:val="clear" w:color="auto" w:fill="FFFFFF"/>
            <w:tcMar>
              <w:top w:w="55" w:type="dxa"/>
              <w:left w:w="55" w:type="dxa"/>
              <w:bottom w:w="55" w:type="dxa"/>
              <w:right w:w="55" w:type="dxa"/>
            </w:tcMar>
            <w:vAlign w:val="center"/>
          </w:tcPr>
          <w:p w14:paraId="65FB9B94">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Main effect</w:t>
            </w:r>
          </w:p>
        </w:tc>
        <w:tc>
          <w:tcPr>
            <w:tcW w:w="1299" w:type="pct"/>
            <w:tcBorders>
              <w:top w:val="nil"/>
              <w:left w:val="nil"/>
              <w:bottom w:val="nil"/>
              <w:right w:val="nil"/>
            </w:tcBorders>
            <w:shd w:val="clear" w:color="auto" w:fill="FFFFFF"/>
            <w:tcMar>
              <w:top w:w="55" w:type="dxa"/>
              <w:left w:w="55" w:type="dxa"/>
              <w:bottom w:w="55" w:type="dxa"/>
              <w:right w:w="55" w:type="dxa"/>
            </w:tcMar>
            <w:vAlign w:val="center"/>
          </w:tcPr>
          <w:p w14:paraId="6FA395FE">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-0.183 (-0.413 to 0.048)</w:t>
            </w:r>
          </w:p>
        </w:tc>
        <w:tc>
          <w:tcPr>
            <w:tcW w:w="451" w:type="pct"/>
            <w:tcBorders>
              <w:top w:val="nil"/>
              <w:left w:val="nil"/>
              <w:bottom w:val="nil"/>
              <w:right w:val="nil"/>
            </w:tcBorders>
            <w:shd w:val="clear" w:color="auto" w:fill="FFFFFF"/>
            <w:tcMar>
              <w:top w:w="55" w:type="dxa"/>
              <w:left w:w="55" w:type="dxa"/>
              <w:bottom w:w="55" w:type="dxa"/>
              <w:right w:w="55" w:type="dxa"/>
            </w:tcMar>
            <w:vAlign w:val="center"/>
          </w:tcPr>
          <w:p w14:paraId="349A65BF">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0.121</w:t>
            </w:r>
          </w:p>
        </w:tc>
      </w:tr>
      <w:tr w14:paraId="5550713C">
        <w:trPr>
          <w:trHeight w:val="193" w:hRule="atLeast"/>
          <w:jc w:val="center"/>
        </w:trPr>
        <w:tc>
          <w:tcPr>
            <w:tcW w:w="1589" w:type="pct"/>
            <w:tcBorders>
              <w:top w:val="nil"/>
              <w:left w:val="nil"/>
              <w:bottom w:val="nil"/>
              <w:right w:val="nil"/>
            </w:tcBorders>
            <w:shd w:val="clear" w:color="auto" w:fill="FFFFFF"/>
            <w:tcMar>
              <w:top w:w="55" w:type="dxa"/>
              <w:left w:w="55" w:type="dxa"/>
              <w:bottom w:w="55" w:type="dxa"/>
              <w:right w:w="55" w:type="dxa"/>
            </w:tcMar>
            <w:vAlign w:val="center"/>
          </w:tcPr>
          <w:p w14:paraId="01696F0E">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Exclude early poor FEV</w:t>
            </w:r>
          </w:p>
        </w:tc>
        <w:tc>
          <w:tcPr>
            <w:tcW w:w="1017" w:type="pct"/>
            <w:tcBorders>
              <w:top w:val="nil"/>
              <w:left w:val="nil"/>
              <w:bottom w:val="nil"/>
              <w:right w:val="nil"/>
            </w:tcBorders>
            <w:shd w:val="clear" w:color="auto" w:fill="FFFFFF"/>
            <w:tcMar>
              <w:top w:w="55" w:type="dxa"/>
              <w:left w:w="55" w:type="dxa"/>
              <w:bottom w:w="55" w:type="dxa"/>
              <w:right w:w="55" w:type="dxa"/>
            </w:tcMar>
            <w:vAlign w:val="center"/>
          </w:tcPr>
          <w:p w14:paraId="568CFD41">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CV</w:t>
            </w:r>
          </w:p>
        </w:tc>
        <w:tc>
          <w:tcPr>
            <w:tcW w:w="641" w:type="pct"/>
            <w:tcBorders>
              <w:top w:val="nil"/>
              <w:left w:val="nil"/>
              <w:bottom w:val="nil"/>
              <w:right w:val="nil"/>
            </w:tcBorders>
            <w:shd w:val="clear" w:color="auto" w:fill="FFFFFF"/>
            <w:tcMar>
              <w:top w:w="55" w:type="dxa"/>
              <w:left w:w="55" w:type="dxa"/>
              <w:bottom w:w="55" w:type="dxa"/>
              <w:right w:w="55" w:type="dxa"/>
            </w:tcMar>
            <w:vAlign w:val="center"/>
          </w:tcPr>
          <w:p w14:paraId="41D916A6">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time</w:t>
            </w:r>
          </w:p>
        </w:tc>
        <w:tc>
          <w:tcPr>
            <w:tcW w:w="1299" w:type="pct"/>
            <w:tcBorders>
              <w:top w:val="nil"/>
              <w:left w:val="nil"/>
              <w:bottom w:val="nil"/>
              <w:right w:val="nil"/>
            </w:tcBorders>
            <w:shd w:val="clear" w:color="auto" w:fill="FFFFFF"/>
            <w:tcMar>
              <w:top w:w="55" w:type="dxa"/>
              <w:left w:w="55" w:type="dxa"/>
              <w:bottom w:w="55" w:type="dxa"/>
              <w:right w:w="55" w:type="dxa"/>
            </w:tcMar>
            <w:vAlign w:val="center"/>
          </w:tcPr>
          <w:p w14:paraId="520B35E5">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-0.003 (-0.031 to 0.026)</w:t>
            </w:r>
          </w:p>
        </w:tc>
        <w:tc>
          <w:tcPr>
            <w:tcW w:w="451" w:type="pct"/>
            <w:tcBorders>
              <w:top w:val="nil"/>
              <w:left w:val="nil"/>
              <w:bottom w:val="nil"/>
              <w:right w:val="nil"/>
            </w:tcBorders>
            <w:shd w:val="clear" w:color="auto" w:fill="FFFFFF"/>
            <w:tcMar>
              <w:top w:w="55" w:type="dxa"/>
              <w:left w:w="55" w:type="dxa"/>
              <w:bottom w:w="55" w:type="dxa"/>
              <w:right w:w="55" w:type="dxa"/>
            </w:tcMar>
            <w:vAlign w:val="center"/>
          </w:tcPr>
          <w:p w14:paraId="12629F17">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0.86</w:t>
            </w:r>
          </w:p>
        </w:tc>
      </w:tr>
      <w:tr w14:paraId="6DE15574">
        <w:trPr>
          <w:trHeight w:val="193" w:hRule="atLeast"/>
          <w:jc w:val="center"/>
        </w:trPr>
        <w:tc>
          <w:tcPr>
            <w:tcW w:w="1589" w:type="pct"/>
            <w:tcBorders>
              <w:top w:val="nil"/>
              <w:left w:val="nil"/>
              <w:bottom w:val="nil"/>
              <w:right w:val="nil"/>
            </w:tcBorders>
            <w:shd w:val="clear" w:color="auto" w:fill="FFFFFF"/>
            <w:tcMar>
              <w:top w:w="55" w:type="dxa"/>
              <w:left w:w="55" w:type="dxa"/>
              <w:bottom w:w="55" w:type="dxa"/>
              <w:right w:w="55" w:type="dxa"/>
            </w:tcMar>
            <w:vAlign w:val="center"/>
          </w:tcPr>
          <w:p w14:paraId="05F0D58F">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Exclude early poor FEV</w:t>
            </w:r>
          </w:p>
        </w:tc>
        <w:tc>
          <w:tcPr>
            <w:tcW w:w="1017" w:type="pct"/>
            <w:tcBorders>
              <w:top w:val="nil"/>
              <w:left w:val="nil"/>
              <w:bottom w:val="nil"/>
              <w:right w:val="nil"/>
            </w:tcBorders>
            <w:shd w:val="clear" w:color="auto" w:fill="FFFFFF"/>
            <w:tcMar>
              <w:top w:w="55" w:type="dxa"/>
              <w:left w:w="55" w:type="dxa"/>
              <w:bottom w:w="55" w:type="dxa"/>
              <w:right w:w="55" w:type="dxa"/>
            </w:tcMar>
            <w:vAlign w:val="center"/>
          </w:tcPr>
          <w:p w14:paraId="73A36358">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slope</w:t>
            </w:r>
          </w:p>
        </w:tc>
        <w:tc>
          <w:tcPr>
            <w:tcW w:w="641" w:type="pct"/>
            <w:tcBorders>
              <w:top w:val="nil"/>
              <w:left w:val="nil"/>
              <w:bottom w:val="nil"/>
              <w:right w:val="nil"/>
            </w:tcBorders>
            <w:shd w:val="clear" w:color="auto" w:fill="FFFFFF"/>
            <w:tcMar>
              <w:top w:w="55" w:type="dxa"/>
              <w:left w:w="55" w:type="dxa"/>
              <w:bottom w:w="55" w:type="dxa"/>
              <w:right w:w="55" w:type="dxa"/>
            </w:tcMar>
            <w:vAlign w:val="center"/>
          </w:tcPr>
          <w:p w14:paraId="2746E11F">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Main effect</w:t>
            </w:r>
          </w:p>
        </w:tc>
        <w:tc>
          <w:tcPr>
            <w:tcW w:w="1299" w:type="pct"/>
            <w:tcBorders>
              <w:top w:val="nil"/>
              <w:left w:val="nil"/>
              <w:bottom w:val="nil"/>
              <w:right w:val="nil"/>
            </w:tcBorders>
            <w:shd w:val="clear" w:color="auto" w:fill="FFFFFF"/>
            <w:tcMar>
              <w:top w:w="55" w:type="dxa"/>
              <w:left w:w="55" w:type="dxa"/>
              <w:bottom w:w="55" w:type="dxa"/>
              <w:right w:w="55" w:type="dxa"/>
            </w:tcMar>
            <w:vAlign w:val="center"/>
          </w:tcPr>
          <w:p w14:paraId="2F65E70E">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0.252 (-0.128 to 0.632)</w:t>
            </w:r>
          </w:p>
        </w:tc>
        <w:tc>
          <w:tcPr>
            <w:tcW w:w="451" w:type="pct"/>
            <w:tcBorders>
              <w:top w:val="nil"/>
              <w:left w:val="nil"/>
              <w:bottom w:val="nil"/>
              <w:right w:val="nil"/>
            </w:tcBorders>
            <w:shd w:val="clear" w:color="auto" w:fill="FFFFFF"/>
            <w:tcMar>
              <w:top w:w="55" w:type="dxa"/>
              <w:left w:w="55" w:type="dxa"/>
              <w:bottom w:w="55" w:type="dxa"/>
              <w:right w:w="55" w:type="dxa"/>
            </w:tcMar>
            <w:vAlign w:val="center"/>
          </w:tcPr>
          <w:p w14:paraId="109A1DF9">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0.194</w:t>
            </w:r>
          </w:p>
        </w:tc>
      </w:tr>
      <w:tr w14:paraId="048BDE04">
        <w:trPr>
          <w:trHeight w:val="193" w:hRule="atLeast"/>
          <w:jc w:val="center"/>
        </w:trPr>
        <w:tc>
          <w:tcPr>
            <w:tcW w:w="1589" w:type="pct"/>
            <w:tcBorders>
              <w:top w:val="nil"/>
              <w:left w:val="nil"/>
              <w:bottom w:val="nil"/>
              <w:right w:val="nil"/>
            </w:tcBorders>
            <w:shd w:val="clear" w:color="auto" w:fill="FFFFFF"/>
            <w:tcMar>
              <w:top w:w="55" w:type="dxa"/>
              <w:left w:w="55" w:type="dxa"/>
              <w:bottom w:w="55" w:type="dxa"/>
              <w:right w:w="55" w:type="dxa"/>
            </w:tcMar>
            <w:vAlign w:val="center"/>
          </w:tcPr>
          <w:p w14:paraId="50A52B05">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Exclude early poor FEV</w:t>
            </w:r>
          </w:p>
        </w:tc>
        <w:tc>
          <w:tcPr>
            <w:tcW w:w="1017" w:type="pct"/>
            <w:tcBorders>
              <w:top w:val="nil"/>
              <w:left w:val="nil"/>
              <w:bottom w:val="nil"/>
              <w:right w:val="nil"/>
            </w:tcBorders>
            <w:shd w:val="clear" w:color="auto" w:fill="FFFFFF"/>
            <w:tcMar>
              <w:top w:w="55" w:type="dxa"/>
              <w:left w:w="55" w:type="dxa"/>
              <w:bottom w:w="55" w:type="dxa"/>
              <w:right w:w="55" w:type="dxa"/>
            </w:tcMar>
            <w:vAlign w:val="center"/>
          </w:tcPr>
          <w:p w14:paraId="6B601AEA">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slope</w:t>
            </w:r>
          </w:p>
        </w:tc>
        <w:tc>
          <w:tcPr>
            <w:tcW w:w="641" w:type="pct"/>
            <w:tcBorders>
              <w:top w:val="nil"/>
              <w:left w:val="nil"/>
              <w:bottom w:val="nil"/>
              <w:right w:val="nil"/>
            </w:tcBorders>
            <w:shd w:val="clear" w:color="auto" w:fill="FFFFFF"/>
            <w:tcMar>
              <w:top w:w="55" w:type="dxa"/>
              <w:left w:w="55" w:type="dxa"/>
              <w:bottom w:w="55" w:type="dxa"/>
              <w:right w:w="55" w:type="dxa"/>
            </w:tcMar>
            <w:vAlign w:val="center"/>
          </w:tcPr>
          <w:p w14:paraId="092CB3D2">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time</w:t>
            </w:r>
          </w:p>
        </w:tc>
        <w:tc>
          <w:tcPr>
            <w:tcW w:w="1299" w:type="pct"/>
            <w:tcBorders>
              <w:top w:val="nil"/>
              <w:left w:val="nil"/>
              <w:bottom w:val="nil"/>
              <w:right w:val="nil"/>
            </w:tcBorders>
            <w:shd w:val="clear" w:color="auto" w:fill="FFFFFF"/>
            <w:tcMar>
              <w:top w:w="55" w:type="dxa"/>
              <w:left w:w="55" w:type="dxa"/>
              <w:bottom w:w="55" w:type="dxa"/>
              <w:right w:w="55" w:type="dxa"/>
            </w:tcMar>
            <w:vAlign w:val="center"/>
          </w:tcPr>
          <w:p w14:paraId="7513160F">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0.005 (-0.046 to 0.057)</w:t>
            </w:r>
          </w:p>
        </w:tc>
        <w:tc>
          <w:tcPr>
            <w:tcW w:w="451" w:type="pct"/>
            <w:tcBorders>
              <w:top w:val="nil"/>
              <w:left w:val="nil"/>
              <w:bottom w:val="nil"/>
              <w:right w:val="nil"/>
            </w:tcBorders>
            <w:shd w:val="clear" w:color="auto" w:fill="FFFFFF"/>
            <w:tcMar>
              <w:top w:w="55" w:type="dxa"/>
              <w:left w:w="55" w:type="dxa"/>
              <w:bottom w:w="55" w:type="dxa"/>
              <w:right w:w="55" w:type="dxa"/>
            </w:tcMar>
            <w:vAlign w:val="center"/>
          </w:tcPr>
          <w:p w14:paraId="7F5878AF">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0.835</w:t>
            </w:r>
          </w:p>
        </w:tc>
      </w:tr>
      <w:tr w14:paraId="19612EE0">
        <w:trPr>
          <w:trHeight w:val="193" w:hRule="atLeast"/>
          <w:jc w:val="center"/>
        </w:trPr>
        <w:tc>
          <w:tcPr>
            <w:tcW w:w="1589" w:type="pct"/>
            <w:tcBorders>
              <w:top w:val="nil"/>
              <w:left w:val="nil"/>
              <w:bottom w:val="nil"/>
              <w:right w:val="nil"/>
            </w:tcBorders>
            <w:shd w:val="clear" w:color="auto" w:fill="FFFFFF"/>
            <w:tcMar>
              <w:top w:w="55" w:type="dxa"/>
              <w:left w:w="55" w:type="dxa"/>
              <w:bottom w:w="55" w:type="dxa"/>
              <w:right w:w="55" w:type="dxa"/>
            </w:tcMar>
            <w:vAlign w:val="center"/>
          </w:tcPr>
          <w:p w14:paraId="6E956427">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Exclude early poor FEV</w:t>
            </w:r>
          </w:p>
        </w:tc>
        <w:tc>
          <w:tcPr>
            <w:tcW w:w="1017" w:type="pct"/>
            <w:tcBorders>
              <w:top w:val="nil"/>
              <w:left w:val="nil"/>
              <w:bottom w:val="nil"/>
              <w:right w:val="nil"/>
            </w:tcBorders>
            <w:shd w:val="clear" w:color="auto" w:fill="FFFFFF"/>
            <w:tcMar>
              <w:top w:w="55" w:type="dxa"/>
              <w:left w:w="55" w:type="dxa"/>
              <w:bottom w:w="55" w:type="dxa"/>
              <w:right w:w="55" w:type="dxa"/>
            </w:tcMar>
            <w:vAlign w:val="center"/>
          </w:tcPr>
          <w:p w14:paraId="2C20E248">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Persistent low ferritin</w:t>
            </w:r>
          </w:p>
        </w:tc>
        <w:tc>
          <w:tcPr>
            <w:tcW w:w="641" w:type="pct"/>
            <w:tcBorders>
              <w:top w:val="nil"/>
              <w:left w:val="nil"/>
              <w:bottom w:val="nil"/>
              <w:right w:val="nil"/>
            </w:tcBorders>
            <w:shd w:val="clear" w:color="auto" w:fill="FFFFFF"/>
            <w:tcMar>
              <w:top w:w="55" w:type="dxa"/>
              <w:left w:w="55" w:type="dxa"/>
              <w:bottom w:w="55" w:type="dxa"/>
              <w:right w:w="55" w:type="dxa"/>
            </w:tcMar>
            <w:vAlign w:val="center"/>
          </w:tcPr>
          <w:p w14:paraId="653DB7BF">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Main effect</w:t>
            </w:r>
          </w:p>
        </w:tc>
        <w:tc>
          <w:tcPr>
            <w:tcW w:w="1299" w:type="pct"/>
            <w:tcBorders>
              <w:top w:val="nil"/>
              <w:left w:val="nil"/>
              <w:bottom w:val="nil"/>
              <w:right w:val="nil"/>
            </w:tcBorders>
            <w:shd w:val="clear" w:color="auto" w:fill="FFFFFF"/>
            <w:tcMar>
              <w:top w:w="55" w:type="dxa"/>
              <w:left w:w="55" w:type="dxa"/>
              <w:bottom w:w="55" w:type="dxa"/>
              <w:right w:w="55" w:type="dxa"/>
            </w:tcMar>
            <w:vAlign w:val="center"/>
          </w:tcPr>
          <w:p w14:paraId="0415BC11">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-0.125 (-0.285 to 0.034)</w:t>
            </w:r>
          </w:p>
        </w:tc>
        <w:tc>
          <w:tcPr>
            <w:tcW w:w="451" w:type="pct"/>
            <w:tcBorders>
              <w:top w:val="nil"/>
              <w:left w:val="nil"/>
              <w:bottom w:val="nil"/>
              <w:right w:val="nil"/>
            </w:tcBorders>
            <w:shd w:val="clear" w:color="auto" w:fill="FFFFFF"/>
            <w:tcMar>
              <w:top w:w="55" w:type="dxa"/>
              <w:left w:w="55" w:type="dxa"/>
              <w:bottom w:w="55" w:type="dxa"/>
              <w:right w:w="55" w:type="dxa"/>
            </w:tcMar>
            <w:vAlign w:val="center"/>
          </w:tcPr>
          <w:p w14:paraId="609900DC">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0.124</w:t>
            </w:r>
          </w:p>
        </w:tc>
      </w:tr>
      <w:tr w14:paraId="5473EB6B">
        <w:trPr>
          <w:trHeight w:val="193" w:hRule="atLeast"/>
          <w:jc w:val="center"/>
        </w:trPr>
        <w:tc>
          <w:tcPr>
            <w:tcW w:w="158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2C130085">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Exclude early poor FEV</w:t>
            </w:r>
          </w:p>
        </w:tc>
        <w:tc>
          <w:tcPr>
            <w:tcW w:w="101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6C9F43EC">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Persistent low ferritin</w:t>
            </w:r>
          </w:p>
        </w:tc>
        <w:tc>
          <w:tcPr>
            <w:tcW w:w="641"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6B56E8B">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 time</w:t>
            </w:r>
          </w:p>
        </w:tc>
        <w:tc>
          <w:tcPr>
            <w:tcW w:w="129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60371F14">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-0.008 (-0.033 to 0.017)</w:t>
            </w:r>
          </w:p>
        </w:tc>
        <w:tc>
          <w:tcPr>
            <w:tcW w:w="451"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42D5836F">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0.536</w:t>
            </w:r>
          </w:p>
        </w:tc>
      </w:tr>
    </w:tbl>
    <w:p w14:paraId="252BC58E">
      <w:pPr>
        <w:spacing w:before="0" w:after="120" w:line="240" w:lineRule="auto"/>
        <w:rPr>
          <w:rFonts w:hint="default" w:ascii="Times New Roman Regular" w:hAnsi="Times New Roman Regular" w:cs="Times New Roman Regular"/>
          <w:b w:val="0"/>
          <w:bCs w:val="0"/>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b w:val="0"/>
          <w:bCs w:val="0"/>
          <w:sz w:val="20"/>
          <w:szCs w:val="22"/>
          <w:lang w:val="en-US" w:eastAsia="zh-CN"/>
        </w:rPr>
        <w:t>Regression coefficients (β), 95% confidence intervals (CIs), and P values are shown from reverse-causation analyses of repeated forced expiratory volume in 1 second (</w:t>
      </w:r>
      <w:r>
        <w:rPr>
          <w:rFonts w:hint="default" w:ascii="Times New Roman" w:hAnsi="Times New Roman" w:eastAsia="Times New Roman" w:cs="Times New Roman Regular"/>
          <w:sz w:val="20"/>
          <w:szCs w:val="22"/>
          <w:lang w:val="en-US" w:eastAsia="zh-CN"/>
        </w:rPr>
        <w:t>FEV₁</w:t>
      </w:r>
      <w:r>
        <w:rPr>
          <w:rFonts w:hint="default" w:ascii="Times New Roman" w:hAnsi="Times New Roman" w:eastAsia="Times New Roman" w:cs="Times New Roman Regular"/>
          <w:b w:val="0"/>
          <w:bCs w:val="0"/>
          <w:sz w:val="20"/>
          <w:szCs w:val="22"/>
          <w:lang w:val="en-US" w:eastAsia="zh-CN"/>
        </w:rPr>
        <w:t xml:space="preserve">) across dynamic iron-related measures. Analyses included baseline-normal subgroup restrictions and exclusion of early poor baseline lung function, as specified in the table. Dynamic iron-related measures included the iron fragility index (IFI), ferritin coefficient of variation (CV), ferritin slope, and persistent low ferritin, together with corresponding exposure × time interaction terms. Models used the same Hb-adjusted linear mixed-effects framework as the primary analyses. </w:t>
      </w:r>
    </w:p>
    <w:p w14:paraId="52133C93">
      <w:pPr>
        <w:spacing w:before="0" w:after="0" w:line="240" w:lineRule="auto"/>
        <w:rPr>
          <w:rFonts w:hint="default" w:ascii="Times New Roman Regular" w:hAnsi="Times New Roman Regular" w:cs="Times New Roman Regular"/>
          <w:b w:val="0"/>
          <w:bCs w:val="0"/>
          <w:sz w:val="22"/>
          <w:szCs w:val="22"/>
          <w:lang w:val="en-US" w:eastAsia="zh-CN"/>
        </w:rPr>
      </w:pPr>
      <w:r>
        <w:rPr>
          <w:rFonts w:hint="default" w:ascii="Times New Roman Regular" w:hAnsi="Times New Roman Regular" w:cs="Times New Roman Regular"/>
          <w:b w:val="0"/>
          <w:bCs w:val="0"/>
          <w:sz w:val="22"/>
          <w:szCs w:val="22"/>
          <w:lang w:val="en-US" w:eastAsia="zh-CN"/>
        </w:rPr>
        <w:br w:type="page"/>
      </w:r>
    </w:p>
    <w:p w14:paraId="51D3FB29">
      <w:pPr>
        <w:pStyle w:val="2"/>
        <w:keepNext/>
        <w:spacing w:before="0" w:after="120" w:line="240" w:lineRule="auto"/>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S80. Reverse-causation analyses of any asthma-like symptom across dynamic iron-related measures</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608"/>
        <w:gridCol w:w="3791"/>
        <w:gridCol w:w="3334"/>
        <w:gridCol w:w="1633"/>
      </w:tblGrid>
      <w:tr w14:paraId="56570688">
        <w:trPr>
          <w:trHeight w:val="193" w:hRule="atLeast"/>
          <w:tblHeader/>
          <w:jc w:val="center"/>
        </w:trPr>
        <w:tc>
          <w:tcPr>
            <w:tcW w:w="1951"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119E870">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Analysis</w:t>
            </w:r>
          </w:p>
        </w:tc>
        <w:tc>
          <w:tcPr>
            <w:tcW w:w="1319"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D4C2AC6">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Exposure</w:t>
            </w:r>
          </w:p>
        </w:tc>
        <w:tc>
          <w:tcPr>
            <w:tcW w:w="1160"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3B4ABF96">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OR (95% CI)</w:t>
            </w:r>
          </w:p>
        </w:tc>
        <w:tc>
          <w:tcPr>
            <w:tcW w:w="568"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643FB7A7">
            <w:pPr>
              <w:keepNext w:val="0"/>
              <w:keepLines w:val="0"/>
              <w:widowControl/>
              <w:suppressLineNumbers w:val="0"/>
              <w:spacing w:before="0" w:after="0" w:line="240" w:lineRule="auto"/>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7"/>
                <w:szCs w:val="22"/>
                <w:u w:val="none"/>
                <w:lang w:val="en-US" w:eastAsia="zh-CN" w:bidi="ar"/>
              </w:rPr>
              <w:t>P value</w:t>
            </w:r>
          </w:p>
        </w:tc>
      </w:tr>
      <w:tr w14:paraId="705DABB0">
        <w:trPr>
          <w:trHeight w:val="193" w:hRule="atLeast"/>
          <w:jc w:val="center"/>
        </w:trPr>
        <w:tc>
          <w:tcPr>
            <w:tcW w:w="1951"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DDCA6B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Baseline low-symptom subgroup</w:t>
            </w:r>
          </w:p>
        </w:tc>
        <w:tc>
          <w:tcPr>
            <w:tcW w:w="1319"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36388A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Iron fragility index</w:t>
            </w:r>
          </w:p>
        </w:tc>
        <w:tc>
          <w:tcPr>
            <w:tcW w:w="1160"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55DAEF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1.02 (0.88 to 1.19)</w:t>
            </w:r>
          </w:p>
        </w:tc>
        <w:tc>
          <w:tcPr>
            <w:tcW w:w="568"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7061D92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0.772</w:t>
            </w:r>
          </w:p>
        </w:tc>
      </w:tr>
      <w:tr w14:paraId="0F81571F">
        <w:trPr>
          <w:trHeight w:val="193" w:hRule="atLeast"/>
          <w:jc w:val="center"/>
        </w:trPr>
        <w:tc>
          <w:tcPr>
            <w:tcW w:w="1951" w:type="pct"/>
            <w:tcBorders>
              <w:top w:val="nil"/>
              <w:left w:val="nil"/>
              <w:bottom w:val="nil"/>
              <w:right w:val="nil"/>
            </w:tcBorders>
            <w:shd w:val="clear" w:color="auto" w:fill="FFFFFF"/>
            <w:tcMar>
              <w:top w:w="55" w:type="dxa"/>
              <w:left w:w="55" w:type="dxa"/>
              <w:bottom w:w="55" w:type="dxa"/>
              <w:right w:w="55" w:type="dxa"/>
            </w:tcMar>
            <w:vAlign w:val="center"/>
          </w:tcPr>
          <w:p w14:paraId="29370B8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Baseline low-symptom subgroup</w:t>
            </w:r>
          </w:p>
        </w:tc>
        <w:tc>
          <w:tcPr>
            <w:tcW w:w="1319" w:type="pct"/>
            <w:tcBorders>
              <w:top w:val="nil"/>
              <w:left w:val="nil"/>
              <w:bottom w:val="nil"/>
              <w:right w:val="nil"/>
            </w:tcBorders>
            <w:shd w:val="clear" w:color="auto" w:fill="FFFFFF"/>
            <w:tcMar>
              <w:top w:w="55" w:type="dxa"/>
              <w:left w:w="55" w:type="dxa"/>
              <w:bottom w:w="55" w:type="dxa"/>
              <w:right w:w="55" w:type="dxa"/>
            </w:tcMar>
            <w:vAlign w:val="center"/>
          </w:tcPr>
          <w:p w14:paraId="32573DE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CV</w:t>
            </w:r>
          </w:p>
        </w:tc>
        <w:tc>
          <w:tcPr>
            <w:tcW w:w="1160" w:type="pct"/>
            <w:tcBorders>
              <w:top w:val="nil"/>
              <w:left w:val="nil"/>
              <w:bottom w:val="nil"/>
              <w:right w:val="nil"/>
            </w:tcBorders>
            <w:shd w:val="clear" w:color="auto" w:fill="FFFFFF"/>
            <w:tcMar>
              <w:top w:w="55" w:type="dxa"/>
              <w:left w:w="55" w:type="dxa"/>
              <w:bottom w:w="55" w:type="dxa"/>
              <w:right w:w="55" w:type="dxa"/>
            </w:tcMar>
            <w:vAlign w:val="center"/>
          </w:tcPr>
          <w:p w14:paraId="607688C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1.49 (0.48 to 4.60)</w:t>
            </w:r>
          </w:p>
        </w:tc>
        <w:tc>
          <w:tcPr>
            <w:tcW w:w="568" w:type="pct"/>
            <w:tcBorders>
              <w:top w:val="nil"/>
              <w:left w:val="nil"/>
              <w:bottom w:val="nil"/>
              <w:right w:val="nil"/>
            </w:tcBorders>
            <w:shd w:val="clear" w:color="auto" w:fill="FFFFFF"/>
            <w:tcMar>
              <w:top w:w="55" w:type="dxa"/>
              <w:left w:w="55" w:type="dxa"/>
              <w:bottom w:w="55" w:type="dxa"/>
              <w:right w:w="55" w:type="dxa"/>
            </w:tcMar>
            <w:vAlign w:val="center"/>
          </w:tcPr>
          <w:p w14:paraId="1F61FE9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0.488</w:t>
            </w:r>
          </w:p>
        </w:tc>
      </w:tr>
      <w:tr w14:paraId="4ED749A8">
        <w:trPr>
          <w:trHeight w:val="193" w:hRule="atLeast"/>
          <w:jc w:val="center"/>
        </w:trPr>
        <w:tc>
          <w:tcPr>
            <w:tcW w:w="1951" w:type="pct"/>
            <w:tcBorders>
              <w:top w:val="nil"/>
              <w:left w:val="nil"/>
              <w:bottom w:val="nil"/>
              <w:right w:val="nil"/>
            </w:tcBorders>
            <w:shd w:val="clear" w:color="auto" w:fill="FFFFFF"/>
            <w:tcMar>
              <w:top w:w="55" w:type="dxa"/>
              <w:left w:w="55" w:type="dxa"/>
              <w:bottom w:w="55" w:type="dxa"/>
              <w:right w:w="55" w:type="dxa"/>
            </w:tcMar>
            <w:vAlign w:val="center"/>
          </w:tcPr>
          <w:p w14:paraId="02E72EF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Baseline low-symptom subgroup</w:t>
            </w:r>
          </w:p>
        </w:tc>
        <w:tc>
          <w:tcPr>
            <w:tcW w:w="1319" w:type="pct"/>
            <w:tcBorders>
              <w:top w:val="nil"/>
              <w:left w:val="nil"/>
              <w:bottom w:val="nil"/>
              <w:right w:val="nil"/>
            </w:tcBorders>
            <w:shd w:val="clear" w:color="auto" w:fill="FFFFFF"/>
            <w:tcMar>
              <w:top w:w="55" w:type="dxa"/>
              <w:left w:w="55" w:type="dxa"/>
              <w:bottom w:w="55" w:type="dxa"/>
              <w:right w:w="55" w:type="dxa"/>
            </w:tcMar>
            <w:vAlign w:val="center"/>
          </w:tcPr>
          <w:p w14:paraId="685ED68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slope</w:t>
            </w:r>
          </w:p>
        </w:tc>
        <w:tc>
          <w:tcPr>
            <w:tcW w:w="1160" w:type="pct"/>
            <w:tcBorders>
              <w:top w:val="nil"/>
              <w:left w:val="nil"/>
              <w:bottom w:val="nil"/>
              <w:right w:val="nil"/>
            </w:tcBorders>
            <w:shd w:val="clear" w:color="auto" w:fill="FFFFFF"/>
            <w:tcMar>
              <w:top w:w="55" w:type="dxa"/>
              <w:left w:w="55" w:type="dxa"/>
              <w:bottom w:w="55" w:type="dxa"/>
              <w:right w:w="55" w:type="dxa"/>
            </w:tcMar>
            <w:vAlign w:val="center"/>
          </w:tcPr>
          <w:p w14:paraId="6DDB841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0.50 (0.06 to 4.06)</w:t>
            </w:r>
          </w:p>
        </w:tc>
        <w:tc>
          <w:tcPr>
            <w:tcW w:w="568" w:type="pct"/>
            <w:tcBorders>
              <w:top w:val="nil"/>
              <w:left w:val="nil"/>
              <w:bottom w:val="nil"/>
              <w:right w:val="nil"/>
            </w:tcBorders>
            <w:shd w:val="clear" w:color="auto" w:fill="FFFFFF"/>
            <w:tcMar>
              <w:top w:w="55" w:type="dxa"/>
              <w:left w:w="55" w:type="dxa"/>
              <w:bottom w:w="55" w:type="dxa"/>
              <w:right w:w="55" w:type="dxa"/>
            </w:tcMar>
            <w:vAlign w:val="center"/>
          </w:tcPr>
          <w:p w14:paraId="7856DBD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0.52</w:t>
            </w:r>
          </w:p>
        </w:tc>
      </w:tr>
      <w:tr w14:paraId="45DD11F6">
        <w:trPr>
          <w:trHeight w:val="193" w:hRule="atLeast"/>
          <w:jc w:val="center"/>
        </w:trPr>
        <w:tc>
          <w:tcPr>
            <w:tcW w:w="1951" w:type="pct"/>
            <w:tcBorders>
              <w:top w:val="nil"/>
              <w:left w:val="nil"/>
              <w:bottom w:val="nil"/>
              <w:right w:val="nil"/>
            </w:tcBorders>
            <w:shd w:val="clear" w:color="auto" w:fill="FFFFFF"/>
            <w:tcMar>
              <w:top w:w="55" w:type="dxa"/>
              <w:left w:w="55" w:type="dxa"/>
              <w:bottom w:w="55" w:type="dxa"/>
              <w:right w:w="55" w:type="dxa"/>
            </w:tcMar>
            <w:vAlign w:val="center"/>
          </w:tcPr>
          <w:p w14:paraId="117ADFC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Baseline low-symptom subgroup</w:t>
            </w:r>
          </w:p>
        </w:tc>
        <w:tc>
          <w:tcPr>
            <w:tcW w:w="1319" w:type="pct"/>
            <w:tcBorders>
              <w:top w:val="nil"/>
              <w:left w:val="nil"/>
              <w:bottom w:val="nil"/>
              <w:right w:val="nil"/>
            </w:tcBorders>
            <w:shd w:val="clear" w:color="auto" w:fill="FFFFFF"/>
            <w:tcMar>
              <w:top w:w="55" w:type="dxa"/>
              <w:left w:w="55" w:type="dxa"/>
              <w:bottom w:w="55" w:type="dxa"/>
              <w:right w:w="55" w:type="dxa"/>
            </w:tcMar>
            <w:vAlign w:val="center"/>
          </w:tcPr>
          <w:p w14:paraId="3A3A5B2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Persistent low ferritin</w:t>
            </w:r>
          </w:p>
        </w:tc>
        <w:tc>
          <w:tcPr>
            <w:tcW w:w="1160" w:type="pct"/>
            <w:tcBorders>
              <w:top w:val="nil"/>
              <w:left w:val="nil"/>
              <w:bottom w:val="nil"/>
              <w:right w:val="nil"/>
            </w:tcBorders>
            <w:shd w:val="clear" w:color="auto" w:fill="FFFFFF"/>
            <w:tcMar>
              <w:top w:w="55" w:type="dxa"/>
              <w:left w:w="55" w:type="dxa"/>
              <w:bottom w:w="55" w:type="dxa"/>
              <w:right w:w="55" w:type="dxa"/>
            </w:tcMar>
            <w:vAlign w:val="center"/>
          </w:tcPr>
          <w:p w14:paraId="7FE956F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1.40 (0.58 to 3.40)</w:t>
            </w:r>
          </w:p>
        </w:tc>
        <w:tc>
          <w:tcPr>
            <w:tcW w:w="568" w:type="pct"/>
            <w:tcBorders>
              <w:top w:val="nil"/>
              <w:left w:val="nil"/>
              <w:bottom w:val="nil"/>
              <w:right w:val="nil"/>
            </w:tcBorders>
            <w:shd w:val="clear" w:color="auto" w:fill="FFFFFF"/>
            <w:tcMar>
              <w:top w:w="55" w:type="dxa"/>
              <w:left w:w="55" w:type="dxa"/>
              <w:bottom w:w="55" w:type="dxa"/>
              <w:right w:w="55" w:type="dxa"/>
            </w:tcMar>
            <w:vAlign w:val="center"/>
          </w:tcPr>
          <w:p w14:paraId="67213F7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0.453</w:t>
            </w:r>
          </w:p>
        </w:tc>
      </w:tr>
      <w:tr w14:paraId="4523BBC0">
        <w:trPr>
          <w:trHeight w:val="193" w:hRule="atLeast"/>
          <w:jc w:val="center"/>
        </w:trPr>
        <w:tc>
          <w:tcPr>
            <w:tcW w:w="1951" w:type="pct"/>
            <w:tcBorders>
              <w:top w:val="nil"/>
              <w:left w:val="nil"/>
              <w:bottom w:val="nil"/>
              <w:right w:val="nil"/>
            </w:tcBorders>
            <w:shd w:val="clear" w:color="auto" w:fill="FFFFFF"/>
            <w:tcMar>
              <w:top w:w="55" w:type="dxa"/>
              <w:left w:w="55" w:type="dxa"/>
              <w:bottom w:w="55" w:type="dxa"/>
              <w:right w:w="55" w:type="dxa"/>
            </w:tcMar>
            <w:vAlign w:val="center"/>
          </w:tcPr>
          <w:p w14:paraId="462A6EE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Baseline not-low-ferritin subgroup</w:t>
            </w:r>
          </w:p>
        </w:tc>
        <w:tc>
          <w:tcPr>
            <w:tcW w:w="1319" w:type="pct"/>
            <w:tcBorders>
              <w:top w:val="nil"/>
              <w:left w:val="nil"/>
              <w:bottom w:val="nil"/>
              <w:right w:val="nil"/>
            </w:tcBorders>
            <w:shd w:val="clear" w:color="auto" w:fill="FFFFFF"/>
            <w:tcMar>
              <w:top w:w="55" w:type="dxa"/>
              <w:left w:w="55" w:type="dxa"/>
              <w:bottom w:w="55" w:type="dxa"/>
              <w:right w:w="55" w:type="dxa"/>
            </w:tcMar>
            <w:vAlign w:val="center"/>
          </w:tcPr>
          <w:p w14:paraId="71A9DA1A">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Iron fragility index</w:t>
            </w:r>
          </w:p>
        </w:tc>
        <w:tc>
          <w:tcPr>
            <w:tcW w:w="1160" w:type="pct"/>
            <w:tcBorders>
              <w:top w:val="nil"/>
              <w:left w:val="nil"/>
              <w:bottom w:val="nil"/>
              <w:right w:val="nil"/>
            </w:tcBorders>
            <w:shd w:val="clear" w:color="auto" w:fill="FFFFFF"/>
            <w:tcMar>
              <w:top w:w="55" w:type="dxa"/>
              <w:left w:w="55" w:type="dxa"/>
              <w:bottom w:w="55" w:type="dxa"/>
              <w:right w:w="55" w:type="dxa"/>
            </w:tcMar>
            <w:vAlign w:val="center"/>
          </w:tcPr>
          <w:p w14:paraId="56099B2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1.06 (0.98 to 1.14)</w:t>
            </w:r>
          </w:p>
        </w:tc>
        <w:tc>
          <w:tcPr>
            <w:tcW w:w="568" w:type="pct"/>
            <w:tcBorders>
              <w:top w:val="nil"/>
              <w:left w:val="nil"/>
              <w:bottom w:val="nil"/>
              <w:right w:val="nil"/>
            </w:tcBorders>
            <w:shd w:val="clear" w:color="auto" w:fill="FFFFFF"/>
            <w:tcMar>
              <w:top w:w="55" w:type="dxa"/>
              <w:left w:w="55" w:type="dxa"/>
              <w:bottom w:w="55" w:type="dxa"/>
              <w:right w:w="55" w:type="dxa"/>
            </w:tcMar>
            <w:vAlign w:val="center"/>
          </w:tcPr>
          <w:p w14:paraId="330310C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0.119</w:t>
            </w:r>
          </w:p>
        </w:tc>
      </w:tr>
      <w:tr w14:paraId="348278D1">
        <w:trPr>
          <w:trHeight w:val="193" w:hRule="atLeast"/>
          <w:jc w:val="center"/>
        </w:trPr>
        <w:tc>
          <w:tcPr>
            <w:tcW w:w="1951" w:type="pct"/>
            <w:tcBorders>
              <w:top w:val="nil"/>
              <w:left w:val="nil"/>
              <w:bottom w:val="nil"/>
              <w:right w:val="nil"/>
            </w:tcBorders>
            <w:shd w:val="clear" w:color="auto" w:fill="FFFFFF"/>
            <w:tcMar>
              <w:top w:w="55" w:type="dxa"/>
              <w:left w:w="55" w:type="dxa"/>
              <w:bottom w:w="55" w:type="dxa"/>
              <w:right w:w="55" w:type="dxa"/>
            </w:tcMar>
            <w:vAlign w:val="center"/>
          </w:tcPr>
          <w:p w14:paraId="6F4C6B96">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Baseline not-low-ferritin subgroup</w:t>
            </w:r>
          </w:p>
        </w:tc>
        <w:tc>
          <w:tcPr>
            <w:tcW w:w="1319" w:type="pct"/>
            <w:tcBorders>
              <w:top w:val="nil"/>
              <w:left w:val="nil"/>
              <w:bottom w:val="nil"/>
              <w:right w:val="nil"/>
            </w:tcBorders>
            <w:shd w:val="clear" w:color="auto" w:fill="FFFFFF"/>
            <w:tcMar>
              <w:top w:w="55" w:type="dxa"/>
              <w:left w:w="55" w:type="dxa"/>
              <w:bottom w:w="55" w:type="dxa"/>
              <w:right w:w="55" w:type="dxa"/>
            </w:tcMar>
            <w:vAlign w:val="center"/>
          </w:tcPr>
          <w:p w14:paraId="10E3A46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CV</w:t>
            </w:r>
          </w:p>
        </w:tc>
        <w:tc>
          <w:tcPr>
            <w:tcW w:w="1160" w:type="pct"/>
            <w:tcBorders>
              <w:top w:val="nil"/>
              <w:left w:val="nil"/>
              <w:bottom w:val="nil"/>
              <w:right w:val="nil"/>
            </w:tcBorders>
            <w:shd w:val="clear" w:color="auto" w:fill="FFFFFF"/>
            <w:tcMar>
              <w:top w:w="55" w:type="dxa"/>
              <w:left w:w="55" w:type="dxa"/>
              <w:bottom w:w="55" w:type="dxa"/>
              <w:right w:w="55" w:type="dxa"/>
            </w:tcMar>
            <w:vAlign w:val="center"/>
          </w:tcPr>
          <w:p w14:paraId="29BE98C8">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1.48 (0.77 to 2.83)</w:t>
            </w:r>
          </w:p>
        </w:tc>
        <w:tc>
          <w:tcPr>
            <w:tcW w:w="568" w:type="pct"/>
            <w:tcBorders>
              <w:top w:val="nil"/>
              <w:left w:val="nil"/>
              <w:bottom w:val="nil"/>
              <w:right w:val="nil"/>
            </w:tcBorders>
            <w:shd w:val="clear" w:color="auto" w:fill="FFFFFF"/>
            <w:tcMar>
              <w:top w:w="55" w:type="dxa"/>
              <w:left w:w="55" w:type="dxa"/>
              <w:bottom w:w="55" w:type="dxa"/>
              <w:right w:w="55" w:type="dxa"/>
            </w:tcMar>
            <w:vAlign w:val="center"/>
          </w:tcPr>
          <w:p w14:paraId="71D95B3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0.24</w:t>
            </w:r>
          </w:p>
        </w:tc>
      </w:tr>
      <w:tr w14:paraId="33C6760A">
        <w:trPr>
          <w:trHeight w:val="193" w:hRule="atLeast"/>
          <w:jc w:val="center"/>
        </w:trPr>
        <w:tc>
          <w:tcPr>
            <w:tcW w:w="1951" w:type="pct"/>
            <w:tcBorders>
              <w:top w:val="nil"/>
              <w:left w:val="nil"/>
              <w:bottom w:val="nil"/>
              <w:right w:val="nil"/>
            </w:tcBorders>
            <w:shd w:val="clear" w:color="auto" w:fill="FFFFFF"/>
            <w:tcMar>
              <w:top w:w="55" w:type="dxa"/>
              <w:left w:w="55" w:type="dxa"/>
              <w:bottom w:w="55" w:type="dxa"/>
              <w:right w:w="55" w:type="dxa"/>
            </w:tcMar>
            <w:vAlign w:val="center"/>
          </w:tcPr>
          <w:p w14:paraId="26EA7CE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Baseline not-low-ferritin subgroup</w:t>
            </w:r>
          </w:p>
        </w:tc>
        <w:tc>
          <w:tcPr>
            <w:tcW w:w="1319" w:type="pct"/>
            <w:tcBorders>
              <w:top w:val="nil"/>
              <w:left w:val="nil"/>
              <w:bottom w:val="nil"/>
              <w:right w:val="nil"/>
            </w:tcBorders>
            <w:shd w:val="clear" w:color="auto" w:fill="FFFFFF"/>
            <w:tcMar>
              <w:top w:w="55" w:type="dxa"/>
              <w:left w:w="55" w:type="dxa"/>
              <w:bottom w:w="55" w:type="dxa"/>
              <w:right w:w="55" w:type="dxa"/>
            </w:tcMar>
            <w:vAlign w:val="center"/>
          </w:tcPr>
          <w:p w14:paraId="5E67D50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slope</w:t>
            </w:r>
          </w:p>
        </w:tc>
        <w:tc>
          <w:tcPr>
            <w:tcW w:w="1160" w:type="pct"/>
            <w:tcBorders>
              <w:top w:val="nil"/>
              <w:left w:val="nil"/>
              <w:bottom w:val="nil"/>
              <w:right w:val="nil"/>
            </w:tcBorders>
            <w:shd w:val="clear" w:color="auto" w:fill="FFFFFF"/>
            <w:tcMar>
              <w:top w:w="55" w:type="dxa"/>
              <w:left w:w="55" w:type="dxa"/>
              <w:bottom w:w="55" w:type="dxa"/>
              <w:right w:w="55" w:type="dxa"/>
            </w:tcMar>
            <w:vAlign w:val="center"/>
          </w:tcPr>
          <w:p w14:paraId="3EFDB42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1.05 (0.38 to 2.87)</w:t>
            </w:r>
          </w:p>
        </w:tc>
        <w:tc>
          <w:tcPr>
            <w:tcW w:w="568" w:type="pct"/>
            <w:tcBorders>
              <w:top w:val="nil"/>
              <w:left w:val="nil"/>
              <w:bottom w:val="nil"/>
              <w:right w:val="nil"/>
            </w:tcBorders>
            <w:shd w:val="clear" w:color="auto" w:fill="FFFFFF"/>
            <w:tcMar>
              <w:top w:w="55" w:type="dxa"/>
              <w:left w:w="55" w:type="dxa"/>
              <w:bottom w:w="55" w:type="dxa"/>
              <w:right w:w="55" w:type="dxa"/>
            </w:tcMar>
            <w:vAlign w:val="center"/>
          </w:tcPr>
          <w:p w14:paraId="1C220BB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0.925</w:t>
            </w:r>
          </w:p>
        </w:tc>
      </w:tr>
      <w:tr w14:paraId="1F886551">
        <w:trPr>
          <w:trHeight w:val="193" w:hRule="atLeast"/>
          <w:jc w:val="center"/>
        </w:trPr>
        <w:tc>
          <w:tcPr>
            <w:tcW w:w="1951" w:type="pct"/>
            <w:tcBorders>
              <w:top w:val="nil"/>
              <w:left w:val="nil"/>
              <w:bottom w:val="nil"/>
              <w:right w:val="nil"/>
            </w:tcBorders>
            <w:shd w:val="clear" w:color="auto" w:fill="FFFFFF"/>
            <w:tcMar>
              <w:top w:w="55" w:type="dxa"/>
              <w:left w:w="55" w:type="dxa"/>
              <w:bottom w:w="55" w:type="dxa"/>
              <w:right w:w="55" w:type="dxa"/>
            </w:tcMar>
            <w:vAlign w:val="center"/>
          </w:tcPr>
          <w:p w14:paraId="5AF4533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Baseline not-low-ferritin subgroup</w:t>
            </w:r>
          </w:p>
        </w:tc>
        <w:tc>
          <w:tcPr>
            <w:tcW w:w="1319" w:type="pct"/>
            <w:tcBorders>
              <w:top w:val="nil"/>
              <w:left w:val="nil"/>
              <w:bottom w:val="nil"/>
              <w:right w:val="nil"/>
            </w:tcBorders>
            <w:shd w:val="clear" w:color="auto" w:fill="FFFFFF"/>
            <w:tcMar>
              <w:top w:w="55" w:type="dxa"/>
              <w:left w:w="55" w:type="dxa"/>
              <w:bottom w:w="55" w:type="dxa"/>
              <w:right w:w="55" w:type="dxa"/>
            </w:tcMar>
            <w:vAlign w:val="center"/>
          </w:tcPr>
          <w:p w14:paraId="679C6051">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Persistent low ferritin</w:t>
            </w:r>
          </w:p>
        </w:tc>
        <w:tc>
          <w:tcPr>
            <w:tcW w:w="1160" w:type="pct"/>
            <w:tcBorders>
              <w:top w:val="nil"/>
              <w:left w:val="nil"/>
              <w:bottom w:val="nil"/>
              <w:right w:val="nil"/>
            </w:tcBorders>
            <w:shd w:val="clear" w:color="auto" w:fill="FFFFFF"/>
            <w:tcMar>
              <w:top w:w="55" w:type="dxa"/>
              <w:left w:w="55" w:type="dxa"/>
              <w:bottom w:w="55" w:type="dxa"/>
              <w:right w:w="55" w:type="dxa"/>
            </w:tcMar>
            <w:vAlign w:val="center"/>
          </w:tcPr>
          <w:p w14:paraId="1A1FB84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2.05 (0.97 to 4.35)</w:t>
            </w:r>
          </w:p>
        </w:tc>
        <w:tc>
          <w:tcPr>
            <w:tcW w:w="568" w:type="pct"/>
            <w:tcBorders>
              <w:top w:val="nil"/>
              <w:left w:val="nil"/>
              <w:bottom w:val="nil"/>
              <w:right w:val="nil"/>
            </w:tcBorders>
            <w:shd w:val="clear" w:color="auto" w:fill="FFFFFF"/>
            <w:tcMar>
              <w:top w:w="55" w:type="dxa"/>
              <w:left w:w="55" w:type="dxa"/>
              <w:bottom w:w="55" w:type="dxa"/>
              <w:right w:w="55" w:type="dxa"/>
            </w:tcMar>
            <w:vAlign w:val="center"/>
          </w:tcPr>
          <w:p w14:paraId="61D8972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0.061</w:t>
            </w:r>
          </w:p>
        </w:tc>
      </w:tr>
      <w:tr w14:paraId="17A0FCEF">
        <w:trPr>
          <w:trHeight w:val="193" w:hRule="atLeast"/>
          <w:jc w:val="center"/>
        </w:trPr>
        <w:tc>
          <w:tcPr>
            <w:tcW w:w="1951" w:type="pct"/>
            <w:tcBorders>
              <w:top w:val="nil"/>
              <w:left w:val="nil"/>
              <w:bottom w:val="nil"/>
              <w:right w:val="nil"/>
            </w:tcBorders>
            <w:shd w:val="clear" w:color="auto" w:fill="FFFFFF"/>
            <w:tcMar>
              <w:top w:w="55" w:type="dxa"/>
              <w:left w:w="55" w:type="dxa"/>
              <w:bottom w:w="55" w:type="dxa"/>
              <w:right w:w="55" w:type="dxa"/>
            </w:tcMar>
            <w:vAlign w:val="center"/>
          </w:tcPr>
          <w:p w14:paraId="01709484">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Baseline non-anemia subgroup</w:t>
            </w:r>
          </w:p>
        </w:tc>
        <w:tc>
          <w:tcPr>
            <w:tcW w:w="1319" w:type="pct"/>
            <w:tcBorders>
              <w:top w:val="nil"/>
              <w:left w:val="nil"/>
              <w:bottom w:val="nil"/>
              <w:right w:val="nil"/>
            </w:tcBorders>
            <w:shd w:val="clear" w:color="auto" w:fill="FFFFFF"/>
            <w:tcMar>
              <w:top w:w="55" w:type="dxa"/>
              <w:left w:w="55" w:type="dxa"/>
              <w:bottom w:w="55" w:type="dxa"/>
              <w:right w:w="55" w:type="dxa"/>
            </w:tcMar>
            <w:vAlign w:val="center"/>
          </w:tcPr>
          <w:p w14:paraId="046EAB13">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Iron fragility index</w:t>
            </w:r>
          </w:p>
        </w:tc>
        <w:tc>
          <w:tcPr>
            <w:tcW w:w="1160" w:type="pct"/>
            <w:tcBorders>
              <w:top w:val="nil"/>
              <w:left w:val="nil"/>
              <w:bottom w:val="nil"/>
              <w:right w:val="nil"/>
            </w:tcBorders>
            <w:shd w:val="clear" w:color="auto" w:fill="FFFFFF"/>
            <w:tcMar>
              <w:top w:w="55" w:type="dxa"/>
              <w:left w:w="55" w:type="dxa"/>
              <w:bottom w:w="55" w:type="dxa"/>
              <w:right w:w="55" w:type="dxa"/>
            </w:tcMar>
            <w:vAlign w:val="center"/>
          </w:tcPr>
          <w:p w14:paraId="28BB8BE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1.05 (0.97 to 1.13)</w:t>
            </w:r>
          </w:p>
        </w:tc>
        <w:tc>
          <w:tcPr>
            <w:tcW w:w="568" w:type="pct"/>
            <w:tcBorders>
              <w:top w:val="nil"/>
              <w:left w:val="nil"/>
              <w:bottom w:val="nil"/>
              <w:right w:val="nil"/>
            </w:tcBorders>
            <w:shd w:val="clear" w:color="auto" w:fill="FFFFFF"/>
            <w:tcMar>
              <w:top w:w="55" w:type="dxa"/>
              <w:left w:w="55" w:type="dxa"/>
              <w:bottom w:w="55" w:type="dxa"/>
              <w:right w:w="55" w:type="dxa"/>
            </w:tcMar>
            <w:vAlign w:val="center"/>
          </w:tcPr>
          <w:p w14:paraId="4B32ECE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0.212</w:t>
            </w:r>
          </w:p>
        </w:tc>
      </w:tr>
      <w:tr w14:paraId="4AD9143D">
        <w:trPr>
          <w:trHeight w:val="193" w:hRule="atLeast"/>
          <w:jc w:val="center"/>
        </w:trPr>
        <w:tc>
          <w:tcPr>
            <w:tcW w:w="1951" w:type="pct"/>
            <w:tcBorders>
              <w:top w:val="nil"/>
              <w:left w:val="nil"/>
              <w:bottom w:val="nil"/>
              <w:right w:val="nil"/>
            </w:tcBorders>
            <w:shd w:val="clear" w:color="auto" w:fill="FFFFFF"/>
            <w:tcMar>
              <w:top w:w="55" w:type="dxa"/>
              <w:left w:w="55" w:type="dxa"/>
              <w:bottom w:w="55" w:type="dxa"/>
              <w:right w:w="55" w:type="dxa"/>
            </w:tcMar>
            <w:vAlign w:val="center"/>
          </w:tcPr>
          <w:p w14:paraId="02506779">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Baseline non-anemia subgroup</w:t>
            </w:r>
          </w:p>
        </w:tc>
        <w:tc>
          <w:tcPr>
            <w:tcW w:w="1319" w:type="pct"/>
            <w:tcBorders>
              <w:top w:val="nil"/>
              <w:left w:val="nil"/>
              <w:bottom w:val="nil"/>
              <w:right w:val="nil"/>
            </w:tcBorders>
            <w:shd w:val="clear" w:color="auto" w:fill="FFFFFF"/>
            <w:tcMar>
              <w:top w:w="55" w:type="dxa"/>
              <w:left w:w="55" w:type="dxa"/>
              <w:bottom w:w="55" w:type="dxa"/>
              <w:right w:w="55" w:type="dxa"/>
            </w:tcMar>
            <w:vAlign w:val="center"/>
          </w:tcPr>
          <w:p w14:paraId="4C1A529C">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CV</w:t>
            </w:r>
          </w:p>
        </w:tc>
        <w:tc>
          <w:tcPr>
            <w:tcW w:w="1160" w:type="pct"/>
            <w:tcBorders>
              <w:top w:val="nil"/>
              <w:left w:val="nil"/>
              <w:bottom w:val="nil"/>
              <w:right w:val="nil"/>
            </w:tcBorders>
            <w:shd w:val="clear" w:color="auto" w:fill="FFFFFF"/>
            <w:tcMar>
              <w:top w:w="55" w:type="dxa"/>
              <w:left w:w="55" w:type="dxa"/>
              <w:bottom w:w="55" w:type="dxa"/>
              <w:right w:w="55" w:type="dxa"/>
            </w:tcMar>
            <w:vAlign w:val="center"/>
          </w:tcPr>
          <w:p w14:paraId="3CAA31B0">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1.25 (0.71 to 2.21)</w:t>
            </w:r>
          </w:p>
        </w:tc>
        <w:tc>
          <w:tcPr>
            <w:tcW w:w="568" w:type="pct"/>
            <w:tcBorders>
              <w:top w:val="nil"/>
              <w:left w:val="nil"/>
              <w:bottom w:val="nil"/>
              <w:right w:val="nil"/>
            </w:tcBorders>
            <w:shd w:val="clear" w:color="auto" w:fill="FFFFFF"/>
            <w:tcMar>
              <w:top w:w="55" w:type="dxa"/>
              <w:left w:w="55" w:type="dxa"/>
              <w:bottom w:w="55" w:type="dxa"/>
              <w:right w:w="55" w:type="dxa"/>
            </w:tcMar>
            <w:vAlign w:val="center"/>
          </w:tcPr>
          <w:p w14:paraId="3E0C3614">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0.445</w:t>
            </w:r>
          </w:p>
        </w:tc>
      </w:tr>
      <w:tr w14:paraId="3CB3C406">
        <w:trPr>
          <w:trHeight w:val="193" w:hRule="atLeast"/>
          <w:jc w:val="center"/>
        </w:trPr>
        <w:tc>
          <w:tcPr>
            <w:tcW w:w="1951" w:type="pct"/>
            <w:tcBorders>
              <w:top w:val="nil"/>
              <w:left w:val="nil"/>
              <w:bottom w:val="nil"/>
              <w:right w:val="nil"/>
            </w:tcBorders>
            <w:shd w:val="clear" w:color="auto" w:fill="FFFFFF"/>
            <w:tcMar>
              <w:top w:w="55" w:type="dxa"/>
              <w:left w:w="55" w:type="dxa"/>
              <w:bottom w:w="55" w:type="dxa"/>
              <w:right w:w="55" w:type="dxa"/>
            </w:tcMar>
            <w:vAlign w:val="center"/>
          </w:tcPr>
          <w:p w14:paraId="3C85B16D">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Baseline non-anemia subgroup</w:t>
            </w:r>
          </w:p>
        </w:tc>
        <w:tc>
          <w:tcPr>
            <w:tcW w:w="1319" w:type="pct"/>
            <w:tcBorders>
              <w:top w:val="nil"/>
              <w:left w:val="nil"/>
              <w:bottom w:val="nil"/>
              <w:right w:val="nil"/>
            </w:tcBorders>
            <w:shd w:val="clear" w:color="auto" w:fill="FFFFFF"/>
            <w:tcMar>
              <w:top w:w="55" w:type="dxa"/>
              <w:left w:w="55" w:type="dxa"/>
              <w:bottom w:w="55" w:type="dxa"/>
              <w:right w:w="55" w:type="dxa"/>
            </w:tcMar>
            <w:vAlign w:val="center"/>
          </w:tcPr>
          <w:p w14:paraId="4425547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slope</w:t>
            </w:r>
          </w:p>
        </w:tc>
        <w:tc>
          <w:tcPr>
            <w:tcW w:w="1160" w:type="pct"/>
            <w:tcBorders>
              <w:top w:val="nil"/>
              <w:left w:val="nil"/>
              <w:bottom w:val="nil"/>
              <w:right w:val="nil"/>
            </w:tcBorders>
            <w:shd w:val="clear" w:color="auto" w:fill="FFFFFF"/>
            <w:tcMar>
              <w:top w:w="55" w:type="dxa"/>
              <w:left w:w="55" w:type="dxa"/>
              <w:bottom w:w="55" w:type="dxa"/>
              <w:right w:w="55" w:type="dxa"/>
            </w:tcMar>
            <w:vAlign w:val="center"/>
          </w:tcPr>
          <w:p w14:paraId="5F9D716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0.90 (0.37 to 2.23)</w:t>
            </w:r>
          </w:p>
        </w:tc>
        <w:tc>
          <w:tcPr>
            <w:tcW w:w="568" w:type="pct"/>
            <w:tcBorders>
              <w:top w:val="nil"/>
              <w:left w:val="nil"/>
              <w:bottom w:val="nil"/>
              <w:right w:val="nil"/>
            </w:tcBorders>
            <w:shd w:val="clear" w:color="auto" w:fill="FFFFFF"/>
            <w:tcMar>
              <w:top w:w="55" w:type="dxa"/>
              <w:left w:w="55" w:type="dxa"/>
              <w:bottom w:w="55" w:type="dxa"/>
              <w:right w:w="55" w:type="dxa"/>
            </w:tcMar>
            <w:vAlign w:val="center"/>
          </w:tcPr>
          <w:p w14:paraId="6CBE2193">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0.825</w:t>
            </w:r>
          </w:p>
        </w:tc>
      </w:tr>
      <w:tr w14:paraId="6E288A0E">
        <w:trPr>
          <w:trHeight w:val="193" w:hRule="atLeast"/>
          <w:jc w:val="center"/>
        </w:trPr>
        <w:tc>
          <w:tcPr>
            <w:tcW w:w="1951" w:type="pct"/>
            <w:tcBorders>
              <w:top w:val="nil"/>
              <w:left w:val="nil"/>
              <w:bottom w:val="nil"/>
              <w:right w:val="nil"/>
            </w:tcBorders>
            <w:shd w:val="clear" w:color="auto" w:fill="FFFFFF"/>
            <w:tcMar>
              <w:top w:w="55" w:type="dxa"/>
              <w:left w:w="55" w:type="dxa"/>
              <w:bottom w:w="55" w:type="dxa"/>
              <w:right w:w="55" w:type="dxa"/>
            </w:tcMar>
            <w:vAlign w:val="center"/>
          </w:tcPr>
          <w:p w14:paraId="3E810EBE">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Baseline non-anemia subgroup</w:t>
            </w:r>
          </w:p>
        </w:tc>
        <w:tc>
          <w:tcPr>
            <w:tcW w:w="1319" w:type="pct"/>
            <w:tcBorders>
              <w:top w:val="nil"/>
              <w:left w:val="nil"/>
              <w:bottom w:val="nil"/>
              <w:right w:val="nil"/>
            </w:tcBorders>
            <w:shd w:val="clear" w:color="auto" w:fill="FFFFFF"/>
            <w:tcMar>
              <w:top w:w="55" w:type="dxa"/>
              <w:left w:w="55" w:type="dxa"/>
              <w:bottom w:w="55" w:type="dxa"/>
              <w:right w:w="55" w:type="dxa"/>
            </w:tcMar>
            <w:vAlign w:val="center"/>
          </w:tcPr>
          <w:p w14:paraId="5FACA3D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Persistent low ferritin</w:t>
            </w:r>
          </w:p>
        </w:tc>
        <w:tc>
          <w:tcPr>
            <w:tcW w:w="1160" w:type="pct"/>
            <w:tcBorders>
              <w:top w:val="nil"/>
              <w:left w:val="nil"/>
              <w:bottom w:val="nil"/>
              <w:right w:val="nil"/>
            </w:tcBorders>
            <w:shd w:val="clear" w:color="auto" w:fill="FFFFFF"/>
            <w:tcMar>
              <w:top w:w="55" w:type="dxa"/>
              <w:left w:w="55" w:type="dxa"/>
              <w:bottom w:w="55" w:type="dxa"/>
              <w:right w:w="55" w:type="dxa"/>
            </w:tcMar>
            <w:vAlign w:val="center"/>
          </w:tcPr>
          <w:p w14:paraId="3F988292">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1.62 (0.95 to 2.74)</w:t>
            </w:r>
          </w:p>
        </w:tc>
        <w:tc>
          <w:tcPr>
            <w:tcW w:w="568" w:type="pct"/>
            <w:tcBorders>
              <w:top w:val="nil"/>
              <w:left w:val="nil"/>
              <w:bottom w:val="nil"/>
              <w:right w:val="nil"/>
            </w:tcBorders>
            <w:shd w:val="clear" w:color="auto" w:fill="FFFFFF"/>
            <w:tcMar>
              <w:top w:w="55" w:type="dxa"/>
              <w:left w:w="55" w:type="dxa"/>
              <w:bottom w:w="55" w:type="dxa"/>
              <w:right w:w="55" w:type="dxa"/>
            </w:tcMar>
            <w:vAlign w:val="center"/>
          </w:tcPr>
          <w:p w14:paraId="19BE5046">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0.074</w:t>
            </w:r>
          </w:p>
        </w:tc>
      </w:tr>
      <w:tr w14:paraId="47A60C07">
        <w:trPr>
          <w:trHeight w:val="193" w:hRule="atLeast"/>
          <w:jc w:val="center"/>
        </w:trPr>
        <w:tc>
          <w:tcPr>
            <w:tcW w:w="1951" w:type="pct"/>
            <w:tcBorders>
              <w:top w:val="nil"/>
              <w:left w:val="nil"/>
              <w:bottom w:val="nil"/>
              <w:right w:val="nil"/>
            </w:tcBorders>
            <w:shd w:val="clear" w:color="auto" w:fill="FFFFFF"/>
            <w:tcMar>
              <w:top w:w="55" w:type="dxa"/>
              <w:left w:w="55" w:type="dxa"/>
              <w:bottom w:w="55" w:type="dxa"/>
              <w:right w:w="55" w:type="dxa"/>
            </w:tcMar>
            <w:vAlign w:val="center"/>
          </w:tcPr>
          <w:p w14:paraId="76BE38E8">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Exclude baseline symptom</w:t>
            </w:r>
          </w:p>
        </w:tc>
        <w:tc>
          <w:tcPr>
            <w:tcW w:w="1319" w:type="pct"/>
            <w:tcBorders>
              <w:top w:val="nil"/>
              <w:left w:val="nil"/>
              <w:bottom w:val="nil"/>
              <w:right w:val="nil"/>
            </w:tcBorders>
            <w:shd w:val="clear" w:color="auto" w:fill="FFFFFF"/>
            <w:tcMar>
              <w:top w:w="55" w:type="dxa"/>
              <w:left w:w="55" w:type="dxa"/>
              <w:bottom w:w="55" w:type="dxa"/>
              <w:right w:w="55" w:type="dxa"/>
            </w:tcMar>
            <w:vAlign w:val="center"/>
          </w:tcPr>
          <w:p w14:paraId="55938CC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Iron fragility index</w:t>
            </w:r>
          </w:p>
        </w:tc>
        <w:tc>
          <w:tcPr>
            <w:tcW w:w="1160" w:type="pct"/>
            <w:tcBorders>
              <w:top w:val="nil"/>
              <w:left w:val="nil"/>
              <w:bottom w:val="nil"/>
              <w:right w:val="nil"/>
            </w:tcBorders>
            <w:shd w:val="clear" w:color="auto" w:fill="FFFFFF"/>
            <w:tcMar>
              <w:top w:w="55" w:type="dxa"/>
              <w:left w:w="55" w:type="dxa"/>
              <w:bottom w:w="55" w:type="dxa"/>
              <w:right w:w="55" w:type="dxa"/>
            </w:tcMar>
            <w:vAlign w:val="center"/>
          </w:tcPr>
          <w:p w14:paraId="03AEDE59">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1.02 (0.88 to 1.19)</w:t>
            </w:r>
          </w:p>
        </w:tc>
        <w:tc>
          <w:tcPr>
            <w:tcW w:w="568" w:type="pct"/>
            <w:tcBorders>
              <w:top w:val="nil"/>
              <w:left w:val="nil"/>
              <w:bottom w:val="nil"/>
              <w:right w:val="nil"/>
            </w:tcBorders>
            <w:shd w:val="clear" w:color="auto" w:fill="FFFFFF"/>
            <w:tcMar>
              <w:top w:w="55" w:type="dxa"/>
              <w:left w:w="55" w:type="dxa"/>
              <w:bottom w:w="55" w:type="dxa"/>
              <w:right w:w="55" w:type="dxa"/>
            </w:tcMar>
            <w:vAlign w:val="center"/>
          </w:tcPr>
          <w:p w14:paraId="4C0C2D2C">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0.772</w:t>
            </w:r>
          </w:p>
        </w:tc>
      </w:tr>
      <w:tr w14:paraId="348E1C33">
        <w:trPr>
          <w:trHeight w:val="193" w:hRule="atLeast"/>
          <w:jc w:val="center"/>
        </w:trPr>
        <w:tc>
          <w:tcPr>
            <w:tcW w:w="1951" w:type="pct"/>
            <w:tcBorders>
              <w:top w:val="nil"/>
              <w:left w:val="nil"/>
              <w:bottom w:val="nil"/>
              <w:right w:val="nil"/>
            </w:tcBorders>
            <w:shd w:val="clear" w:color="auto" w:fill="FFFFFF"/>
            <w:tcMar>
              <w:top w:w="55" w:type="dxa"/>
              <w:left w:w="55" w:type="dxa"/>
              <w:bottom w:w="55" w:type="dxa"/>
              <w:right w:w="55" w:type="dxa"/>
            </w:tcMar>
            <w:vAlign w:val="center"/>
          </w:tcPr>
          <w:p w14:paraId="64FB8F0B">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Exclude baseline symptom</w:t>
            </w:r>
          </w:p>
        </w:tc>
        <w:tc>
          <w:tcPr>
            <w:tcW w:w="1319" w:type="pct"/>
            <w:tcBorders>
              <w:top w:val="nil"/>
              <w:left w:val="nil"/>
              <w:bottom w:val="nil"/>
              <w:right w:val="nil"/>
            </w:tcBorders>
            <w:shd w:val="clear" w:color="auto" w:fill="FFFFFF"/>
            <w:tcMar>
              <w:top w:w="55" w:type="dxa"/>
              <w:left w:w="55" w:type="dxa"/>
              <w:bottom w:w="55" w:type="dxa"/>
              <w:right w:w="55" w:type="dxa"/>
            </w:tcMar>
            <w:vAlign w:val="center"/>
          </w:tcPr>
          <w:p w14:paraId="7C2B33A2">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CV</w:t>
            </w:r>
          </w:p>
        </w:tc>
        <w:tc>
          <w:tcPr>
            <w:tcW w:w="1160" w:type="pct"/>
            <w:tcBorders>
              <w:top w:val="nil"/>
              <w:left w:val="nil"/>
              <w:bottom w:val="nil"/>
              <w:right w:val="nil"/>
            </w:tcBorders>
            <w:shd w:val="clear" w:color="auto" w:fill="FFFFFF"/>
            <w:tcMar>
              <w:top w:w="55" w:type="dxa"/>
              <w:left w:w="55" w:type="dxa"/>
              <w:bottom w:w="55" w:type="dxa"/>
              <w:right w:w="55" w:type="dxa"/>
            </w:tcMar>
            <w:vAlign w:val="center"/>
          </w:tcPr>
          <w:p w14:paraId="527587D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1.49 (0.48 to 4.60)</w:t>
            </w:r>
          </w:p>
        </w:tc>
        <w:tc>
          <w:tcPr>
            <w:tcW w:w="568" w:type="pct"/>
            <w:tcBorders>
              <w:top w:val="nil"/>
              <w:left w:val="nil"/>
              <w:bottom w:val="nil"/>
              <w:right w:val="nil"/>
            </w:tcBorders>
            <w:shd w:val="clear" w:color="auto" w:fill="FFFFFF"/>
            <w:tcMar>
              <w:top w:w="55" w:type="dxa"/>
              <w:left w:w="55" w:type="dxa"/>
              <w:bottom w:w="55" w:type="dxa"/>
              <w:right w:w="55" w:type="dxa"/>
            </w:tcMar>
            <w:vAlign w:val="center"/>
          </w:tcPr>
          <w:p w14:paraId="279DB86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0.488</w:t>
            </w:r>
          </w:p>
        </w:tc>
      </w:tr>
      <w:tr w14:paraId="5E9BD880">
        <w:trPr>
          <w:trHeight w:val="193" w:hRule="atLeast"/>
          <w:jc w:val="center"/>
        </w:trPr>
        <w:tc>
          <w:tcPr>
            <w:tcW w:w="1951" w:type="pct"/>
            <w:tcBorders>
              <w:top w:val="nil"/>
              <w:left w:val="nil"/>
              <w:bottom w:val="nil"/>
              <w:right w:val="nil"/>
            </w:tcBorders>
            <w:shd w:val="clear" w:color="auto" w:fill="FFFFFF"/>
            <w:tcMar>
              <w:top w:w="55" w:type="dxa"/>
              <w:left w:w="55" w:type="dxa"/>
              <w:bottom w:w="55" w:type="dxa"/>
              <w:right w:w="55" w:type="dxa"/>
            </w:tcMar>
            <w:vAlign w:val="center"/>
          </w:tcPr>
          <w:p w14:paraId="5F17472F">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Exclude baseline symptom</w:t>
            </w:r>
          </w:p>
        </w:tc>
        <w:tc>
          <w:tcPr>
            <w:tcW w:w="1319" w:type="pct"/>
            <w:tcBorders>
              <w:top w:val="nil"/>
              <w:left w:val="nil"/>
              <w:bottom w:val="nil"/>
              <w:right w:val="nil"/>
            </w:tcBorders>
            <w:shd w:val="clear" w:color="auto" w:fill="FFFFFF"/>
            <w:tcMar>
              <w:top w:w="55" w:type="dxa"/>
              <w:left w:w="55" w:type="dxa"/>
              <w:bottom w:w="55" w:type="dxa"/>
              <w:right w:w="55" w:type="dxa"/>
            </w:tcMar>
            <w:vAlign w:val="center"/>
          </w:tcPr>
          <w:p w14:paraId="5AD27EC7">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Ferritin slope</w:t>
            </w:r>
          </w:p>
        </w:tc>
        <w:tc>
          <w:tcPr>
            <w:tcW w:w="1160" w:type="pct"/>
            <w:tcBorders>
              <w:top w:val="nil"/>
              <w:left w:val="nil"/>
              <w:bottom w:val="nil"/>
              <w:right w:val="nil"/>
            </w:tcBorders>
            <w:shd w:val="clear" w:color="auto" w:fill="FFFFFF"/>
            <w:tcMar>
              <w:top w:w="55" w:type="dxa"/>
              <w:left w:w="55" w:type="dxa"/>
              <w:bottom w:w="55" w:type="dxa"/>
              <w:right w:w="55" w:type="dxa"/>
            </w:tcMar>
            <w:vAlign w:val="center"/>
          </w:tcPr>
          <w:p w14:paraId="02AB3F71">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0.50 (0.06 to 4.06)</w:t>
            </w:r>
          </w:p>
        </w:tc>
        <w:tc>
          <w:tcPr>
            <w:tcW w:w="568" w:type="pct"/>
            <w:tcBorders>
              <w:top w:val="nil"/>
              <w:left w:val="nil"/>
              <w:bottom w:val="nil"/>
              <w:right w:val="nil"/>
            </w:tcBorders>
            <w:shd w:val="clear" w:color="auto" w:fill="FFFFFF"/>
            <w:tcMar>
              <w:top w:w="55" w:type="dxa"/>
              <w:left w:w="55" w:type="dxa"/>
              <w:bottom w:w="55" w:type="dxa"/>
              <w:right w:w="55" w:type="dxa"/>
            </w:tcMar>
            <w:vAlign w:val="center"/>
          </w:tcPr>
          <w:p w14:paraId="097BD00B">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0.52</w:t>
            </w:r>
          </w:p>
        </w:tc>
      </w:tr>
      <w:tr w14:paraId="41B0D17B">
        <w:trPr>
          <w:trHeight w:val="193" w:hRule="atLeast"/>
          <w:jc w:val="center"/>
        </w:trPr>
        <w:tc>
          <w:tcPr>
            <w:tcW w:w="1951"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E095BB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Exclude baseline symptom</w:t>
            </w:r>
          </w:p>
        </w:tc>
        <w:tc>
          <w:tcPr>
            <w:tcW w:w="1319"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8A66D65">
            <w:pPr>
              <w:keepNext w:val="0"/>
              <w:keepLines w:val="0"/>
              <w:widowControl/>
              <w:suppressLineNumbers w:val="0"/>
              <w:spacing w:before="0" w:after="0" w:line="240" w:lineRule="auto"/>
              <w:jc w:val="lef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Persistent low ferritin</w:t>
            </w:r>
          </w:p>
        </w:tc>
        <w:tc>
          <w:tcPr>
            <w:tcW w:w="1160"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DA547FD">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1.40 (0.58 to 3.40)</w:t>
            </w:r>
          </w:p>
        </w:tc>
        <w:tc>
          <w:tcPr>
            <w:tcW w:w="568"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C044C4A">
            <w:pPr>
              <w:keepNext w:val="0"/>
              <w:keepLines w:val="0"/>
              <w:widowControl/>
              <w:suppressLineNumbers w:val="0"/>
              <w:spacing w:before="0" w:after="0" w:line="240" w:lineRule="auto"/>
              <w:jc w:val="right"/>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7"/>
                <w:szCs w:val="22"/>
                <w:u w:val="none"/>
                <w:lang w:val="en-US" w:eastAsia="zh-CN" w:bidi="ar"/>
              </w:rPr>
              <w:t>0.453</w:t>
            </w:r>
          </w:p>
        </w:tc>
      </w:tr>
    </w:tbl>
    <w:p w14:paraId="5069A46D">
      <w:pPr>
        <w:spacing w:before="0" w:after="120" w:line="240" w:lineRule="auto"/>
        <w:rPr>
          <w:rFonts w:hint="default" w:ascii="Times New Roman Regular" w:hAnsi="Times New Roman Regular" w:cs="Times New Roman Regular"/>
          <w:b w:val="0"/>
          <w:bCs w:val="0"/>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b w:val="0"/>
          <w:bCs w:val="0"/>
          <w:sz w:val="20"/>
          <w:szCs w:val="22"/>
          <w:lang w:val="en-US" w:eastAsia="zh-CN"/>
        </w:rPr>
        <w:t xml:space="preserve">Odds ratios (ORs), 95% confidence intervals (CIs), and P values are shown from reverse-causation analyses of any asthma-like symptom across dynamic iron-related measures. Analyses included baseline-normal subgroup restrictions and exclusion of baseline symptom burden, as specified in the table. Dynamic iron-related measures included the iron fragility index (IFI), ferritin coefficient of variation (CV), ferritin slope, and persistent low ferritin. Models used the same Hb-adjusted generalized estimating equation framework as the primary symptom analyses. </w:t>
      </w:r>
    </w:p>
    <w:p w14:paraId="54A1A0AF">
      <w:pPr>
        <w:spacing w:before="0" w:after="0" w:line="240" w:lineRule="auto"/>
        <w:rPr>
          <w:rFonts w:hint="default" w:ascii="Times New Roman Regular" w:hAnsi="Times New Roman Regular" w:cs="Times New Roman Regular"/>
          <w:b w:val="0"/>
          <w:bCs w:val="0"/>
          <w:sz w:val="22"/>
          <w:szCs w:val="22"/>
          <w:lang w:val="en-US" w:eastAsia="zh-CN"/>
        </w:rPr>
      </w:pPr>
      <w:r>
        <w:rPr>
          <w:rFonts w:hint="default" w:ascii="Times New Roman Regular" w:hAnsi="Times New Roman Regular" w:cs="Times New Roman Regular"/>
          <w:b w:val="0"/>
          <w:bCs w:val="0"/>
          <w:sz w:val="22"/>
          <w:szCs w:val="22"/>
          <w:lang w:val="en-US" w:eastAsia="zh-CN"/>
        </w:rPr>
        <w:br w:type="page"/>
      </w:r>
    </w:p>
    <w:p w14:paraId="0C3766AA">
      <w:pPr>
        <w:pStyle w:val="2"/>
        <w:keepNext/>
        <w:spacing w:before="0" w:after="120" w:line="240" w:lineRule="auto"/>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S81. Smokers-only association between ferritin variability and repeated FEV₁</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51"/>
        <w:gridCol w:w="4482"/>
        <w:gridCol w:w="2245"/>
        <w:gridCol w:w="3157"/>
        <w:gridCol w:w="1231"/>
      </w:tblGrid>
      <w:tr w14:paraId="719C3BF6">
        <w:trPr>
          <w:trHeight w:val="193" w:hRule="atLeast"/>
          <w:tblHeader/>
          <w:jc w:val="center"/>
        </w:trPr>
        <w:tc>
          <w:tcPr>
            <w:tcW w:w="1131" w:type="pct"/>
            <w:tcBorders>
              <w:top w:val="single" w:color="000000" w:sz="12" w:space="0"/>
              <w:left w:val="nil"/>
              <w:bottom w:val="single" w:color="000000" w:sz="4" w:space="0"/>
              <w:right w:val="nil"/>
              <w:tl2br w:val="nil"/>
            </w:tcBorders>
            <w:shd w:val="clear" w:color="auto" w:fill="EAF2F8"/>
            <w:noWrap/>
            <w:tcMar>
              <w:top w:w="55" w:type="dxa"/>
              <w:left w:w="55" w:type="dxa"/>
              <w:bottom w:w="55" w:type="dxa"/>
              <w:right w:w="55" w:type="dxa"/>
            </w:tcMar>
            <w:vAlign w:val="center"/>
          </w:tcPr>
          <w:p w14:paraId="59A84D5D">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Exposure</w:t>
            </w:r>
          </w:p>
        </w:tc>
        <w:tc>
          <w:tcPr>
            <w:tcW w:w="1559" w:type="pct"/>
            <w:tcBorders>
              <w:top w:val="single" w:color="000000" w:sz="12" w:space="0"/>
              <w:left w:val="nil"/>
              <w:bottom w:val="single" w:color="000000" w:sz="4" w:space="0"/>
              <w:right w:val="nil"/>
            </w:tcBorders>
            <w:shd w:val="clear" w:color="auto" w:fill="EAF2F8"/>
            <w:noWrap/>
            <w:tcMar>
              <w:top w:w="55" w:type="dxa"/>
              <w:left w:w="55" w:type="dxa"/>
              <w:bottom w:w="55" w:type="dxa"/>
              <w:right w:w="55" w:type="dxa"/>
            </w:tcMar>
            <w:vAlign w:val="center"/>
          </w:tcPr>
          <w:p w14:paraId="4A042A0A">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Model</w:t>
            </w:r>
          </w:p>
        </w:tc>
        <w:tc>
          <w:tcPr>
            <w:tcW w:w="781" w:type="pct"/>
            <w:tcBorders>
              <w:top w:val="single" w:color="000000" w:sz="12" w:space="0"/>
              <w:left w:val="nil"/>
              <w:bottom w:val="single" w:color="000000" w:sz="4" w:space="0"/>
              <w:right w:val="nil"/>
            </w:tcBorders>
            <w:shd w:val="clear" w:color="auto" w:fill="EAF2F8"/>
            <w:noWrap/>
            <w:tcMar>
              <w:top w:w="55" w:type="dxa"/>
              <w:left w:w="55" w:type="dxa"/>
              <w:bottom w:w="55" w:type="dxa"/>
              <w:right w:w="55" w:type="dxa"/>
            </w:tcMar>
            <w:vAlign w:val="center"/>
          </w:tcPr>
          <w:p w14:paraId="674AC2DA">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term</w:t>
            </w:r>
          </w:p>
        </w:tc>
        <w:tc>
          <w:tcPr>
            <w:tcW w:w="1098" w:type="pct"/>
            <w:tcBorders>
              <w:top w:val="single" w:color="000000" w:sz="12" w:space="0"/>
              <w:left w:val="nil"/>
              <w:bottom w:val="single" w:color="000000" w:sz="4" w:space="0"/>
              <w:right w:val="nil"/>
            </w:tcBorders>
            <w:shd w:val="clear" w:color="auto" w:fill="EAF2F8"/>
            <w:noWrap/>
            <w:tcMar>
              <w:top w:w="55" w:type="dxa"/>
              <w:left w:w="55" w:type="dxa"/>
              <w:bottom w:w="55" w:type="dxa"/>
              <w:right w:w="55" w:type="dxa"/>
            </w:tcMar>
            <w:vAlign w:val="center"/>
          </w:tcPr>
          <w:p w14:paraId="6FF99B22">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Beta (95% CI)</w:t>
            </w:r>
          </w:p>
        </w:tc>
        <w:tc>
          <w:tcPr>
            <w:tcW w:w="428" w:type="pct"/>
            <w:tcBorders>
              <w:top w:val="single" w:color="000000" w:sz="12" w:space="0"/>
              <w:left w:val="nil"/>
              <w:bottom w:val="single" w:color="000000" w:sz="4" w:space="0"/>
              <w:right w:val="nil"/>
            </w:tcBorders>
            <w:shd w:val="clear" w:color="auto" w:fill="EAF2F8"/>
            <w:noWrap/>
            <w:tcMar>
              <w:top w:w="55" w:type="dxa"/>
              <w:left w:w="55" w:type="dxa"/>
              <w:bottom w:w="55" w:type="dxa"/>
              <w:right w:w="55" w:type="dxa"/>
            </w:tcMar>
            <w:vAlign w:val="center"/>
          </w:tcPr>
          <w:p w14:paraId="2BA90155">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P value</w:t>
            </w:r>
          </w:p>
        </w:tc>
      </w:tr>
      <w:tr w14:paraId="6A8FF990">
        <w:trPr>
          <w:trHeight w:val="193" w:hRule="atLeast"/>
          <w:jc w:val="center"/>
        </w:trPr>
        <w:tc>
          <w:tcPr>
            <w:tcW w:w="1131" w:type="pct"/>
            <w:tcBorders>
              <w:top w:val="single" w:color="000000" w:sz="4" w:space="0"/>
              <w:left w:val="nil"/>
              <w:bottom w:val="nil"/>
              <w:right w:val="nil"/>
            </w:tcBorders>
            <w:shd w:val="clear" w:color="auto" w:fill="FFFFFF"/>
            <w:noWrap/>
            <w:tcMar>
              <w:top w:w="55" w:type="dxa"/>
              <w:left w:w="55" w:type="dxa"/>
              <w:bottom w:w="55" w:type="dxa"/>
              <w:right w:w="55" w:type="dxa"/>
            </w:tcMar>
            <w:vAlign w:val="center"/>
          </w:tcPr>
          <w:p w14:paraId="14CAA5EF">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Ferritin variability (CV)</w:t>
            </w:r>
          </w:p>
        </w:tc>
        <w:tc>
          <w:tcPr>
            <w:tcW w:w="1559" w:type="pct"/>
            <w:tcBorders>
              <w:top w:val="single" w:color="000000" w:sz="4" w:space="0"/>
              <w:left w:val="nil"/>
              <w:bottom w:val="nil"/>
              <w:right w:val="nil"/>
            </w:tcBorders>
            <w:shd w:val="clear" w:color="auto" w:fill="FFFFFF"/>
            <w:noWrap/>
            <w:tcMar>
              <w:top w:w="55" w:type="dxa"/>
              <w:left w:w="55" w:type="dxa"/>
              <w:bottom w:w="55" w:type="dxa"/>
              <w:right w:w="55" w:type="dxa"/>
            </w:tcMar>
            <w:vAlign w:val="center"/>
          </w:tcPr>
          <w:p w14:paraId="789C35C8">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Smokers only: CV -&gt; FEV</w:t>
            </w:r>
          </w:p>
        </w:tc>
        <w:tc>
          <w:tcPr>
            <w:tcW w:w="781" w:type="pct"/>
            <w:tcBorders>
              <w:top w:val="single" w:color="000000" w:sz="4" w:space="0"/>
              <w:left w:val="nil"/>
              <w:bottom w:val="nil"/>
              <w:right w:val="nil"/>
            </w:tcBorders>
            <w:shd w:val="clear" w:color="auto" w:fill="FFFFFF"/>
            <w:noWrap/>
            <w:tcMar>
              <w:top w:w="55" w:type="dxa"/>
              <w:left w:w="55" w:type="dxa"/>
              <w:bottom w:w="55" w:type="dxa"/>
              <w:right w:w="55" w:type="dxa"/>
            </w:tcMar>
            <w:vAlign w:val="center"/>
          </w:tcPr>
          <w:p w14:paraId="50255515">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ferritin_cv</w:t>
            </w:r>
          </w:p>
        </w:tc>
        <w:tc>
          <w:tcPr>
            <w:tcW w:w="1098" w:type="pct"/>
            <w:tcBorders>
              <w:top w:val="single" w:color="000000" w:sz="4" w:space="0"/>
              <w:left w:val="nil"/>
              <w:bottom w:val="nil"/>
              <w:right w:val="nil"/>
            </w:tcBorders>
            <w:shd w:val="clear" w:color="auto" w:fill="FFFFFF"/>
            <w:noWrap/>
            <w:tcMar>
              <w:top w:w="55" w:type="dxa"/>
              <w:left w:w="55" w:type="dxa"/>
              <w:bottom w:w="55" w:type="dxa"/>
              <w:right w:w="55" w:type="dxa"/>
            </w:tcMar>
            <w:vAlign w:val="center"/>
          </w:tcPr>
          <w:p w14:paraId="17DF2932">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-0.440 (-0.724, -0.156)</w:t>
            </w:r>
          </w:p>
        </w:tc>
        <w:tc>
          <w:tcPr>
            <w:tcW w:w="428" w:type="pct"/>
            <w:tcBorders>
              <w:top w:val="single" w:color="000000" w:sz="4" w:space="0"/>
              <w:left w:val="nil"/>
              <w:bottom w:val="nil"/>
              <w:right w:val="nil"/>
            </w:tcBorders>
            <w:shd w:val="clear" w:color="auto" w:fill="FFFFFF"/>
            <w:noWrap/>
            <w:tcMar>
              <w:top w:w="55" w:type="dxa"/>
              <w:left w:w="55" w:type="dxa"/>
              <w:bottom w:w="55" w:type="dxa"/>
              <w:right w:w="55" w:type="dxa"/>
            </w:tcMar>
            <w:vAlign w:val="center"/>
          </w:tcPr>
          <w:p w14:paraId="3D0ED5EA">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0.002</w:t>
            </w:r>
          </w:p>
        </w:tc>
      </w:tr>
      <w:tr w14:paraId="68EFBE14">
        <w:trPr>
          <w:trHeight w:val="193" w:hRule="atLeast"/>
          <w:jc w:val="center"/>
        </w:trPr>
        <w:tc>
          <w:tcPr>
            <w:tcW w:w="1131" w:type="pct"/>
            <w:tcBorders>
              <w:top w:val="nil"/>
              <w:left w:val="nil"/>
              <w:bottom w:val="nil"/>
              <w:right w:val="nil"/>
            </w:tcBorders>
            <w:shd w:val="clear" w:color="auto" w:fill="FFFFFF"/>
            <w:noWrap/>
            <w:tcMar>
              <w:top w:w="55" w:type="dxa"/>
              <w:left w:w="55" w:type="dxa"/>
              <w:bottom w:w="55" w:type="dxa"/>
              <w:right w:w="55" w:type="dxa"/>
            </w:tcMar>
            <w:vAlign w:val="center"/>
          </w:tcPr>
          <w:p w14:paraId="04B48B10">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Ferritin variability (CV)</w:t>
            </w:r>
          </w:p>
        </w:tc>
        <w:tc>
          <w:tcPr>
            <w:tcW w:w="1559" w:type="pct"/>
            <w:tcBorders>
              <w:top w:val="nil"/>
              <w:left w:val="nil"/>
              <w:bottom w:val="nil"/>
              <w:right w:val="nil"/>
            </w:tcBorders>
            <w:shd w:val="clear" w:color="auto" w:fill="FFFFFF"/>
            <w:noWrap/>
            <w:tcMar>
              <w:top w:w="55" w:type="dxa"/>
              <w:left w:w="55" w:type="dxa"/>
              <w:bottom w:w="55" w:type="dxa"/>
              <w:right w:w="55" w:type="dxa"/>
            </w:tcMar>
            <w:vAlign w:val="center"/>
          </w:tcPr>
          <w:p w14:paraId="7C8A8622">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Smokers only: CV -&gt; FEV</w:t>
            </w:r>
          </w:p>
        </w:tc>
        <w:tc>
          <w:tcPr>
            <w:tcW w:w="781" w:type="pct"/>
            <w:tcBorders>
              <w:top w:val="nil"/>
              <w:left w:val="nil"/>
              <w:bottom w:val="nil"/>
              <w:right w:val="nil"/>
            </w:tcBorders>
            <w:shd w:val="clear" w:color="auto" w:fill="FFFFFF"/>
            <w:noWrap/>
            <w:tcMar>
              <w:top w:w="55" w:type="dxa"/>
              <w:left w:w="55" w:type="dxa"/>
              <w:bottom w:w="55" w:type="dxa"/>
              <w:right w:w="55" w:type="dxa"/>
            </w:tcMar>
            <w:vAlign w:val="center"/>
          </w:tcPr>
          <w:p w14:paraId="02625BEE">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ferritin_cv:time_years</w:t>
            </w:r>
          </w:p>
        </w:tc>
        <w:tc>
          <w:tcPr>
            <w:tcW w:w="1098" w:type="pct"/>
            <w:tcBorders>
              <w:top w:val="nil"/>
              <w:left w:val="nil"/>
              <w:bottom w:val="nil"/>
              <w:right w:val="nil"/>
            </w:tcBorders>
            <w:shd w:val="clear" w:color="auto" w:fill="FFFFFF"/>
            <w:noWrap/>
            <w:tcMar>
              <w:top w:w="55" w:type="dxa"/>
              <w:left w:w="55" w:type="dxa"/>
              <w:bottom w:w="55" w:type="dxa"/>
              <w:right w:w="55" w:type="dxa"/>
            </w:tcMar>
            <w:vAlign w:val="center"/>
          </w:tcPr>
          <w:p w14:paraId="517C11E6">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0.023 (-0.006, 0.052)</w:t>
            </w:r>
          </w:p>
        </w:tc>
        <w:tc>
          <w:tcPr>
            <w:tcW w:w="428" w:type="pct"/>
            <w:tcBorders>
              <w:top w:val="nil"/>
              <w:left w:val="nil"/>
              <w:bottom w:val="nil"/>
              <w:right w:val="nil"/>
            </w:tcBorders>
            <w:shd w:val="clear" w:color="auto" w:fill="FFFFFF"/>
            <w:noWrap/>
            <w:tcMar>
              <w:top w:w="55" w:type="dxa"/>
              <w:left w:w="55" w:type="dxa"/>
              <w:bottom w:w="55" w:type="dxa"/>
              <w:right w:w="55" w:type="dxa"/>
            </w:tcMar>
            <w:vAlign w:val="center"/>
          </w:tcPr>
          <w:p w14:paraId="092D018A">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0.12</w:t>
            </w:r>
          </w:p>
        </w:tc>
      </w:tr>
      <w:tr w14:paraId="6DB7A08F">
        <w:trPr>
          <w:trHeight w:val="193" w:hRule="atLeast"/>
          <w:jc w:val="center"/>
        </w:trPr>
        <w:tc>
          <w:tcPr>
            <w:tcW w:w="1131" w:type="pct"/>
            <w:tcBorders>
              <w:top w:val="nil"/>
              <w:left w:val="nil"/>
              <w:bottom w:val="nil"/>
              <w:right w:val="nil"/>
            </w:tcBorders>
            <w:shd w:val="clear" w:color="auto" w:fill="FFFFFF"/>
            <w:noWrap/>
            <w:tcMar>
              <w:top w:w="55" w:type="dxa"/>
              <w:left w:w="55" w:type="dxa"/>
              <w:bottom w:w="55" w:type="dxa"/>
              <w:right w:w="55" w:type="dxa"/>
            </w:tcMar>
            <w:vAlign w:val="center"/>
          </w:tcPr>
          <w:p w14:paraId="0BE1DF2A">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Ferritin variability (CV)</w:t>
            </w:r>
          </w:p>
        </w:tc>
        <w:tc>
          <w:tcPr>
            <w:tcW w:w="1559" w:type="pct"/>
            <w:tcBorders>
              <w:top w:val="nil"/>
              <w:left w:val="nil"/>
              <w:bottom w:val="nil"/>
              <w:right w:val="nil"/>
            </w:tcBorders>
            <w:shd w:val="clear" w:color="auto" w:fill="FFFFFF"/>
            <w:noWrap/>
            <w:tcMar>
              <w:top w:w="55" w:type="dxa"/>
              <w:left w:w="55" w:type="dxa"/>
              <w:bottom w:w="55" w:type="dxa"/>
              <w:right w:w="55" w:type="dxa"/>
            </w:tcMar>
            <w:vAlign w:val="center"/>
          </w:tcPr>
          <w:p w14:paraId="059E02AD">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Smokers only: CV + Hb + CRP -&gt; FEV</w:t>
            </w:r>
          </w:p>
        </w:tc>
        <w:tc>
          <w:tcPr>
            <w:tcW w:w="781" w:type="pct"/>
            <w:tcBorders>
              <w:top w:val="nil"/>
              <w:left w:val="nil"/>
              <w:bottom w:val="nil"/>
              <w:right w:val="nil"/>
            </w:tcBorders>
            <w:shd w:val="clear" w:color="auto" w:fill="FFFFFF"/>
            <w:noWrap/>
            <w:tcMar>
              <w:top w:w="55" w:type="dxa"/>
              <w:left w:w="55" w:type="dxa"/>
              <w:bottom w:w="55" w:type="dxa"/>
              <w:right w:w="55" w:type="dxa"/>
            </w:tcMar>
            <w:vAlign w:val="center"/>
          </w:tcPr>
          <w:p w14:paraId="6E4CEB07">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ferritin_cv</w:t>
            </w:r>
          </w:p>
        </w:tc>
        <w:tc>
          <w:tcPr>
            <w:tcW w:w="1098" w:type="pct"/>
            <w:tcBorders>
              <w:top w:val="nil"/>
              <w:left w:val="nil"/>
              <w:bottom w:val="nil"/>
              <w:right w:val="nil"/>
            </w:tcBorders>
            <w:shd w:val="clear" w:color="auto" w:fill="FFFFFF"/>
            <w:noWrap/>
            <w:tcMar>
              <w:top w:w="55" w:type="dxa"/>
              <w:left w:w="55" w:type="dxa"/>
              <w:bottom w:w="55" w:type="dxa"/>
              <w:right w:w="55" w:type="dxa"/>
            </w:tcMar>
            <w:vAlign w:val="center"/>
          </w:tcPr>
          <w:p w14:paraId="1D40C2EE">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-0.440 (-0.724, -0.156)</w:t>
            </w:r>
          </w:p>
        </w:tc>
        <w:tc>
          <w:tcPr>
            <w:tcW w:w="428" w:type="pct"/>
            <w:tcBorders>
              <w:top w:val="nil"/>
              <w:left w:val="nil"/>
              <w:bottom w:val="nil"/>
              <w:right w:val="nil"/>
            </w:tcBorders>
            <w:shd w:val="clear" w:color="auto" w:fill="FFFFFF"/>
            <w:noWrap/>
            <w:tcMar>
              <w:top w:w="55" w:type="dxa"/>
              <w:left w:w="55" w:type="dxa"/>
              <w:bottom w:w="55" w:type="dxa"/>
              <w:right w:w="55" w:type="dxa"/>
            </w:tcMar>
            <w:vAlign w:val="center"/>
          </w:tcPr>
          <w:p w14:paraId="1D98386E">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0.002</w:t>
            </w:r>
          </w:p>
        </w:tc>
      </w:tr>
      <w:tr w14:paraId="2A4EB0ED">
        <w:trPr>
          <w:trHeight w:val="193" w:hRule="atLeast"/>
          <w:jc w:val="center"/>
        </w:trPr>
        <w:tc>
          <w:tcPr>
            <w:tcW w:w="1131" w:type="pct"/>
            <w:tcBorders>
              <w:top w:val="nil"/>
              <w:left w:val="nil"/>
              <w:bottom w:val="nil"/>
              <w:right w:val="nil"/>
            </w:tcBorders>
            <w:shd w:val="clear" w:color="auto" w:fill="FFFFFF"/>
            <w:noWrap/>
            <w:tcMar>
              <w:top w:w="55" w:type="dxa"/>
              <w:left w:w="55" w:type="dxa"/>
              <w:bottom w:w="55" w:type="dxa"/>
              <w:right w:w="55" w:type="dxa"/>
            </w:tcMar>
            <w:vAlign w:val="center"/>
          </w:tcPr>
          <w:p w14:paraId="5B619A8A">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Ferritin variability (CV)</w:t>
            </w:r>
          </w:p>
        </w:tc>
        <w:tc>
          <w:tcPr>
            <w:tcW w:w="1559" w:type="pct"/>
            <w:tcBorders>
              <w:top w:val="nil"/>
              <w:left w:val="nil"/>
              <w:bottom w:val="nil"/>
              <w:right w:val="nil"/>
            </w:tcBorders>
            <w:shd w:val="clear" w:color="auto" w:fill="FFFFFF"/>
            <w:noWrap/>
            <w:tcMar>
              <w:top w:w="55" w:type="dxa"/>
              <w:left w:w="55" w:type="dxa"/>
              <w:bottom w:w="55" w:type="dxa"/>
              <w:right w:w="55" w:type="dxa"/>
            </w:tcMar>
            <w:vAlign w:val="center"/>
          </w:tcPr>
          <w:p w14:paraId="5E881D9F">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Smokers only: CV + Hb + CRP -&gt; FEV</w:t>
            </w:r>
          </w:p>
        </w:tc>
        <w:tc>
          <w:tcPr>
            <w:tcW w:w="781" w:type="pct"/>
            <w:tcBorders>
              <w:top w:val="nil"/>
              <w:left w:val="nil"/>
              <w:bottom w:val="nil"/>
              <w:right w:val="nil"/>
            </w:tcBorders>
            <w:shd w:val="clear" w:color="auto" w:fill="FFFFFF"/>
            <w:noWrap/>
            <w:tcMar>
              <w:top w:w="55" w:type="dxa"/>
              <w:left w:w="55" w:type="dxa"/>
              <w:bottom w:w="55" w:type="dxa"/>
              <w:right w:w="55" w:type="dxa"/>
            </w:tcMar>
            <w:vAlign w:val="center"/>
          </w:tcPr>
          <w:p w14:paraId="02FF8EF9">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hgb</w:t>
            </w:r>
          </w:p>
        </w:tc>
        <w:tc>
          <w:tcPr>
            <w:tcW w:w="1098" w:type="pct"/>
            <w:tcBorders>
              <w:top w:val="nil"/>
              <w:left w:val="nil"/>
              <w:bottom w:val="nil"/>
              <w:right w:val="nil"/>
            </w:tcBorders>
            <w:shd w:val="clear" w:color="auto" w:fill="FFFFFF"/>
            <w:noWrap/>
            <w:tcMar>
              <w:top w:w="55" w:type="dxa"/>
              <w:left w:w="55" w:type="dxa"/>
              <w:bottom w:w="55" w:type="dxa"/>
              <w:right w:w="55" w:type="dxa"/>
            </w:tcMar>
            <w:vAlign w:val="center"/>
          </w:tcPr>
          <w:p w14:paraId="7454C1EB">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-0.022 (-0.054, 0.009)</w:t>
            </w:r>
          </w:p>
        </w:tc>
        <w:tc>
          <w:tcPr>
            <w:tcW w:w="428" w:type="pct"/>
            <w:tcBorders>
              <w:top w:val="nil"/>
              <w:left w:val="nil"/>
              <w:bottom w:val="nil"/>
              <w:right w:val="nil"/>
            </w:tcBorders>
            <w:shd w:val="clear" w:color="auto" w:fill="FFFFFF"/>
            <w:noWrap/>
            <w:tcMar>
              <w:top w:w="55" w:type="dxa"/>
              <w:left w:w="55" w:type="dxa"/>
              <w:bottom w:w="55" w:type="dxa"/>
              <w:right w:w="55" w:type="dxa"/>
            </w:tcMar>
            <w:vAlign w:val="center"/>
          </w:tcPr>
          <w:p w14:paraId="7EA33BBA">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0.167</w:t>
            </w:r>
          </w:p>
        </w:tc>
      </w:tr>
      <w:tr w14:paraId="67960743">
        <w:trPr>
          <w:trHeight w:val="193" w:hRule="atLeast"/>
          <w:jc w:val="center"/>
        </w:trPr>
        <w:tc>
          <w:tcPr>
            <w:tcW w:w="1131" w:type="pct"/>
            <w:tcBorders>
              <w:top w:val="nil"/>
              <w:left w:val="nil"/>
              <w:bottom w:val="nil"/>
              <w:right w:val="nil"/>
            </w:tcBorders>
            <w:shd w:val="clear" w:color="auto" w:fill="FFFFFF"/>
            <w:noWrap/>
            <w:tcMar>
              <w:top w:w="55" w:type="dxa"/>
              <w:left w:w="55" w:type="dxa"/>
              <w:bottom w:w="55" w:type="dxa"/>
              <w:right w:w="55" w:type="dxa"/>
            </w:tcMar>
            <w:vAlign w:val="center"/>
          </w:tcPr>
          <w:p w14:paraId="3CC828F9">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Ferritin variability (CV)</w:t>
            </w:r>
          </w:p>
        </w:tc>
        <w:tc>
          <w:tcPr>
            <w:tcW w:w="1559" w:type="pct"/>
            <w:tcBorders>
              <w:top w:val="nil"/>
              <w:left w:val="nil"/>
              <w:bottom w:val="nil"/>
              <w:right w:val="nil"/>
            </w:tcBorders>
            <w:shd w:val="clear" w:color="auto" w:fill="FFFFFF"/>
            <w:noWrap/>
            <w:tcMar>
              <w:top w:w="55" w:type="dxa"/>
              <w:left w:w="55" w:type="dxa"/>
              <w:bottom w:w="55" w:type="dxa"/>
              <w:right w:w="55" w:type="dxa"/>
            </w:tcMar>
            <w:vAlign w:val="center"/>
          </w:tcPr>
          <w:p w14:paraId="696798A7">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Smokers only: CV + Hb + CRP -&gt; FEV</w:t>
            </w:r>
          </w:p>
        </w:tc>
        <w:tc>
          <w:tcPr>
            <w:tcW w:w="781" w:type="pct"/>
            <w:tcBorders>
              <w:top w:val="nil"/>
              <w:left w:val="nil"/>
              <w:bottom w:val="nil"/>
              <w:right w:val="nil"/>
            </w:tcBorders>
            <w:shd w:val="clear" w:color="auto" w:fill="FFFFFF"/>
            <w:noWrap/>
            <w:tcMar>
              <w:top w:w="55" w:type="dxa"/>
              <w:left w:w="55" w:type="dxa"/>
              <w:bottom w:w="55" w:type="dxa"/>
              <w:right w:w="55" w:type="dxa"/>
            </w:tcMar>
            <w:vAlign w:val="center"/>
          </w:tcPr>
          <w:p w14:paraId="4954D838">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log_crp</w:t>
            </w:r>
          </w:p>
        </w:tc>
        <w:tc>
          <w:tcPr>
            <w:tcW w:w="1098" w:type="pct"/>
            <w:tcBorders>
              <w:top w:val="nil"/>
              <w:left w:val="nil"/>
              <w:bottom w:val="nil"/>
              <w:right w:val="nil"/>
            </w:tcBorders>
            <w:shd w:val="clear" w:color="auto" w:fill="FFFFFF"/>
            <w:noWrap/>
            <w:tcMar>
              <w:top w:w="55" w:type="dxa"/>
              <w:left w:w="55" w:type="dxa"/>
              <w:bottom w:w="55" w:type="dxa"/>
              <w:right w:w="55" w:type="dxa"/>
            </w:tcMar>
            <w:vAlign w:val="center"/>
          </w:tcPr>
          <w:p w14:paraId="7F99CAE8">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-0.060 (-0.089, -0.030)</w:t>
            </w:r>
          </w:p>
        </w:tc>
        <w:tc>
          <w:tcPr>
            <w:tcW w:w="428" w:type="pct"/>
            <w:tcBorders>
              <w:top w:val="nil"/>
              <w:left w:val="nil"/>
              <w:bottom w:val="nil"/>
              <w:right w:val="nil"/>
            </w:tcBorders>
            <w:shd w:val="clear" w:color="auto" w:fill="FFFFFF"/>
            <w:noWrap/>
            <w:tcMar>
              <w:top w:w="55" w:type="dxa"/>
              <w:left w:w="55" w:type="dxa"/>
              <w:bottom w:w="55" w:type="dxa"/>
              <w:right w:w="55" w:type="dxa"/>
            </w:tcMar>
            <w:vAlign w:val="center"/>
          </w:tcPr>
          <w:p w14:paraId="3704FF74">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&lt;0.001</w:t>
            </w:r>
          </w:p>
        </w:tc>
      </w:tr>
      <w:tr w14:paraId="0E5A056A">
        <w:trPr>
          <w:trHeight w:val="193" w:hRule="atLeast"/>
          <w:jc w:val="center"/>
        </w:trPr>
        <w:tc>
          <w:tcPr>
            <w:tcW w:w="1131"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720A49BA">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Ferritin variability (CV)</w:t>
            </w:r>
          </w:p>
        </w:tc>
        <w:tc>
          <w:tcPr>
            <w:tcW w:w="1559"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4BCDDAD6">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Smokers only: CV + Hb + CRP -&gt; FEV</w:t>
            </w:r>
          </w:p>
        </w:tc>
        <w:tc>
          <w:tcPr>
            <w:tcW w:w="781"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4F5BA6ED">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ferritin_cv:time_years</w:t>
            </w:r>
          </w:p>
        </w:tc>
        <w:tc>
          <w:tcPr>
            <w:tcW w:w="1098"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0A032A97">
            <w:pPr>
              <w:keepNext w:val="0"/>
              <w:keepLines w:val="0"/>
              <w:widowControl/>
              <w:suppressLineNumbers w:val="0"/>
              <w:spacing w:before="0" w:after="0" w:line="240" w:lineRule="auto"/>
              <w:jc w:val="lef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0.023 (-0.006, 0.052)</w:t>
            </w:r>
          </w:p>
        </w:tc>
        <w:tc>
          <w:tcPr>
            <w:tcW w:w="428" w:type="pct"/>
            <w:tcBorders>
              <w:top w:val="nil"/>
              <w:left w:val="nil"/>
              <w:bottom w:val="single" w:color="000000" w:sz="12" w:space="0"/>
              <w:right w:val="nil"/>
            </w:tcBorders>
            <w:shd w:val="clear" w:color="auto" w:fill="FFFFFF"/>
            <w:noWrap/>
            <w:tcMar>
              <w:top w:w="55" w:type="dxa"/>
              <w:left w:w="55" w:type="dxa"/>
              <w:bottom w:w="55" w:type="dxa"/>
              <w:right w:w="55" w:type="dxa"/>
            </w:tcMar>
            <w:vAlign w:val="center"/>
          </w:tcPr>
          <w:p w14:paraId="640E9F4D">
            <w:pPr>
              <w:keepNext w:val="0"/>
              <w:keepLines w:val="0"/>
              <w:widowControl/>
              <w:suppressLineNumbers w:val="0"/>
              <w:spacing w:before="0" w:after="0" w:line="240" w:lineRule="auto"/>
              <w:jc w:val="right"/>
              <w:textAlignment w:val="center"/>
              <w:rPr>
                <w:rFonts w:hint="default" w:ascii="Times New Roman Regular" w:hAnsi="Times New Roman Regular" w:eastAsia="宋体" w:cs="Times New Roman Regular"/>
                <w:b w:val="0"/>
                <w:i w:val="0"/>
                <w:iCs w:val="0"/>
                <w:color w:val="000000"/>
                <w:sz w:val="22"/>
                <w:szCs w:val="22"/>
                <w:u w:val="none"/>
              </w:rPr>
            </w:pPr>
            <w:r>
              <w:rPr>
                <w:rFonts w:hint="default" w:ascii="Times New Roman" w:hAnsi="Times New Roman" w:eastAsia="Times New Roman" w:cs="Times New Roman Regular"/>
                <w:b w:val="0"/>
                <w:i w:val="0"/>
                <w:iCs w:val="0"/>
                <w:color w:val="000000"/>
                <w:kern w:val="0"/>
                <w:sz w:val="16"/>
                <w:szCs w:val="22"/>
                <w:u w:val="none"/>
                <w:lang w:val="en-US" w:eastAsia="zh-CN" w:bidi="ar"/>
              </w:rPr>
              <w:t>0.12</w:t>
            </w:r>
          </w:p>
        </w:tc>
      </w:tr>
    </w:tbl>
    <w:p w14:paraId="511A3F2A">
      <w:pPr>
        <w:spacing w:before="0" w:after="120" w:line="240" w:lineRule="auto"/>
        <w:rPr>
          <w:rFonts w:hint="default" w:ascii="Times New Roman Regular" w:hAnsi="Times New Roman Regular" w:cs="Times New Roman Regular"/>
          <w:b w:val="0"/>
          <w:bCs w:val="0"/>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b w:val="0"/>
          <w:bCs w:val="0"/>
          <w:sz w:val="20"/>
          <w:szCs w:val="22"/>
          <w:lang w:val="en-US" w:eastAsia="zh-CN"/>
        </w:rPr>
        <w:t>Regression coefficients (β), 95% confidence intervals (CIs), and P values are shown from an Hb-adjusted linear mixed-effects model examining the association between ferritin coefficient of variation (CV) and repeated forced expiratory volume in 1 second (</w:t>
      </w:r>
      <w:r>
        <w:rPr>
          <w:rFonts w:hint="default" w:ascii="Times New Roman" w:hAnsi="Times New Roman" w:eastAsia="Times New Roman" w:cs="Times New Roman Regular"/>
          <w:sz w:val="20"/>
          <w:szCs w:val="22"/>
          <w:lang w:val="en-US" w:eastAsia="zh-CN"/>
        </w:rPr>
        <w:t>FEV₁</w:t>
      </w:r>
      <w:r>
        <w:rPr>
          <w:rFonts w:hint="default" w:ascii="Times New Roman" w:hAnsi="Times New Roman" w:eastAsia="Times New Roman" w:cs="Times New Roman Regular"/>
          <w:b w:val="0"/>
          <w:bCs w:val="0"/>
          <w:sz w:val="20"/>
          <w:szCs w:val="22"/>
          <w:lang w:val="en-US" w:eastAsia="zh-CN"/>
        </w:rPr>
        <w:t>) among current smokers only. The model was adjusted for age, sex, body mass index (BMI), log-transformed C-reactive protein (CRP), and hemoglobin (Hb), with participant-level random intercepts to account for repeated measurements. This analysis was performed as a supportive subgroup analysis to assess whether the ferritin CV–</w:t>
      </w:r>
      <w:r>
        <w:rPr>
          <w:rFonts w:hint="default" w:ascii="Times New Roman" w:hAnsi="Times New Roman" w:eastAsia="Times New Roman" w:cs="Times New Roman Regular"/>
          <w:sz w:val="20"/>
          <w:szCs w:val="22"/>
          <w:lang w:val="en-US" w:eastAsia="zh-CN"/>
        </w:rPr>
        <w:t>FEV₁</w:t>
      </w:r>
      <w:r>
        <w:rPr>
          <w:rFonts w:hint="default" w:ascii="Times New Roman" w:hAnsi="Times New Roman" w:eastAsia="Times New Roman" w:cs="Times New Roman Regular"/>
          <w:b w:val="0"/>
          <w:bCs w:val="0"/>
          <w:sz w:val="20"/>
          <w:szCs w:val="22"/>
          <w:lang w:val="en-US" w:eastAsia="zh-CN"/>
        </w:rPr>
        <w:t xml:space="preserve"> association was more evident in current smokers.</w:t>
      </w:r>
    </w:p>
    <w:p w14:paraId="1F13908C">
      <w:pPr>
        <w:spacing w:before="0" w:after="0" w:line="240" w:lineRule="auto"/>
        <w:rPr>
          <w:rFonts w:hint="default" w:ascii="Times New Roman Regular" w:hAnsi="Times New Roman Regular" w:cs="Times New Roman Regular"/>
          <w:b w:val="0"/>
          <w:bCs w:val="0"/>
          <w:sz w:val="22"/>
          <w:szCs w:val="22"/>
          <w:lang w:val="en-US" w:eastAsia="zh-CN"/>
        </w:rPr>
      </w:pPr>
      <w:r>
        <w:rPr>
          <w:rFonts w:hint="default" w:ascii="Times New Roman Regular" w:hAnsi="Times New Roman Regular" w:cs="Times New Roman Regular"/>
          <w:b w:val="0"/>
          <w:bCs w:val="0"/>
          <w:sz w:val="22"/>
          <w:szCs w:val="22"/>
          <w:lang w:val="en-US" w:eastAsia="zh-CN"/>
        </w:rPr>
        <w:br w:type="page"/>
      </w:r>
    </w:p>
    <w:p w14:paraId="147CDAFC">
      <w:pPr>
        <w:pStyle w:val="2"/>
        <w:keepNext/>
        <w:spacing w:before="0" w:after="120" w:line="240" w:lineRule="auto"/>
        <w:rPr>
          <w:rFonts w:hint="default" w:ascii="Times New Roman Regular" w:hAnsi="Times New Roman Regular" w:cs="Times New Roman Regular"/>
          <w:b/>
          <w:bCs/>
          <w:sz w:val="22"/>
          <w:szCs w:val="22"/>
          <w:lang w:val="en-US" w:eastAsia="zh-CN"/>
        </w:rPr>
      </w:pPr>
      <w:r>
        <w:rPr>
          <w:rFonts w:hint="default" w:ascii="Times New Roman" w:hAnsi="Times New Roman" w:eastAsia="Times New Roman" w:cs="Times New Roman Regular"/>
          <w:b/>
          <w:bCs/>
          <w:sz w:val="20"/>
          <w:szCs w:val="22"/>
          <w:lang w:val="en-US" w:eastAsia="zh-CN"/>
        </w:rPr>
        <w:t>Supplementary Table S82. Hb-adjusted restricted cubic spline main-effect comparisons for ferritin-related measures and repeated FEV₁</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50"/>
        <w:gridCol w:w="6874"/>
        <w:gridCol w:w="1317"/>
        <w:gridCol w:w="693"/>
        <w:gridCol w:w="1532"/>
      </w:tblGrid>
      <w:tr w14:paraId="6CDEC53E">
        <w:trPr>
          <w:trHeight w:val="193" w:hRule="atLeast"/>
          <w:tblHeader/>
          <w:jc w:val="center"/>
        </w:trPr>
        <w:tc>
          <w:tcPr>
            <w:tcW w:w="1374"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5893074">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Exposure</w:t>
            </w:r>
          </w:p>
        </w:tc>
        <w:tc>
          <w:tcPr>
            <w:tcW w:w="2391"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40E8601C">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Comparison</w:t>
            </w:r>
          </w:p>
        </w:tc>
        <w:tc>
          <w:tcPr>
            <w:tcW w:w="458"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6C8A5D36">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χ²</w:t>
            </w:r>
          </w:p>
        </w:tc>
        <w:tc>
          <w:tcPr>
            <w:tcW w:w="241"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3CEE5DD6">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df</w:t>
            </w:r>
          </w:p>
        </w:tc>
        <w:tc>
          <w:tcPr>
            <w:tcW w:w="533" w:type="pct"/>
            <w:tcBorders>
              <w:top w:val="single" w:color="000000" w:sz="12" w:space="0"/>
              <w:left w:val="nil"/>
              <w:bottom w:val="single" w:color="000000" w:sz="8" w:space="0"/>
              <w:right w:val="nil"/>
            </w:tcBorders>
            <w:shd w:val="clear" w:color="auto" w:fill="EAF2F8"/>
            <w:tcMar>
              <w:top w:w="55" w:type="dxa"/>
              <w:left w:w="55" w:type="dxa"/>
              <w:bottom w:w="55" w:type="dxa"/>
              <w:right w:w="55" w:type="dxa"/>
            </w:tcMar>
            <w:vAlign w:val="center"/>
          </w:tcPr>
          <w:p w14:paraId="219EEDDA">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b/>
                <w:i w:val="0"/>
                <w:iCs w:val="0"/>
                <w:color w:val="000000"/>
                <w:kern w:val="0"/>
                <w:sz w:val="16"/>
                <w:szCs w:val="22"/>
                <w:u w:val="none"/>
                <w:lang w:val="en-US" w:eastAsia="zh-CN" w:bidi="ar"/>
              </w:rPr>
              <w:t>P value</w:t>
            </w:r>
          </w:p>
        </w:tc>
      </w:tr>
      <w:tr w14:paraId="0D548D13">
        <w:trPr>
          <w:trHeight w:val="193" w:hRule="atLeast"/>
          <w:jc w:val="center"/>
        </w:trPr>
        <w:tc>
          <w:tcPr>
            <w:tcW w:w="1374"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93ADEEB">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Current ferritin (log-transformed)</w:t>
            </w:r>
          </w:p>
        </w:tc>
        <w:tc>
          <w:tcPr>
            <w:tcW w:w="2391"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3CBDDF42">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Linear vs restricted cubic spline main effect</w:t>
            </w:r>
          </w:p>
        </w:tc>
        <w:tc>
          <w:tcPr>
            <w:tcW w:w="458"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2C18DED4">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3.41</w:t>
            </w:r>
          </w:p>
        </w:tc>
        <w:tc>
          <w:tcPr>
            <w:tcW w:w="241"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559C0ED6">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w:t>
            </w:r>
          </w:p>
        </w:tc>
        <w:tc>
          <w:tcPr>
            <w:tcW w:w="533" w:type="pct"/>
            <w:tcBorders>
              <w:top w:val="single" w:color="000000" w:sz="8" w:space="0"/>
              <w:left w:val="nil"/>
              <w:bottom w:val="nil"/>
              <w:right w:val="nil"/>
            </w:tcBorders>
            <w:shd w:val="clear" w:color="auto" w:fill="FFFFFF"/>
            <w:tcMar>
              <w:top w:w="55" w:type="dxa"/>
              <w:left w:w="55" w:type="dxa"/>
              <w:bottom w:w="55" w:type="dxa"/>
              <w:right w:w="55" w:type="dxa"/>
            </w:tcMar>
            <w:vAlign w:val="center"/>
          </w:tcPr>
          <w:p w14:paraId="08C27B4A">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0.182</w:t>
            </w:r>
          </w:p>
        </w:tc>
      </w:tr>
      <w:tr w14:paraId="483A8A68">
        <w:trPr>
          <w:trHeight w:val="193" w:hRule="atLeast"/>
          <w:jc w:val="center"/>
        </w:trPr>
        <w:tc>
          <w:tcPr>
            <w:tcW w:w="1374" w:type="pct"/>
            <w:tcBorders>
              <w:top w:val="nil"/>
              <w:left w:val="nil"/>
              <w:bottom w:val="nil"/>
              <w:right w:val="nil"/>
            </w:tcBorders>
            <w:shd w:val="clear" w:color="auto" w:fill="FFFFFF"/>
            <w:tcMar>
              <w:top w:w="55" w:type="dxa"/>
              <w:left w:w="55" w:type="dxa"/>
              <w:bottom w:w="55" w:type="dxa"/>
              <w:right w:w="55" w:type="dxa"/>
            </w:tcMar>
            <w:vAlign w:val="center"/>
          </w:tcPr>
          <w:p w14:paraId="36086C27">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variability (CV)</w:t>
            </w:r>
          </w:p>
        </w:tc>
        <w:tc>
          <w:tcPr>
            <w:tcW w:w="2391" w:type="pct"/>
            <w:tcBorders>
              <w:top w:val="nil"/>
              <w:left w:val="nil"/>
              <w:bottom w:val="nil"/>
              <w:right w:val="nil"/>
            </w:tcBorders>
            <w:shd w:val="clear" w:color="auto" w:fill="FFFFFF"/>
            <w:tcMar>
              <w:top w:w="55" w:type="dxa"/>
              <w:left w:w="55" w:type="dxa"/>
              <w:bottom w:w="55" w:type="dxa"/>
              <w:right w:w="55" w:type="dxa"/>
            </w:tcMar>
            <w:vAlign w:val="center"/>
          </w:tcPr>
          <w:p w14:paraId="45E67760">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Linear vs restricted cubic spline main effect</w:t>
            </w:r>
          </w:p>
        </w:tc>
        <w:tc>
          <w:tcPr>
            <w:tcW w:w="458" w:type="pct"/>
            <w:tcBorders>
              <w:top w:val="nil"/>
              <w:left w:val="nil"/>
              <w:bottom w:val="nil"/>
              <w:right w:val="nil"/>
            </w:tcBorders>
            <w:shd w:val="clear" w:color="auto" w:fill="FFFFFF"/>
            <w:tcMar>
              <w:top w:w="55" w:type="dxa"/>
              <w:left w:w="55" w:type="dxa"/>
              <w:bottom w:w="55" w:type="dxa"/>
              <w:right w:w="55" w:type="dxa"/>
            </w:tcMar>
            <w:vAlign w:val="center"/>
          </w:tcPr>
          <w:p w14:paraId="6D74850B">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2.604</w:t>
            </w:r>
          </w:p>
        </w:tc>
        <w:tc>
          <w:tcPr>
            <w:tcW w:w="241" w:type="pct"/>
            <w:tcBorders>
              <w:top w:val="nil"/>
              <w:left w:val="nil"/>
              <w:bottom w:val="nil"/>
              <w:right w:val="nil"/>
            </w:tcBorders>
            <w:shd w:val="clear" w:color="auto" w:fill="FFFFFF"/>
            <w:tcMar>
              <w:top w:w="55" w:type="dxa"/>
              <w:left w:w="55" w:type="dxa"/>
              <w:bottom w:w="55" w:type="dxa"/>
              <w:right w:w="55" w:type="dxa"/>
            </w:tcMar>
            <w:vAlign w:val="center"/>
          </w:tcPr>
          <w:p w14:paraId="37529537">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w:t>
            </w:r>
          </w:p>
        </w:tc>
        <w:tc>
          <w:tcPr>
            <w:tcW w:w="533" w:type="pct"/>
            <w:tcBorders>
              <w:top w:val="nil"/>
              <w:left w:val="nil"/>
              <w:bottom w:val="nil"/>
              <w:right w:val="nil"/>
            </w:tcBorders>
            <w:shd w:val="clear" w:color="auto" w:fill="FFFFFF"/>
            <w:tcMar>
              <w:top w:w="55" w:type="dxa"/>
              <w:left w:w="55" w:type="dxa"/>
              <w:bottom w:w="55" w:type="dxa"/>
              <w:right w:w="55" w:type="dxa"/>
            </w:tcMar>
            <w:vAlign w:val="center"/>
          </w:tcPr>
          <w:p w14:paraId="70A501C2">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0.272</w:t>
            </w:r>
          </w:p>
        </w:tc>
      </w:tr>
      <w:tr w14:paraId="66D487F5">
        <w:trPr>
          <w:trHeight w:val="193" w:hRule="atLeast"/>
          <w:jc w:val="center"/>
        </w:trPr>
        <w:tc>
          <w:tcPr>
            <w:tcW w:w="1374"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9A5BAF8">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Ferritin slope</w:t>
            </w:r>
          </w:p>
        </w:tc>
        <w:tc>
          <w:tcPr>
            <w:tcW w:w="2391"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02770B50">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Linear vs restricted cubic spline main effect</w:t>
            </w:r>
          </w:p>
        </w:tc>
        <w:tc>
          <w:tcPr>
            <w:tcW w:w="458"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60545109">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8.445</w:t>
            </w:r>
          </w:p>
        </w:tc>
        <w:tc>
          <w:tcPr>
            <w:tcW w:w="241"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7E4D86E3">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2</w:t>
            </w:r>
          </w:p>
        </w:tc>
        <w:tc>
          <w:tcPr>
            <w:tcW w:w="533"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E345B8D">
            <w:pPr>
              <w:keepNext w:val="0"/>
              <w:keepLines w:val="0"/>
              <w:widowControl/>
              <w:suppressLineNumbers w:val="0"/>
              <w:spacing w:before="0" w:after="0" w:line="240" w:lineRule="auto"/>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w:hAnsi="Times New Roman" w:eastAsia="Times New Roman" w:cs="Times New Roman Regular"/>
                <w:i w:val="0"/>
                <w:iCs w:val="0"/>
                <w:color w:val="000000"/>
                <w:kern w:val="0"/>
                <w:sz w:val="16"/>
                <w:szCs w:val="22"/>
                <w:u w:val="none"/>
                <w:lang w:val="en-US" w:eastAsia="zh-CN" w:bidi="ar"/>
              </w:rPr>
              <w:t>0.015</w:t>
            </w:r>
          </w:p>
        </w:tc>
      </w:tr>
    </w:tbl>
    <w:p w14:paraId="54031086">
      <w:pPr>
        <w:spacing w:before="0" w:after="120" w:line="240" w:lineRule="auto"/>
        <w:rPr>
          <w:rFonts w:hint="default" w:ascii="Times New Roman Regular" w:hAnsi="Times New Roman Regular" w:cs="Times New Roman Regular"/>
          <w:b w:val="0"/>
          <w:bCs w:val="0"/>
          <w:sz w:val="22"/>
          <w:szCs w:val="22"/>
          <w:lang w:val="en-US" w:eastAsia="zh-CN"/>
        </w:rPr>
      </w:pPr>
      <w:r>
        <w:rPr>
          <w:rFonts w:hint="default" w:ascii="Times New Roman" w:hAnsi="Times New Roman" w:eastAsia="Times New Roman" w:cs="Times New Roman Regular"/>
          <w:b/>
          <w:bCs/>
          <w:sz w:val="20"/>
          <w:szCs w:val="22"/>
          <w:lang w:val="en-US" w:eastAsia="zh-CN"/>
        </w:rPr>
        <w:t>Footnote:</w:t>
      </w:r>
      <w:r>
        <w:rPr>
          <w:rFonts w:hint="default" w:ascii="Times New Roman" w:hAnsi="Times New Roman" w:eastAsia="Times New Roman" w:cs="Times New Roman Regular"/>
          <w:b/>
          <w:bCs/>
          <w:sz w:val="20"/>
          <w:szCs w:val="22"/>
          <w:lang w:val="en-US" w:eastAsia="zh-CN"/>
        </w:rPr>
        <w:br w:type="textWrapping"/>
      </w:r>
      <w:r>
        <w:rPr>
          <w:rFonts w:hint="default" w:ascii="Times New Roman" w:hAnsi="Times New Roman" w:eastAsia="Times New Roman" w:cs="Times New Roman Regular"/>
          <w:b w:val="0"/>
          <w:bCs w:val="0"/>
          <w:sz w:val="20"/>
          <w:szCs w:val="22"/>
          <w:lang w:val="en-US" w:eastAsia="zh-CN"/>
        </w:rPr>
        <w:t>Likelihood-ratio comparisons are shown for Hb-adjusted linear mixed-effects models evaluating whether restricted cubic spline (RCS) main-effect terms improved model fit relative to linear specifications for current ferritin level (log-transformed), ferritin coefficient of variation (CV), and ferritin slope in relation to repeated forced expiratory volume in 1 second (</w:t>
      </w:r>
      <w:r>
        <w:rPr>
          <w:rFonts w:hint="default" w:ascii="Times New Roman" w:hAnsi="Times New Roman" w:eastAsia="Times New Roman" w:cs="Times New Roman Regular"/>
          <w:sz w:val="20"/>
          <w:szCs w:val="22"/>
          <w:lang w:val="en-US" w:eastAsia="zh-CN"/>
        </w:rPr>
        <w:t>FEV₁</w:t>
      </w:r>
      <w:r>
        <w:rPr>
          <w:rFonts w:hint="default" w:ascii="Times New Roman" w:hAnsi="Times New Roman" w:eastAsia="Times New Roman" w:cs="Times New Roman Regular"/>
          <w:b w:val="0"/>
          <w:bCs w:val="0"/>
          <w:sz w:val="20"/>
          <w:szCs w:val="22"/>
          <w:lang w:val="en-US" w:eastAsia="zh-CN"/>
        </w:rPr>
        <w:t xml:space="preserve">). Reported statistics include chi-square (χ²), degrees of freedom (df), and P values. Models were adjusted for age, sex, smoking status, body mass index (BMI), log-transformed C-reactive protein (CRP), and hemoglobin (Hb), with participant-level random intercepts to account for repeated measurements. These analyses were used to assess whether the associations between ferritin-related measures and repeated </w:t>
      </w:r>
      <w:r>
        <w:rPr>
          <w:rFonts w:hint="default" w:ascii="Times New Roman" w:hAnsi="Times New Roman" w:eastAsia="Times New Roman" w:cs="Times New Roman Regular"/>
          <w:sz w:val="20"/>
          <w:szCs w:val="22"/>
          <w:lang w:val="en-US" w:eastAsia="zh-CN"/>
        </w:rPr>
        <w:t>FEV₁</w:t>
      </w:r>
      <w:r>
        <w:rPr>
          <w:rFonts w:hint="default" w:ascii="Times New Roman" w:hAnsi="Times New Roman" w:eastAsia="Times New Roman" w:cs="Times New Roman Regular"/>
          <w:b w:val="0"/>
          <w:bCs w:val="0"/>
          <w:sz w:val="20"/>
          <w:szCs w:val="22"/>
          <w:lang w:val="en-US" w:eastAsia="zh-CN"/>
        </w:rPr>
        <w:t xml:space="preserve"> departed from linearity.</w:t>
      </w:r>
    </w:p>
    <w:p w14:paraId="2190DD3E">
      <w:pPr>
        <w:spacing w:before="0" w:after="0" w:line="240" w:lineRule="auto"/>
        <w:rPr>
          <w:rFonts w:hint="default" w:ascii="Times New Roman Regular" w:hAnsi="Times New Roman Regular" w:cs="Times New Roman Regular"/>
          <w:b/>
          <w:bCs/>
          <w:sz w:val="22"/>
          <w:szCs w:val="22"/>
          <w:lang w:val="en-US" w:eastAsia="zh-CN"/>
        </w:rPr>
      </w:pPr>
    </w:p>
    <w:p w14:paraId="092F6A3D">
      <w:pPr>
        <w:spacing w:before="0" w:after="0" w:line="240" w:lineRule="auto"/>
        <w:rPr>
          <w:rFonts w:hint="default" w:ascii="Times New Roman Regular" w:hAnsi="Times New Roman Regular" w:cs="Times New Roman Regular"/>
          <w:sz w:val="22"/>
          <w:szCs w:val="22"/>
        </w:rPr>
      </w:pPr>
    </w:p>
    <w:p w14:paraId="06611F67">
      <w:pPr>
        <w:spacing w:before="0" w:after="0" w:line="240" w:lineRule="auto"/>
        <w:rPr>
          <w:rFonts w:hint="default" w:ascii="Times New Roman Regular" w:hAnsi="Times New Roman Regular" w:cs="Times New Roman Regular"/>
          <w:sz w:val="22"/>
          <w:szCs w:val="22"/>
        </w:rPr>
      </w:pPr>
    </w:p>
    <w:p w14:paraId="57880E01">
      <w:pPr>
        <w:spacing w:before="0" w:after="0" w:line="240" w:lineRule="auto"/>
        <w:rPr>
          <w:rFonts w:hint="default" w:ascii="Times New Roman Regular" w:hAnsi="Times New Roman Regular" w:cs="Times New Roman Regular"/>
          <w:sz w:val="22"/>
          <w:szCs w:val="22"/>
        </w:rPr>
      </w:pPr>
    </w:p>
    <w:p w14:paraId="1142E5E5">
      <w:pPr>
        <w:spacing w:before="0" w:after="0" w:line="240" w:lineRule="auto"/>
        <w:jc w:val="center"/>
        <w:rPr>
          <w:rFonts w:hint="default" w:ascii="Times New Roman Regular" w:hAnsi="Times New Roman Regular" w:cs="Times New Roman Regular"/>
          <w:sz w:val="22"/>
          <w:szCs w:val="22"/>
          <w:lang w:val="en-US" w:eastAsia="zh-CN"/>
        </w:rPr>
      </w:pPr>
    </w:p>
    <w:p w14:paraId="093B67CB">
      <w:pPr>
        <w:spacing w:before="0" w:after="0" w:line="240" w:lineRule="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br w:type="page"/>
      </w:r>
    </w:p>
    <w:p w14:paraId="5213F9BA">
      <w:pPr>
        <w:pStyle w:val="2"/>
        <w:keepNext/>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b/>
          <w:sz w:val="20"/>
          <w:szCs w:val="22"/>
          <w:lang w:val="en-US" w:eastAsia="zh-CN"/>
        </w:rPr>
        <w:t>Supplementary Table S8</w:t>
      </w:r>
      <w:r>
        <w:rPr>
          <w:rFonts w:hint="eastAsia" w:ascii="Times New Roman" w:hAnsi="Times New Roman" w:eastAsia="Times New Roman" w:cs="Times New Roman Regular"/>
          <w:b/>
          <w:sz w:val="20"/>
          <w:szCs w:val="22"/>
          <w:lang w:val="en-US" w:eastAsia="zh-CN"/>
        </w:rPr>
        <w:t>3</w:t>
      </w:r>
      <w:r>
        <w:rPr>
          <w:rFonts w:hint="default" w:ascii="Times New Roman" w:hAnsi="Times New Roman" w:eastAsia="Times New Roman" w:cs="Times New Roman Regular"/>
          <w:b/>
          <w:sz w:val="20"/>
          <w:szCs w:val="22"/>
        </w:rPr>
        <w:t>. Joint Hb- and CRP-adjusted models for repeated FEV1</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090"/>
        <w:gridCol w:w="4217"/>
        <w:gridCol w:w="3630"/>
        <w:gridCol w:w="1429"/>
      </w:tblGrid>
      <w:tr w14:paraId="74946C77">
        <w:trPr>
          <w:trHeight w:val="193" w:hRule="atLeast"/>
          <w:tblHeader/>
          <w:jc w:val="center"/>
        </w:trPr>
        <w:tc>
          <w:tcPr>
            <w:tcW w:w="1771" w:type="pct"/>
            <w:tcBorders>
              <w:top w:val="single" w:color="000000" w:sz="12" w:space="0"/>
              <w:left w:val="nil"/>
              <w:bottom w:val="single" w:color="000000" w:sz="4" w:space="0"/>
              <w:right w:val="nil"/>
              <w:tl2br w:val="nil"/>
            </w:tcBorders>
            <w:shd w:val="clear" w:color="auto" w:fill="EAF2F8"/>
            <w:tcMar>
              <w:top w:w="55" w:type="dxa"/>
              <w:left w:w="55" w:type="dxa"/>
              <w:bottom w:w="55" w:type="dxa"/>
              <w:right w:w="55" w:type="dxa"/>
            </w:tcMar>
            <w:vAlign w:val="center"/>
          </w:tcPr>
          <w:p w14:paraId="1B962AF0">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b/>
                <w:sz w:val="17"/>
                <w:szCs w:val="22"/>
                <w:lang w:val="en-US" w:eastAsia="zh-CN"/>
              </w:rPr>
              <w:t>Model</w:t>
            </w:r>
          </w:p>
        </w:tc>
        <w:tc>
          <w:tcPr>
            <w:tcW w:w="1467" w:type="pct"/>
            <w:tcBorders>
              <w:top w:val="single" w:color="000000" w:sz="12" w:space="0"/>
              <w:left w:val="nil"/>
              <w:bottom w:val="single" w:color="000000" w:sz="4" w:space="0"/>
              <w:right w:val="nil"/>
            </w:tcBorders>
            <w:shd w:val="clear" w:color="auto" w:fill="EAF2F8"/>
            <w:tcMar>
              <w:top w:w="55" w:type="dxa"/>
              <w:left w:w="55" w:type="dxa"/>
              <w:bottom w:w="55" w:type="dxa"/>
              <w:right w:w="55" w:type="dxa"/>
            </w:tcMar>
            <w:vAlign w:val="center"/>
          </w:tcPr>
          <w:p w14:paraId="74E62CA1">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b/>
                <w:sz w:val="17"/>
                <w:szCs w:val="22"/>
                <w:lang w:val="en-US" w:eastAsia="zh-CN"/>
              </w:rPr>
              <w:t>Term</w:t>
            </w:r>
          </w:p>
        </w:tc>
        <w:tc>
          <w:tcPr>
            <w:tcW w:w="1263" w:type="pct"/>
            <w:tcBorders>
              <w:top w:val="single" w:color="000000" w:sz="12" w:space="0"/>
              <w:left w:val="nil"/>
              <w:bottom w:val="single" w:color="000000" w:sz="4" w:space="0"/>
              <w:right w:val="nil"/>
            </w:tcBorders>
            <w:shd w:val="clear" w:color="auto" w:fill="EAF2F8"/>
            <w:tcMar>
              <w:top w:w="55" w:type="dxa"/>
              <w:left w:w="55" w:type="dxa"/>
              <w:bottom w:w="55" w:type="dxa"/>
              <w:right w:w="55" w:type="dxa"/>
            </w:tcMar>
            <w:vAlign w:val="center"/>
          </w:tcPr>
          <w:p w14:paraId="1AC66CD4">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b/>
                <w:sz w:val="17"/>
                <w:szCs w:val="22"/>
                <w:lang w:val="en-US" w:eastAsia="zh-CN"/>
              </w:rPr>
              <w:t>β (95% CI)</w:t>
            </w:r>
          </w:p>
        </w:tc>
        <w:tc>
          <w:tcPr>
            <w:tcW w:w="497" w:type="pct"/>
            <w:tcBorders>
              <w:top w:val="single" w:color="000000" w:sz="12" w:space="0"/>
              <w:left w:val="nil"/>
              <w:bottom w:val="single" w:color="000000" w:sz="4" w:space="0"/>
              <w:right w:val="nil"/>
            </w:tcBorders>
            <w:shd w:val="clear" w:color="auto" w:fill="EAF2F8"/>
            <w:tcMar>
              <w:top w:w="55" w:type="dxa"/>
              <w:left w:w="55" w:type="dxa"/>
              <w:bottom w:w="55" w:type="dxa"/>
              <w:right w:w="55" w:type="dxa"/>
            </w:tcMar>
            <w:vAlign w:val="center"/>
          </w:tcPr>
          <w:p w14:paraId="29322AB0">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b/>
                <w:sz w:val="17"/>
                <w:szCs w:val="22"/>
                <w:lang w:val="en-US" w:eastAsia="zh-CN"/>
              </w:rPr>
              <w:t>P value</w:t>
            </w:r>
          </w:p>
        </w:tc>
      </w:tr>
      <w:tr w14:paraId="4CEF9AAB">
        <w:trPr>
          <w:trHeight w:val="193" w:hRule="atLeast"/>
          <w:jc w:val="center"/>
        </w:trPr>
        <w:tc>
          <w:tcPr>
            <w:tcW w:w="1771" w:type="pct"/>
            <w:tcBorders>
              <w:top w:val="single" w:color="000000" w:sz="4" w:space="0"/>
              <w:left w:val="nil"/>
              <w:bottom w:val="nil"/>
              <w:right w:val="nil"/>
            </w:tcBorders>
            <w:shd w:val="clear" w:color="auto" w:fill="FFFFFF"/>
            <w:tcMar>
              <w:top w:w="55" w:type="dxa"/>
              <w:left w:w="55" w:type="dxa"/>
              <w:bottom w:w="55" w:type="dxa"/>
              <w:right w:w="55" w:type="dxa"/>
            </w:tcMar>
            <w:vAlign w:val="center"/>
          </w:tcPr>
          <w:p w14:paraId="7A18112C">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IFI + Hb + CRP</w:t>
            </w:r>
          </w:p>
        </w:tc>
        <w:tc>
          <w:tcPr>
            <w:tcW w:w="1467" w:type="pct"/>
            <w:tcBorders>
              <w:top w:val="single" w:color="000000" w:sz="4" w:space="0"/>
              <w:left w:val="nil"/>
              <w:bottom w:val="nil"/>
              <w:right w:val="nil"/>
            </w:tcBorders>
            <w:shd w:val="clear" w:color="auto" w:fill="FFFFFF"/>
            <w:tcMar>
              <w:top w:w="55" w:type="dxa"/>
              <w:left w:w="55" w:type="dxa"/>
              <w:bottom w:w="55" w:type="dxa"/>
              <w:right w:w="55" w:type="dxa"/>
            </w:tcMar>
            <w:vAlign w:val="center"/>
          </w:tcPr>
          <w:p w14:paraId="3EF6E91E">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Iron fragility index (IFI)</w:t>
            </w:r>
          </w:p>
        </w:tc>
        <w:tc>
          <w:tcPr>
            <w:tcW w:w="1263" w:type="pct"/>
            <w:tcBorders>
              <w:top w:val="single" w:color="000000" w:sz="4" w:space="0"/>
              <w:left w:val="nil"/>
              <w:bottom w:val="nil"/>
              <w:right w:val="nil"/>
            </w:tcBorders>
            <w:shd w:val="clear" w:color="auto" w:fill="FFFFFF"/>
            <w:tcMar>
              <w:top w:w="55" w:type="dxa"/>
              <w:left w:w="55" w:type="dxa"/>
              <w:bottom w:w="55" w:type="dxa"/>
              <w:right w:w="55" w:type="dxa"/>
            </w:tcMar>
            <w:vAlign w:val="center"/>
          </w:tcPr>
          <w:p w14:paraId="75445D53">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-0.028(-0.053 to -0.004)</w:t>
            </w:r>
          </w:p>
        </w:tc>
        <w:tc>
          <w:tcPr>
            <w:tcW w:w="497" w:type="pct"/>
            <w:tcBorders>
              <w:top w:val="single" w:color="000000" w:sz="4" w:space="0"/>
              <w:left w:val="nil"/>
              <w:bottom w:val="nil"/>
              <w:right w:val="nil"/>
            </w:tcBorders>
            <w:shd w:val="clear" w:color="auto" w:fill="FFFFFF"/>
            <w:tcMar>
              <w:top w:w="55" w:type="dxa"/>
              <w:left w:w="55" w:type="dxa"/>
              <w:bottom w:w="55" w:type="dxa"/>
              <w:right w:w="55" w:type="dxa"/>
            </w:tcMar>
            <w:vAlign w:val="center"/>
          </w:tcPr>
          <w:p w14:paraId="7F17CFEE">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0.023</w:t>
            </w:r>
          </w:p>
        </w:tc>
      </w:tr>
      <w:tr w14:paraId="49253D90">
        <w:trPr>
          <w:trHeight w:val="193" w:hRule="atLeast"/>
          <w:jc w:val="center"/>
        </w:trPr>
        <w:tc>
          <w:tcPr>
            <w:tcW w:w="1771" w:type="pct"/>
            <w:tcBorders>
              <w:top w:val="nil"/>
              <w:left w:val="nil"/>
              <w:bottom w:val="nil"/>
              <w:right w:val="nil"/>
            </w:tcBorders>
            <w:shd w:val="clear" w:color="auto" w:fill="FFFFFF"/>
            <w:tcMar>
              <w:top w:w="55" w:type="dxa"/>
              <w:left w:w="55" w:type="dxa"/>
              <w:bottom w:w="55" w:type="dxa"/>
              <w:right w:w="55" w:type="dxa"/>
            </w:tcMar>
            <w:vAlign w:val="center"/>
          </w:tcPr>
          <w:p w14:paraId="248842BB">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IFI + Hb + CRP</w:t>
            </w:r>
          </w:p>
        </w:tc>
        <w:tc>
          <w:tcPr>
            <w:tcW w:w="1467" w:type="pct"/>
            <w:tcBorders>
              <w:top w:val="nil"/>
              <w:left w:val="nil"/>
              <w:bottom w:val="nil"/>
              <w:right w:val="nil"/>
            </w:tcBorders>
            <w:shd w:val="clear" w:color="auto" w:fill="FFFFFF"/>
            <w:tcMar>
              <w:top w:w="55" w:type="dxa"/>
              <w:left w:w="55" w:type="dxa"/>
              <w:bottom w:w="55" w:type="dxa"/>
              <w:right w:w="55" w:type="dxa"/>
            </w:tcMar>
            <w:vAlign w:val="center"/>
          </w:tcPr>
          <w:p w14:paraId="21D9DA3A">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Hemoglobin</w:t>
            </w:r>
          </w:p>
        </w:tc>
        <w:tc>
          <w:tcPr>
            <w:tcW w:w="1263" w:type="pct"/>
            <w:tcBorders>
              <w:top w:val="nil"/>
              <w:left w:val="nil"/>
              <w:bottom w:val="nil"/>
              <w:right w:val="nil"/>
            </w:tcBorders>
            <w:shd w:val="clear" w:color="auto" w:fill="FFFFFF"/>
            <w:tcMar>
              <w:top w:w="55" w:type="dxa"/>
              <w:left w:w="55" w:type="dxa"/>
              <w:bottom w:w="55" w:type="dxa"/>
              <w:right w:w="55" w:type="dxa"/>
            </w:tcMar>
            <w:vAlign w:val="center"/>
          </w:tcPr>
          <w:p w14:paraId="2AA809F7">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-0.016 (-0.037 to 0.005)</w:t>
            </w:r>
          </w:p>
        </w:tc>
        <w:tc>
          <w:tcPr>
            <w:tcW w:w="497" w:type="pct"/>
            <w:tcBorders>
              <w:top w:val="nil"/>
              <w:left w:val="nil"/>
              <w:bottom w:val="nil"/>
              <w:right w:val="nil"/>
            </w:tcBorders>
            <w:shd w:val="clear" w:color="auto" w:fill="FFFFFF"/>
            <w:tcMar>
              <w:top w:w="55" w:type="dxa"/>
              <w:left w:w="55" w:type="dxa"/>
              <w:bottom w:w="55" w:type="dxa"/>
              <w:right w:w="55" w:type="dxa"/>
            </w:tcMar>
            <w:vAlign w:val="center"/>
          </w:tcPr>
          <w:p w14:paraId="6F8BE3F3">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0.143</w:t>
            </w:r>
          </w:p>
        </w:tc>
      </w:tr>
      <w:tr w14:paraId="4608DAA6">
        <w:trPr>
          <w:trHeight w:val="193" w:hRule="atLeast"/>
          <w:jc w:val="center"/>
        </w:trPr>
        <w:tc>
          <w:tcPr>
            <w:tcW w:w="1771" w:type="pct"/>
            <w:tcBorders>
              <w:top w:val="nil"/>
              <w:left w:val="nil"/>
              <w:bottom w:val="nil"/>
              <w:right w:val="nil"/>
            </w:tcBorders>
            <w:shd w:val="clear" w:color="auto" w:fill="FFFFFF"/>
            <w:tcMar>
              <w:top w:w="55" w:type="dxa"/>
              <w:left w:w="55" w:type="dxa"/>
              <w:bottom w:w="55" w:type="dxa"/>
              <w:right w:w="55" w:type="dxa"/>
            </w:tcMar>
            <w:vAlign w:val="center"/>
          </w:tcPr>
          <w:p w14:paraId="02B543F1">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IFI + Hb + CRP</w:t>
            </w:r>
          </w:p>
        </w:tc>
        <w:tc>
          <w:tcPr>
            <w:tcW w:w="1467" w:type="pct"/>
            <w:tcBorders>
              <w:top w:val="nil"/>
              <w:left w:val="nil"/>
              <w:bottom w:val="nil"/>
              <w:right w:val="nil"/>
            </w:tcBorders>
            <w:shd w:val="clear" w:color="auto" w:fill="FFFFFF"/>
            <w:tcMar>
              <w:top w:w="55" w:type="dxa"/>
              <w:left w:w="55" w:type="dxa"/>
              <w:bottom w:w="55" w:type="dxa"/>
              <w:right w:w="55" w:type="dxa"/>
            </w:tcMar>
            <w:vAlign w:val="center"/>
          </w:tcPr>
          <w:p w14:paraId="12F7DEDD">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Log(CRP)</w:t>
            </w:r>
          </w:p>
        </w:tc>
        <w:tc>
          <w:tcPr>
            <w:tcW w:w="1263" w:type="pct"/>
            <w:tcBorders>
              <w:top w:val="nil"/>
              <w:left w:val="nil"/>
              <w:bottom w:val="nil"/>
              <w:right w:val="nil"/>
            </w:tcBorders>
            <w:shd w:val="clear" w:color="auto" w:fill="FFFFFF"/>
            <w:tcMar>
              <w:top w:w="55" w:type="dxa"/>
              <w:left w:w="55" w:type="dxa"/>
              <w:bottom w:w="55" w:type="dxa"/>
              <w:right w:w="55" w:type="dxa"/>
            </w:tcMar>
            <w:vAlign w:val="center"/>
          </w:tcPr>
          <w:p w14:paraId="4443EC2D">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-0.049(-0.072 to -0.026)</w:t>
            </w:r>
          </w:p>
        </w:tc>
        <w:tc>
          <w:tcPr>
            <w:tcW w:w="497" w:type="pct"/>
            <w:tcBorders>
              <w:top w:val="nil"/>
              <w:left w:val="nil"/>
              <w:bottom w:val="nil"/>
              <w:right w:val="nil"/>
            </w:tcBorders>
            <w:shd w:val="clear" w:color="auto" w:fill="FFFFFF"/>
            <w:tcMar>
              <w:top w:w="55" w:type="dxa"/>
              <w:left w:w="55" w:type="dxa"/>
              <w:bottom w:w="55" w:type="dxa"/>
              <w:right w:w="55" w:type="dxa"/>
            </w:tcMar>
            <w:vAlign w:val="center"/>
          </w:tcPr>
          <w:p w14:paraId="416B270A">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&lt;0.001</w:t>
            </w:r>
          </w:p>
        </w:tc>
      </w:tr>
      <w:tr w14:paraId="2F810A99">
        <w:trPr>
          <w:trHeight w:val="193" w:hRule="atLeast"/>
          <w:jc w:val="center"/>
        </w:trPr>
        <w:tc>
          <w:tcPr>
            <w:tcW w:w="1771" w:type="pct"/>
            <w:tcBorders>
              <w:top w:val="nil"/>
              <w:left w:val="nil"/>
              <w:bottom w:val="nil"/>
              <w:right w:val="nil"/>
            </w:tcBorders>
            <w:shd w:val="clear" w:color="auto" w:fill="FFFFFF"/>
            <w:tcMar>
              <w:top w:w="55" w:type="dxa"/>
              <w:left w:w="55" w:type="dxa"/>
              <w:bottom w:w="55" w:type="dxa"/>
              <w:right w:w="55" w:type="dxa"/>
            </w:tcMar>
            <w:vAlign w:val="center"/>
          </w:tcPr>
          <w:p w14:paraId="3140D4E8">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Ferritin CV + Hb + CRP</w:t>
            </w:r>
          </w:p>
        </w:tc>
        <w:tc>
          <w:tcPr>
            <w:tcW w:w="1467" w:type="pct"/>
            <w:tcBorders>
              <w:top w:val="nil"/>
              <w:left w:val="nil"/>
              <w:bottom w:val="nil"/>
              <w:right w:val="nil"/>
            </w:tcBorders>
            <w:shd w:val="clear" w:color="auto" w:fill="FFFFFF"/>
            <w:tcMar>
              <w:top w:w="55" w:type="dxa"/>
              <w:left w:w="55" w:type="dxa"/>
              <w:bottom w:w="55" w:type="dxa"/>
              <w:right w:w="55" w:type="dxa"/>
            </w:tcMar>
            <w:vAlign w:val="center"/>
          </w:tcPr>
          <w:p w14:paraId="735C3EA1">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Ferritin variability (CV)</w:t>
            </w:r>
          </w:p>
        </w:tc>
        <w:tc>
          <w:tcPr>
            <w:tcW w:w="1263" w:type="pct"/>
            <w:tcBorders>
              <w:top w:val="nil"/>
              <w:left w:val="nil"/>
              <w:bottom w:val="nil"/>
              <w:right w:val="nil"/>
            </w:tcBorders>
            <w:shd w:val="clear" w:color="auto" w:fill="FFFFFF"/>
            <w:tcMar>
              <w:top w:w="55" w:type="dxa"/>
              <w:left w:w="55" w:type="dxa"/>
              <w:bottom w:w="55" w:type="dxa"/>
              <w:right w:w="55" w:type="dxa"/>
            </w:tcMar>
            <w:vAlign w:val="center"/>
          </w:tcPr>
          <w:p w14:paraId="0FDDCAF1">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-0.352(-0.562 to -0.142)</w:t>
            </w:r>
          </w:p>
        </w:tc>
        <w:tc>
          <w:tcPr>
            <w:tcW w:w="497" w:type="pct"/>
            <w:tcBorders>
              <w:top w:val="nil"/>
              <w:left w:val="nil"/>
              <w:bottom w:val="nil"/>
              <w:right w:val="nil"/>
            </w:tcBorders>
            <w:shd w:val="clear" w:color="auto" w:fill="FFFFFF"/>
            <w:tcMar>
              <w:top w:w="55" w:type="dxa"/>
              <w:left w:w="55" w:type="dxa"/>
              <w:bottom w:w="55" w:type="dxa"/>
              <w:right w:w="55" w:type="dxa"/>
            </w:tcMar>
            <w:vAlign w:val="center"/>
          </w:tcPr>
          <w:p w14:paraId="7E386947">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0.001</w:t>
            </w:r>
          </w:p>
        </w:tc>
      </w:tr>
      <w:tr w14:paraId="2148A12B">
        <w:trPr>
          <w:trHeight w:val="193" w:hRule="atLeast"/>
          <w:jc w:val="center"/>
        </w:trPr>
        <w:tc>
          <w:tcPr>
            <w:tcW w:w="1771" w:type="pct"/>
            <w:tcBorders>
              <w:top w:val="nil"/>
              <w:left w:val="nil"/>
              <w:bottom w:val="nil"/>
              <w:right w:val="nil"/>
            </w:tcBorders>
            <w:shd w:val="clear" w:color="auto" w:fill="FFFFFF"/>
            <w:tcMar>
              <w:top w:w="55" w:type="dxa"/>
              <w:left w:w="55" w:type="dxa"/>
              <w:bottom w:w="55" w:type="dxa"/>
              <w:right w:w="55" w:type="dxa"/>
            </w:tcMar>
            <w:vAlign w:val="center"/>
          </w:tcPr>
          <w:p w14:paraId="5B280AF4">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Ferritin CV + Hb + CRP</w:t>
            </w:r>
          </w:p>
        </w:tc>
        <w:tc>
          <w:tcPr>
            <w:tcW w:w="1467" w:type="pct"/>
            <w:tcBorders>
              <w:top w:val="nil"/>
              <w:left w:val="nil"/>
              <w:bottom w:val="nil"/>
              <w:right w:val="nil"/>
            </w:tcBorders>
            <w:shd w:val="clear" w:color="auto" w:fill="FFFFFF"/>
            <w:tcMar>
              <w:top w:w="55" w:type="dxa"/>
              <w:left w:w="55" w:type="dxa"/>
              <w:bottom w:w="55" w:type="dxa"/>
              <w:right w:w="55" w:type="dxa"/>
            </w:tcMar>
            <w:vAlign w:val="center"/>
          </w:tcPr>
          <w:p w14:paraId="5B1CE610">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Hemoglobin</w:t>
            </w:r>
          </w:p>
        </w:tc>
        <w:tc>
          <w:tcPr>
            <w:tcW w:w="1263" w:type="pct"/>
            <w:tcBorders>
              <w:top w:val="nil"/>
              <w:left w:val="nil"/>
              <w:bottom w:val="nil"/>
              <w:right w:val="nil"/>
            </w:tcBorders>
            <w:shd w:val="clear" w:color="auto" w:fill="FFFFFF"/>
            <w:tcMar>
              <w:top w:w="55" w:type="dxa"/>
              <w:left w:w="55" w:type="dxa"/>
              <w:bottom w:w="55" w:type="dxa"/>
              <w:right w:w="55" w:type="dxa"/>
            </w:tcMar>
            <w:vAlign w:val="center"/>
          </w:tcPr>
          <w:p w14:paraId="374F074E">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-0.014 (-0.035 to 0.008)</w:t>
            </w:r>
          </w:p>
        </w:tc>
        <w:tc>
          <w:tcPr>
            <w:tcW w:w="497" w:type="pct"/>
            <w:tcBorders>
              <w:top w:val="nil"/>
              <w:left w:val="nil"/>
              <w:bottom w:val="nil"/>
              <w:right w:val="nil"/>
            </w:tcBorders>
            <w:shd w:val="clear" w:color="auto" w:fill="FFFFFF"/>
            <w:tcMar>
              <w:top w:w="55" w:type="dxa"/>
              <w:left w:w="55" w:type="dxa"/>
              <w:bottom w:w="55" w:type="dxa"/>
              <w:right w:w="55" w:type="dxa"/>
            </w:tcMar>
            <w:vAlign w:val="center"/>
          </w:tcPr>
          <w:p w14:paraId="4E902E63">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0.215</w:t>
            </w:r>
          </w:p>
        </w:tc>
      </w:tr>
      <w:tr w14:paraId="55641B2A">
        <w:trPr>
          <w:trHeight w:val="193" w:hRule="atLeast"/>
          <w:jc w:val="center"/>
        </w:trPr>
        <w:tc>
          <w:tcPr>
            <w:tcW w:w="1771" w:type="pct"/>
            <w:tcBorders>
              <w:top w:val="nil"/>
              <w:left w:val="nil"/>
              <w:bottom w:val="nil"/>
              <w:right w:val="nil"/>
            </w:tcBorders>
            <w:shd w:val="clear" w:color="auto" w:fill="FFFFFF"/>
            <w:tcMar>
              <w:top w:w="55" w:type="dxa"/>
              <w:left w:w="55" w:type="dxa"/>
              <w:bottom w:w="55" w:type="dxa"/>
              <w:right w:w="55" w:type="dxa"/>
            </w:tcMar>
            <w:vAlign w:val="center"/>
          </w:tcPr>
          <w:p w14:paraId="7F180471">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Ferritin CV + Hb + CRP</w:t>
            </w:r>
          </w:p>
        </w:tc>
        <w:tc>
          <w:tcPr>
            <w:tcW w:w="1467" w:type="pct"/>
            <w:tcBorders>
              <w:top w:val="nil"/>
              <w:left w:val="nil"/>
              <w:bottom w:val="nil"/>
              <w:right w:val="nil"/>
            </w:tcBorders>
            <w:shd w:val="clear" w:color="auto" w:fill="FFFFFF"/>
            <w:tcMar>
              <w:top w:w="55" w:type="dxa"/>
              <w:left w:w="55" w:type="dxa"/>
              <w:bottom w:w="55" w:type="dxa"/>
              <w:right w:w="55" w:type="dxa"/>
            </w:tcMar>
            <w:vAlign w:val="center"/>
          </w:tcPr>
          <w:p w14:paraId="335363FC">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Log(CRP)</w:t>
            </w:r>
          </w:p>
        </w:tc>
        <w:tc>
          <w:tcPr>
            <w:tcW w:w="1263" w:type="pct"/>
            <w:tcBorders>
              <w:top w:val="nil"/>
              <w:left w:val="nil"/>
              <w:bottom w:val="nil"/>
              <w:right w:val="nil"/>
            </w:tcBorders>
            <w:shd w:val="clear" w:color="auto" w:fill="FFFFFF"/>
            <w:tcMar>
              <w:top w:w="55" w:type="dxa"/>
              <w:left w:w="55" w:type="dxa"/>
              <w:bottom w:w="55" w:type="dxa"/>
              <w:right w:w="55" w:type="dxa"/>
            </w:tcMar>
            <w:vAlign w:val="center"/>
          </w:tcPr>
          <w:p w14:paraId="7782FEE1">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-0.050(-0.073 to -0.027)</w:t>
            </w:r>
          </w:p>
        </w:tc>
        <w:tc>
          <w:tcPr>
            <w:tcW w:w="497" w:type="pct"/>
            <w:tcBorders>
              <w:top w:val="nil"/>
              <w:left w:val="nil"/>
              <w:bottom w:val="nil"/>
              <w:right w:val="nil"/>
            </w:tcBorders>
            <w:shd w:val="clear" w:color="auto" w:fill="FFFFFF"/>
            <w:tcMar>
              <w:top w:w="55" w:type="dxa"/>
              <w:left w:w="55" w:type="dxa"/>
              <w:bottom w:w="55" w:type="dxa"/>
              <w:right w:w="55" w:type="dxa"/>
            </w:tcMar>
            <w:vAlign w:val="center"/>
          </w:tcPr>
          <w:p w14:paraId="48B99B5A">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&lt;0.001</w:t>
            </w:r>
          </w:p>
        </w:tc>
      </w:tr>
      <w:tr w14:paraId="699BF18C">
        <w:trPr>
          <w:trHeight w:val="193" w:hRule="atLeast"/>
          <w:jc w:val="center"/>
        </w:trPr>
        <w:tc>
          <w:tcPr>
            <w:tcW w:w="1771" w:type="pct"/>
            <w:tcBorders>
              <w:top w:val="nil"/>
              <w:left w:val="nil"/>
              <w:bottom w:val="nil"/>
              <w:right w:val="nil"/>
            </w:tcBorders>
            <w:shd w:val="clear" w:color="auto" w:fill="FFFFFF"/>
            <w:tcMar>
              <w:top w:w="55" w:type="dxa"/>
              <w:left w:w="55" w:type="dxa"/>
              <w:bottom w:w="55" w:type="dxa"/>
              <w:right w:w="55" w:type="dxa"/>
            </w:tcMar>
            <w:vAlign w:val="center"/>
          </w:tcPr>
          <w:p w14:paraId="0D05D775">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Ferritin slope + Hb + CRP</w:t>
            </w:r>
          </w:p>
        </w:tc>
        <w:tc>
          <w:tcPr>
            <w:tcW w:w="1467" w:type="pct"/>
            <w:tcBorders>
              <w:top w:val="nil"/>
              <w:left w:val="nil"/>
              <w:bottom w:val="nil"/>
              <w:right w:val="nil"/>
            </w:tcBorders>
            <w:shd w:val="clear" w:color="auto" w:fill="FFFFFF"/>
            <w:tcMar>
              <w:top w:w="55" w:type="dxa"/>
              <w:left w:w="55" w:type="dxa"/>
              <w:bottom w:w="55" w:type="dxa"/>
              <w:right w:w="55" w:type="dxa"/>
            </w:tcMar>
            <w:vAlign w:val="center"/>
          </w:tcPr>
          <w:p w14:paraId="077F6B97">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Ferritin slope</w:t>
            </w:r>
          </w:p>
        </w:tc>
        <w:tc>
          <w:tcPr>
            <w:tcW w:w="1263" w:type="pct"/>
            <w:tcBorders>
              <w:top w:val="nil"/>
              <w:left w:val="nil"/>
              <w:bottom w:val="nil"/>
              <w:right w:val="nil"/>
            </w:tcBorders>
            <w:shd w:val="clear" w:color="auto" w:fill="FFFFFF"/>
            <w:tcMar>
              <w:top w:w="55" w:type="dxa"/>
              <w:left w:w="55" w:type="dxa"/>
              <w:bottom w:w="55" w:type="dxa"/>
              <w:right w:w="55" w:type="dxa"/>
            </w:tcMar>
            <w:vAlign w:val="center"/>
          </w:tcPr>
          <w:p w14:paraId="24F806A8">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0.070 (-0.247 to 0.386)</w:t>
            </w:r>
          </w:p>
        </w:tc>
        <w:tc>
          <w:tcPr>
            <w:tcW w:w="497" w:type="pct"/>
            <w:tcBorders>
              <w:top w:val="nil"/>
              <w:left w:val="nil"/>
              <w:bottom w:val="nil"/>
              <w:right w:val="nil"/>
            </w:tcBorders>
            <w:shd w:val="clear" w:color="auto" w:fill="FFFFFF"/>
            <w:tcMar>
              <w:top w:w="55" w:type="dxa"/>
              <w:left w:w="55" w:type="dxa"/>
              <w:bottom w:w="55" w:type="dxa"/>
              <w:right w:w="55" w:type="dxa"/>
            </w:tcMar>
            <w:vAlign w:val="center"/>
          </w:tcPr>
          <w:p w14:paraId="44678106">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0.666</w:t>
            </w:r>
          </w:p>
        </w:tc>
      </w:tr>
      <w:tr w14:paraId="354F179C">
        <w:trPr>
          <w:trHeight w:val="193" w:hRule="atLeast"/>
          <w:jc w:val="center"/>
        </w:trPr>
        <w:tc>
          <w:tcPr>
            <w:tcW w:w="1771" w:type="pct"/>
            <w:tcBorders>
              <w:top w:val="nil"/>
              <w:left w:val="nil"/>
              <w:bottom w:val="nil"/>
              <w:right w:val="nil"/>
            </w:tcBorders>
            <w:shd w:val="clear" w:color="auto" w:fill="FFFFFF"/>
            <w:tcMar>
              <w:top w:w="55" w:type="dxa"/>
              <w:left w:w="55" w:type="dxa"/>
              <w:bottom w:w="55" w:type="dxa"/>
              <w:right w:w="55" w:type="dxa"/>
            </w:tcMar>
            <w:vAlign w:val="center"/>
          </w:tcPr>
          <w:p w14:paraId="610A6161">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Ferritin slope + Hb + CRP</w:t>
            </w:r>
          </w:p>
        </w:tc>
        <w:tc>
          <w:tcPr>
            <w:tcW w:w="1467" w:type="pct"/>
            <w:tcBorders>
              <w:top w:val="nil"/>
              <w:left w:val="nil"/>
              <w:bottom w:val="nil"/>
              <w:right w:val="nil"/>
            </w:tcBorders>
            <w:shd w:val="clear" w:color="auto" w:fill="FFFFFF"/>
            <w:tcMar>
              <w:top w:w="55" w:type="dxa"/>
              <w:left w:w="55" w:type="dxa"/>
              <w:bottom w:w="55" w:type="dxa"/>
              <w:right w:w="55" w:type="dxa"/>
            </w:tcMar>
            <w:vAlign w:val="center"/>
          </w:tcPr>
          <w:p w14:paraId="398FA1D1">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Hemoglobin</w:t>
            </w:r>
          </w:p>
        </w:tc>
        <w:tc>
          <w:tcPr>
            <w:tcW w:w="1263" w:type="pct"/>
            <w:tcBorders>
              <w:top w:val="nil"/>
              <w:left w:val="nil"/>
              <w:bottom w:val="nil"/>
              <w:right w:val="nil"/>
            </w:tcBorders>
            <w:shd w:val="clear" w:color="auto" w:fill="FFFFFF"/>
            <w:tcMar>
              <w:top w:w="55" w:type="dxa"/>
              <w:left w:w="55" w:type="dxa"/>
              <w:bottom w:w="55" w:type="dxa"/>
              <w:right w:w="55" w:type="dxa"/>
            </w:tcMar>
            <w:vAlign w:val="center"/>
          </w:tcPr>
          <w:p w14:paraId="363CCD4A">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-0.013 (-0.034 to 0.008)</w:t>
            </w:r>
          </w:p>
        </w:tc>
        <w:tc>
          <w:tcPr>
            <w:tcW w:w="497" w:type="pct"/>
            <w:tcBorders>
              <w:top w:val="nil"/>
              <w:left w:val="nil"/>
              <w:bottom w:val="nil"/>
              <w:right w:val="nil"/>
            </w:tcBorders>
            <w:shd w:val="clear" w:color="auto" w:fill="FFFFFF"/>
            <w:tcMar>
              <w:top w:w="55" w:type="dxa"/>
              <w:left w:w="55" w:type="dxa"/>
              <w:bottom w:w="55" w:type="dxa"/>
              <w:right w:w="55" w:type="dxa"/>
            </w:tcMar>
            <w:vAlign w:val="center"/>
          </w:tcPr>
          <w:p w14:paraId="18753855">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0.224</w:t>
            </w:r>
          </w:p>
        </w:tc>
      </w:tr>
      <w:tr w14:paraId="29EAFE92">
        <w:trPr>
          <w:trHeight w:val="193" w:hRule="atLeast"/>
          <w:jc w:val="center"/>
        </w:trPr>
        <w:tc>
          <w:tcPr>
            <w:tcW w:w="1771" w:type="pct"/>
            <w:tcBorders>
              <w:top w:val="nil"/>
              <w:left w:val="nil"/>
              <w:bottom w:val="nil"/>
              <w:right w:val="nil"/>
            </w:tcBorders>
            <w:shd w:val="clear" w:color="auto" w:fill="FFFFFF"/>
            <w:tcMar>
              <w:top w:w="55" w:type="dxa"/>
              <w:left w:w="55" w:type="dxa"/>
              <w:bottom w:w="55" w:type="dxa"/>
              <w:right w:w="55" w:type="dxa"/>
            </w:tcMar>
            <w:vAlign w:val="center"/>
          </w:tcPr>
          <w:p w14:paraId="1E8B6E2C">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Ferritin slope + Hb + CRP</w:t>
            </w:r>
          </w:p>
        </w:tc>
        <w:tc>
          <w:tcPr>
            <w:tcW w:w="1467" w:type="pct"/>
            <w:tcBorders>
              <w:top w:val="nil"/>
              <w:left w:val="nil"/>
              <w:bottom w:val="nil"/>
              <w:right w:val="nil"/>
            </w:tcBorders>
            <w:shd w:val="clear" w:color="auto" w:fill="FFFFFF"/>
            <w:tcMar>
              <w:top w:w="55" w:type="dxa"/>
              <w:left w:w="55" w:type="dxa"/>
              <w:bottom w:w="55" w:type="dxa"/>
              <w:right w:w="55" w:type="dxa"/>
            </w:tcMar>
            <w:vAlign w:val="center"/>
          </w:tcPr>
          <w:p w14:paraId="3480B5C1">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Log(CRP)</w:t>
            </w:r>
          </w:p>
        </w:tc>
        <w:tc>
          <w:tcPr>
            <w:tcW w:w="1263" w:type="pct"/>
            <w:tcBorders>
              <w:top w:val="nil"/>
              <w:left w:val="nil"/>
              <w:bottom w:val="nil"/>
              <w:right w:val="nil"/>
            </w:tcBorders>
            <w:shd w:val="clear" w:color="auto" w:fill="FFFFFF"/>
            <w:tcMar>
              <w:top w:w="55" w:type="dxa"/>
              <w:left w:w="55" w:type="dxa"/>
              <w:bottom w:w="55" w:type="dxa"/>
              <w:right w:w="55" w:type="dxa"/>
            </w:tcMar>
            <w:vAlign w:val="center"/>
          </w:tcPr>
          <w:p w14:paraId="1528E114">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-0.050(-0.073 to -0.027)</w:t>
            </w:r>
          </w:p>
        </w:tc>
        <w:tc>
          <w:tcPr>
            <w:tcW w:w="497" w:type="pct"/>
            <w:tcBorders>
              <w:top w:val="nil"/>
              <w:left w:val="nil"/>
              <w:bottom w:val="nil"/>
              <w:right w:val="nil"/>
            </w:tcBorders>
            <w:shd w:val="clear" w:color="auto" w:fill="FFFFFF"/>
            <w:tcMar>
              <w:top w:w="55" w:type="dxa"/>
              <w:left w:w="55" w:type="dxa"/>
              <w:bottom w:w="55" w:type="dxa"/>
              <w:right w:w="55" w:type="dxa"/>
            </w:tcMar>
            <w:vAlign w:val="center"/>
          </w:tcPr>
          <w:p w14:paraId="6C88561F">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&lt;0.001</w:t>
            </w:r>
          </w:p>
        </w:tc>
      </w:tr>
      <w:tr w14:paraId="53665F44">
        <w:trPr>
          <w:trHeight w:val="193" w:hRule="atLeast"/>
          <w:jc w:val="center"/>
        </w:trPr>
        <w:tc>
          <w:tcPr>
            <w:tcW w:w="1771" w:type="pct"/>
            <w:tcBorders>
              <w:top w:val="nil"/>
              <w:left w:val="nil"/>
              <w:bottom w:val="nil"/>
              <w:right w:val="nil"/>
            </w:tcBorders>
            <w:shd w:val="clear" w:color="auto" w:fill="FFFFFF"/>
            <w:tcMar>
              <w:top w:w="55" w:type="dxa"/>
              <w:left w:w="55" w:type="dxa"/>
              <w:bottom w:w="55" w:type="dxa"/>
              <w:right w:w="55" w:type="dxa"/>
            </w:tcMar>
            <w:vAlign w:val="center"/>
          </w:tcPr>
          <w:p w14:paraId="47B1CD07">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Low ferritin exposure + Hb + CRP</w:t>
            </w:r>
          </w:p>
        </w:tc>
        <w:tc>
          <w:tcPr>
            <w:tcW w:w="1467" w:type="pct"/>
            <w:tcBorders>
              <w:top w:val="nil"/>
              <w:left w:val="nil"/>
              <w:bottom w:val="nil"/>
              <w:right w:val="nil"/>
            </w:tcBorders>
            <w:shd w:val="clear" w:color="auto" w:fill="FFFFFF"/>
            <w:tcMar>
              <w:top w:w="55" w:type="dxa"/>
              <w:left w:w="55" w:type="dxa"/>
              <w:bottom w:w="55" w:type="dxa"/>
              <w:right w:w="55" w:type="dxa"/>
            </w:tcMar>
            <w:vAlign w:val="center"/>
          </w:tcPr>
          <w:p w14:paraId="250C542D">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Repeated low ferritin exposure</w:t>
            </w:r>
          </w:p>
        </w:tc>
        <w:tc>
          <w:tcPr>
            <w:tcW w:w="1263" w:type="pct"/>
            <w:tcBorders>
              <w:top w:val="nil"/>
              <w:left w:val="nil"/>
              <w:bottom w:val="nil"/>
              <w:right w:val="nil"/>
            </w:tcBorders>
            <w:shd w:val="clear" w:color="auto" w:fill="FFFFFF"/>
            <w:tcMar>
              <w:top w:w="55" w:type="dxa"/>
              <w:left w:w="55" w:type="dxa"/>
              <w:bottom w:w="55" w:type="dxa"/>
              <w:right w:w="55" w:type="dxa"/>
            </w:tcMar>
            <w:vAlign w:val="center"/>
          </w:tcPr>
          <w:p w14:paraId="094BC794">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-0.005 (-0.080 to 0.071)</w:t>
            </w:r>
          </w:p>
        </w:tc>
        <w:tc>
          <w:tcPr>
            <w:tcW w:w="497" w:type="pct"/>
            <w:tcBorders>
              <w:top w:val="nil"/>
              <w:left w:val="nil"/>
              <w:bottom w:val="nil"/>
              <w:right w:val="nil"/>
            </w:tcBorders>
            <w:shd w:val="clear" w:color="auto" w:fill="FFFFFF"/>
            <w:tcMar>
              <w:top w:w="55" w:type="dxa"/>
              <w:left w:w="55" w:type="dxa"/>
              <w:bottom w:w="55" w:type="dxa"/>
              <w:right w:w="55" w:type="dxa"/>
            </w:tcMar>
            <w:vAlign w:val="center"/>
          </w:tcPr>
          <w:p w14:paraId="3D53E78A">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0.905</w:t>
            </w:r>
          </w:p>
        </w:tc>
      </w:tr>
      <w:tr w14:paraId="2F43A5F6">
        <w:trPr>
          <w:trHeight w:val="193" w:hRule="atLeast"/>
          <w:jc w:val="center"/>
        </w:trPr>
        <w:tc>
          <w:tcPr>
            <w:tcW w:w="1771" w:type="pct"/>
            <w:tcBorders>
              <w:top w:val="nil"/>
              <w:left w:val="nil"/>
              <w:bottom w:val="nil"/>
              <w:right w:val="nil"/>
            </w:tcBorders>
            <w:shd w:val="clear" w:color="auto" w:fill="FFFFFF"/>
            <w:tcMar>
              <w:top w:w="55" w:type="dxa"/>
              <w:left w:w="55" w:type="dxa"/>
              <w:bottom w:w="55" w:type="dxa"/>
              <w:right w:w="55" w:type="dxa"/>
            </w:tcMar>
            <w:vAlign w:val="center"/>
          </w:tcPr>
          <w:p w14:paraId="424612C6">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Low ferritin exposure + Hb + CRP</w:t>
            </w:r>
          </w:p>
        </w:tc>
        <w:tc>
          <w:tcPr>
            <w:tcW w:w="1467" w:type="pct"/>
            <w:tcBorders>
              <w:top w:val="nil"/>
              <w:left w:val="nil"/>
              <w:bottom w:val="nil"/>
              <w:right w:val="nil"/>
            </w:tcBorders>
            <w:shd w:val="clear" w:color="auto" w:fill="FFFFFF"/>
            <w:tcMar>
              <w:top w:w="55" w:type="dxa"/>
              <w:left w:w="55" w:type="dxa"/>
              <w:bottom w:w="55" w:type="dxa"/>
              <w:right w:w="55" w:type="dxa"/>
            </w:tcMar>
            <w:vAlign w:val="center"/>
          </w:tcPr>
          <w:p w14:paraId="2CCF16AD">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Hemoglobin</w:t>
            </w:r>
          </w:p>
        </w:tc>
        <w:tc>
          <w:tcPr>
            <w:tcW w:w="1263" w:type="pct"/>
            <w:tcBorders>
              <w:top w:val="nil"/>
              <w:left w:val="nil"/>
              <w:bottom w:val="nil"/>
              <w:right w:val="nil"/>
            </w:tcBorders>
            <w:shd w:val="clear" w:color="auto" w:fill="FFFFFF"/>
            <w:tcMar>
              <w:top w:w="55" w:type="dxa"/>
              <w:left w:w="55" w:type="dxa"/>
              <w:bottom w:w="55" w:type="dxa"/>
              <w:right w:w="55" w:type="dxa"/>
            </w:tcMar>
            <w:vAlign w:val="center"/>
          </w:tcPr>
          <w:p w14:paraId="6D6FC5A0">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-0.014 (-0.035 to 0.007)</w:t>
            </w:r>
          </w:p>
        </w:tc>
        <w:tc>
          <w:tcPr>
            <w:tcW w:w="497" w:type="pct"/>
            <w:tcBorders>
              <w:top w:val="nil"/>
              <w:left w:val="nil"/>
              <w:bottom w:val="nil"/>
              <w:right w:val="nil"/>
            </w:tcBorders>
            <w:shd w:val="clear" w:color="auto" w:fill="FFFFFF"/>
            <w:tcMar>
              <w:top w:w="55" w:type="dxa"/>
              <w:left w:w="55" w:type="dxa"/>
              <w:bottom w:w="55" w:type="dxa"/>
              <w:right w:w="55" w:type="dxa"/>
            </w:tcMar>
            <w:vAlign w:val="center"/>
          </w:tcPr>
          <w:p w14:paraId="7BC1B87B">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0.193</w:t>
            </w:r>
          </w:p>
        </w:tc>
      </w:tr>
      <w:tr w14:paraId="0F5A2950">
        <w:trPr>
          <w:trHeight w:val="193" w:hRule="atLeast"/>
          <w:jc w:val="center"/>
        </w:trPr>
        <w:tc>
          <w:tcPr>
            <w:tcW w:w="1771"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FB9BDEB">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Low ferritin exposure + Hb + CRP</w:t>
            </w:r>
          </w:p>
        </w:tc>
        <w:tc>
          <w:tcPr>
            <w:tcW w:w="146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6BB81053">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Log(CRP)</w:t>
            </w:r>
          </w:p>
        </w:tc>
        <w:tc>
          <w:tcPr>
            <w:tcW w:w="1263"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F05C831">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-0.050(-0.073 to -0.027)</w:t>
            </w:r>
          </w:p>
        </w:tc>
        <w:tc>
          <w:tcPr>
            <w:tcW w:w="497"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17343034">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&lt;0.001</w:t>
            </w:r>
          </w:p>
        </w:tc>
      </w:tr>
    </w:tbl>
    <w:p w14:paraId="4A7DAC8D">
      <w:pPr>
        <w:keepNext/>
        <w:spacing w:before="0" w:after="40" w:line="240" w:lineRule="auto"/>
        <w:rPr>
          <w:rFonts w:hint="default" w:ascii="Times New Roman Bold" w:hAnsi="Times New Roman Bold" w:cs="Times New Roman Bold"/>
          <w:b/>
          <w:bCs/>
          <w:sz w:val="22"/>
          <w:szCs w:val="22"/>
          <w:lang w:val="en-US" w:eastAsia="zh-CN"/>
        </w:rPr>
      </w:pPr>
      <w:r>
        <w:rPr>
          <w:rFonts w:hint="default" w:ascii="Times New Roman" w:hAnsi="Times New Roman" w:eastAsia="Times New Roman" w:cs="Times New Roman Bold"/>
          <w:b/>
          <w:bCs/>
          <w:sz w:val="20"/>
          <w:szCs w:val="22"/>
          <w:lang w:val="en-US" w:eastAsia="zh-CN"/>
        </w:rPr>
        <w:t xml:space="preserve">Footnote: </w:t>
      </w:r>
    </w:p>
    <w:p w14:paraId="6F4B059E">
      <w:pPr>
        <w:spacing w:before="0" w:after="120" w:line="240" w:lineRule="auto"/>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sz w:val="20"/>
          <w:szCs w:val="22"/>
          <w:lang w:val="en-US" w:eastAsia="zh-CN"/>
        </w:rPr>
        <w:t>β coefficients with 95% confidence intervals (CIs) and P values are shown from joint linear mixed-effects models adjusted for age, sex, smoking status, and body mass index, with participant-level random intercepts. Each model included one dynamic iron-related measure together with hemoglobin and log-transformed C-reactive protein (CRP). Abbreviations: CI, confidence interval; CRP, C-reactive protein; CV, coefficient of variation; FEV1, forced expiratory volume in 1 second; IFI, iron fragility index.</w:t>
      </w:r>
    </w:p>
    <w:p w14:paraId="1D1658A9">
      <w:pPr>
        <w:spacing w:before="0" w:after="0" w:line="240" w:lineRule="auto"/>
        <w:rPr>
          <w:rFonts w:hint="default" w:ascii="Times New Roman Regular" w:hAnsi="Times New Roman Regular" w:cs="Times New Roman Regular"/>
          <w:sz w:val="22"/>
          <w:szCs w:val="22"/>
        </w:rPr>
      </w:pPr>
    </w:p>
    <w:p w14:paraId="4FAD6BF9">
      <w:pPr>
        <w:spacing w:before="0" w:after="0" w:line="240" w:lineRule="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br w:type="page"/>
      </w:r>
    </w:p>
    <w:p w14:paraId="140787C6">
      <w:pPr>
        <w:pStyle w:val="2"/>
        <w:keepNext/>
        <w:spacing w:before="0" w:after="120" w:line="240" w:lineRule="auto"/>
        <w:rPr>
          <w:rFonts w:hint="default" w:ascii="Times New Roman Bold" w:hAnsi="Times New Roman Bold" w:cs="Times New Roman Bold"/>
          <w:b/>
          <w:bCs/>
          <w:sz w:val="22"/>
          <w:szCs w:val="22"/>
        </w:rPr>
      </w:pPr>
      <w:r>
        <w:rPr>
          <w:rFonts w:hint="default" w:ascii="Times New Roman" w:hAnsi="Times New Roman" w:eastAsia="Times New Roman" w:cs="Times New Roman Bold"/>
          <w:b/>
          <w:bCs/>
          <w:sz w:val="20"/>
          <w:szCs w:val="22"/>
          <w:lang w:val="en-US" w:eastAsia="zh-CN"/>
        </w:rPr>
        <w:t>Supplementary Table S8</w:t>
      </w:r>
      <w:r>
        <w:rPr>
          <w:rFonts w:hint="eastAsia" w:ascii="Times New Roman" w:hAnsi="Times New Roman" w:eastAsia="Times New Roman" w:cs="Times New Roman Bold"/>
          <w:b/>
          <w:bCs/>
          <w:sz w:val="20"/>
          <w:szCs w:val="22"/>
          <w:lang w:val="en-US" w:eastAsia="zh-CN"/>
        </w:rPr>
        <w:t>4</w:t>
      </w:r>
      <w:r>
        <w:rPr>
          <w:rFonts w:hint="default" w:ascii="Times New Roman" w:hAnsi="Times New Roman" w:eastAsia="Times New Roman" w:cs="Times New Roman Bold"/>
          <w:b/>
          <w:bCs/>
          <w:sz w:val="20"/>
          <w:szCs w:val="22"/>
        </w:rPr>
        <w:t>. Piecewise associations of ferritin slope with repeated FEV1</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047"/>
        <w:gridCol w:w="4697"/>
        <w:gridCol w:w="4622"/>
      </w:tblGrid>
      <w:tr w14:paraId="7C72D704">
        <w:trPr>
          <w:trHeight w:val="193" w:hRule="atLeast"/>
          <w:tblHeader/>
          <w:jc w:val="center"/>
        </w:trPr>
        <w:tc>
          <w:tcPr>
            <w:tcW w:w="1756" w:type="pct"/>
            <w:tcBorders>
              <w:top w:val="single" w:color="000000" w:sz="12" w:space="0"/>
              <w:left w:val="nil"/>
              <w:bottom w:val="single" w:color="000000" w:sz="4" w:space="0"/>
              <w:right w:val="nil"/>
              <w:tl2br w:val="nil"/>
            </w:tcBorders>
            <w:shd w:val="clear" w:color="auto" w:fill="EAF2F8"/>
            <w:tcMar>
              <w:top w:w="55" w:type="dxa"/>
              <w:left w:w="55" w:type="dxa"/>
              <w:bottom w:w="55" w:type="dxa"/>
              <w:right w:w="55" w:type="dxa"/>
            </w:tcMar>
            <w:vAlign w:val="center"/>
          </w:tcPr>
          <w:p w14:paraId="28924F10">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b/>
                <w:sz w:val="17"/>
                <w:szCs w:val="22"/>
                <w:lang w:val="en-US" w:eastAsia="zh-CN"/>
              </w:rPr>
              <w:t>Slope range</w:t>
            </w:r>
          </w:p>
        </w:tc>
        <w:tc>
          <w:tcPr>
            <w:tcW w:w="1634" w:type="pct"/>
            <w:tcBorders>
              <w:top w:val="single" w:color="000000" w:sz="12" w:space="0"/>
              <w:left w:val="nil"/>
              <w:bottom w:val="single" w:color="000000" w:sz="4" w:space="0"/>
              <w:right w:val="nil"/>
            </w:tcBorders>
            <w:shd w:val="clear" w:color="auto" w:fill="EAF2F8"/>
            <w:tcMar>
              <w:top w:w="55" w:type="dxa"/>
              <w:left w:w="55" w:type="dxa"/>
              <w:bottom w:w="55" w:type="dxa"/>
              <w:right w:w="55" w:type="dxa"/>
            </w:tcMar>
            <w:vAlign w:val="center"/>
          </w:tcPr>
          <w:p w14:paraId="672C5CBE">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b/>
                <w:sz w:val="17"/>
                <w:szCs w:val="22"/>
                <w:lang w:val="en-US" w:eastAsia="zh-CN"/>
              </w:rPr>
              <w:t>β (95% CI)</w:t>
            </w:r>
          </w:p>
        </w:tc>
        <w:tc>
          <w:tcPr>
            <w:tcW w:w="1608" w:type="pct"/>
            <w:tcBorders>
              <w:top w:val="single" w:color="000000" w:sz="12" w:space="0"/>
              <w:left w:val="nil"/>
              <w:bottom w:val="single" w:color="000000" w:sz="4" w:space="0"/>
              <w:right w:val="nil"/>
            </w:tcBorders>
            <w:shd w:val="clear" w:color="auto" w:fill="EAF2F8"/>
            <w:tcMar>
              <w:top w:w="55" w:type="dxa"/>
              <w:left w:w="55" w:type="dxa"/>
              <w:bottom w:w="55" w:type="dxa"/>
              <w:right w:w="55" w:type="dxa"/>
            </w:tcMar>
            <w:vAlign w:val="center"/>
          </w:tcPr>
          <w:p w14:paraId="232CCB47">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b/>
                <w:sz w:val="17"/>
                <w:szCs w:val="22"/>
                <w:lang w:val="en-US" w:eastAsia="zh-CN"/>
              </w:rPr>
              <w:t>P value</w:t>
            </w:r>
          </w:p>
        </w:tc>
      </w:tr>
      <w:tr w14:paraId="026572C6">
        <w:trPr>
          <w:trHeight w:val="193" w:hRule="atLeast"/>
          <w:jc w:val="center"/>
        </w:trPr>
        <w:tc>
          <w:tcPr>
            <w:tcW w:w="1756" w:type="pct"/>
            <w:tcBorders>
              <w:top w:val="single" w:color="000000" w:sz="4" w:space="0"/>
              <w:left w:val="nil"/>
              <w:bottom w:val="nil"/>
              <w:right w:val="nil"/>
            </w:tcBorders>
            <w:shd w:val="clear" w:color="auto" w:fill="FFFFFF"/>
            <w:tcMar>
              <w:top w:w="55" w:type="dxa"/>
              <w:left w:w="55" w:type="dxa"/>
              <w:bottom w:w="55" w:type="dxa"/>
              <w:right w:w="55" w:type="dxa"/>
            </w:tcMar>
            <w:vAlign w:val="center"/>
          </w:tcPr>
          <w:p w14:paraId="5EB13F9B">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Below threshold (≤0.0645)</w:t>
            </w:r>
          </w:p>
        </w:tc>
        <w:tc>
          <w:tcPr>
            <w:tcW w:w="1634" w:type="pct"/>
            <w:tcBorders>
              <w:top w:val="single" w:color="000000" w:sz="4" w:space="0"/>
              <w:left w:val="nil"/>
              <w:bottom w:val="nil"/>
              <w:right w:val="nil"/>
            </w:tcBorders>
            <w:shd w:val="clear" w:color="auto" w:fill="FFFFFF"/>
            <w:tcMar>
              <w:top w:w="55" w:type="dxa"/>
              <w:left w:w="55" w:type="dxa"/>
              <w:bottom w:w="55" w:type="dxa"/>
              <w:right w:w="55" w:type="dxa"/>
            </w:tcMar>
            <w:vAlign w:val="center"/>
          </w:tcPr>
          <w:p w14:paraId="2B2ED67D">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0.557 (0.122 to 0.993)</w:t>
            </w:r>
          </w:p>
        </w:tc>
        <w:tc>
          <w:tcPr>
            <w:tcW w:w="1608" w:type="pct"/>
            <w:tcBorders>
              <w:top w:val="single" w:color="000000" w:sz="4" w:space="0"/>
              <w:left w:val="nil"/>
              <w:bottom w:val="nil"/>
              <w:right w:val="nil"/>
            </w:tcBorders>
            <w:shd w:val="clear" w:color="auto" w:fill="FFFFFF"/>
            <w:tcMar>
              <w:top w:w="55" w:type="dxa"/>
              <w:left w:w="55" w:type="dxa"/>
              <w:bottom w:w="55" w:type="dxa"/>
              <w:right w:w="55" w:type="dxa"/>
            </w:tcMar>
            <w:vAlign w:val="center"/>
          </w:tcPr>
          <w:p w14:paraId="03970680">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0.012</w:t>
            </w:r>
          </w:p>
        </w:tc>
      </w:tr>
      <w:tr w14:paraId="4023D5C9">
        <w:trPr>
          <w:trHeight w:val="193" w:hRule="atLeast"/>
          <w:jc w:val="center"/>
        </w:trPr>
        <w:tc>
          <w:tcPr>
            <w:tcW w:w="1756"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3CD39DE0">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Above threshold (&gt;0.0645)</w:t>
            </w:r>
          </w:p>
        </w:tc>
        <w:tc>
          <w:tcPr>
            <w:tcW w:w="1634"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5584F2BD">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-0.682 (-1.275 to -0.088)</w:t>
            </w:r>
          </w:p>
        </w:tc>
        <w:tc>
          <w:tcPr>
            <w:tcW w:w="1608" w:type="pct"/>
            <w:tcBorders>
              <w:top w:val="nil"/>
              <w:left w:val="nil"/>
              <w:bottom w:val="single" w:color="000000" w:sz="12" w:space="0"/>
              <w:right w:val="nil"/>
            </w:tcBorders>
            <w:shd w:val="clear" w:color="auto" w:fill="FFFFFF"/>
            <w:tcMar>
              <w:top w:w="55" w:type="dxa"/>
              <w:left w:w="55" w:type="dxa"/>
              <w:bottom w:w="55" w:type="dxa"/>
              <w:right w:w="55" w:type="dxa"/>
            </w:tcMar>
            <w:vAlign w:val="center"/>
          </w:tcPr>
          <w:p w14:paraId="6EE1D6D8">
            <w:pPr>
              <w:spacing w:before="0" w:after="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17"/>
                <w:szCs w:val="22"/>
                <w:lang w:val="en-US" w:eastAsia="zh-CN"/>
              </w:rPr>
              <w:t>0.024</w:t>
            </w:r>
          </w:p>
        </w:tc>
      </w:tr>
    </w:tbl>
    <w:p w14:paraId="0446136A">
      <w:pPr>
        <w:spacing w:before="0" w:after="120" w:line="240" w:lineRule="auto"/>
        <w:rPr>
          <w:rFonts w:hint="default" w:ascii="Times New Roman Regular" w:hAnsi="Times New Roman Regular" w:cs="Times New Roman Regular"/>
          <w:sz w:val="22"/>
          <w:szCs w:val="22"/>
        </w:rPr>
      </w:pPr>
      <w:r>
        <w:rPr>
          <w:rFonts w:hint="default" w:ascii="Times New Roman" w:hAnsi="Times New Roman" w:eastAsia="Times New Roman" w:cs="Times New Roman Regular"/>
          <w:sz w:val="20"/>
          <w:szCs w:val="22"/>
          <w:lang w:val="en-US" w:eastAsia="zh-CN"/>
        </w:rPr>
        <w:t>Footnote: β coefficients with 95% confidence intervals (CIs) and P values are shown from piecewise linear models of ferritin slope in relation to repeated forced expiratory volume in 1 second (FEV1). The estimated turning point was 0.0645. Models were adjusted for age, sex, smoking status, body mass index, log-transformed C-reactive protein, and hemoglobin. Abbreviations: CI, confidence interval; FEV1, forced expiratory volume in 1 second.</w:t>
      </w:r>
    </w:p>
    <w:p w14:paraId="0E961A5F">
      <w:pPr>
        <w:spacing w:before="0" w:after="0" w:line="240" w:lineRule="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br w:type="page"/>
      </w:r>
    </w:p>
    <w:p w14:paraId="16E9D3F8">
      <w:pPr>
        <w:spacing w:before="0" w:after="120" w:line="240" w:lineRule="auto"/>
        <w:jc w:val="center"/>
        <w:rPr>
          <w:rFonts w:hint="eastAsia" w:ascii="Times New Roman Regular" w:hAnsi="Times New Roman Regular" w:cs="Times New Roman Regular"/>
          <w:sz w:val="22"/>
          <w:szCs w:val="22"/>
          <w:lang w:val="en-US" w:eastAsia="zh-CN"/>
        </w:rPr>
      </w:pPr>
      <w:r>
        <w:rPr>
          <w:rFonts w:hint="default" w:ascii="Times New Roman" w:hAnsi="Times New Roman" w:eastAsia="Times New Roman" w:cs="Times New Roman Regular"/>
          <w:sz w:val="20"/>
          <w:szCs w:val="22"/>
          <w:lang w:val="en-US"/>
        </w:rPr>
        <w:t>S</w:t>
      </w:r>
      <w:r>
        <w:rPr>
          <w:rFonts w:hint="eastAsia" w:ascii="Times New Roman" w:hAnsi="Times New Roman" w:eastAsia="Times New Roman" w:cs="Times New Roman Regular"/>
          <w:sz w:val="20"/>
          <w:szCs w:val="22"/>
          <w:lang w:val="en-US" w:eastAsia="zh-CN"/>
        </w:rPr>
        <w:t xml:space="preserve">upplementary </w:t>
      </w:r>
      <w:r>
        <w:rPr>
          <w:rFonts w:hint="default" w:ascii="Times New Roman" w:hAnsi="Times New Roman" w:eastAsia="Times New Roman" w:cs="Times New Roman Regular"/>
          <w:sz w:val="20"/>
          <w:szCs w:val="22"/>
          <w:lang w:val="en-US" w:eastAsia="zh-CN"/>
        </w:rPr>
        <w:t>F</w:t>
      </w:r>
      <w:r>
        <w:rPr>
          <w:rFonts w:hint="eastAsia" w:ascii="Times New Roman" w:hAnsi="Times New Roman" w:eastAsia="Times New Roman" w:cs="Times New Roman Regular"/>
          <w:sz w:val="20"/>
          <w:szCs w:val="22"/>
          <w:lang w:val="en-US" w:eastAsia="zh-CN"/>
        </w:rPr>
        <w:t>igure</w:t>
      </w:r>
    </w:p>
    <w:p w14:paraId="55181E57">
      <w:pPr>
        <w:spacing w:before="0" w:after="0" w:line="240" w:lineRule="auto"/>
        <w:jc w:val="both"/>
        <w:rPr>
          <w:rFonts w:hint="default" w:ascii="Times New Roman Regular" w:hAnsi="Times New Roman Regular" w:cs="Times New Roman Regular"/>
          <w:sz w:val="22"/>
          <w:szCs w:val="22"/>
          <w:lang w:val="en-US" w:eastAsia="zh-CN"/>
        </w:rPr>
      </w:pPr>
    </w:p>
    <w:p w14:paraId="039F2366">
      <w:pPr>
        <w:spacing w:before="0" w:after="0" w:line="240" w:lineRule="auto"/>
        <w:jc w:val="both"/>
        <w:rPr>
          <w:rFonts w:hint="default" w:ascii="Times New Roman Regular" w:hAnsi="Times New Roman Regular" w:cs="Times New Roman Regular"/>
          <w:sz w:val="22"/>
          <w:szCs w:val="22"/>
          <w:lang w:val="en-US" w:eastAsia="zh-CN"/>
        </w:rPr>
      </w:pPr>
      <w:r>
        <w:rPr>
          <w:rFonts w:hint="default" w:ascii="Times New Roman Regular" w:hAnsi="Times New Roman Regular" w:cs="Times New Roman Regular"/>
          <w:sz w:val="22"/>
          <w:szCs w:val="22"/>
          <w:lang w:val="en-US" w:eastAsia="zh-CN"/>
        </w:rPr>
        <w:drawing>
          <wp:inline distT="0" distB="0" distL="114300" distR="114300">
            <wp:extent cx="5266690" cy="2691765"/>
            <wp:effectExtent l="0" t="0" r="16510" b="635"/>
            <wp:docPr id="2" name="图片 2"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2"/>
                    <pic:cNvPicPr>
                      <a:picLocks noChangeAspect="1"/>
                    </pic:cNvPicPr>
                  </pic:nvPicPr>
                  <pic:blipFill>
                    <a:blip r:embed="rId7"/>
                    <a:stretch>
                      <a:fillRect/>
                    </a:stretch>
                  </pic:blipFill>
                  <pic:spPr>
                    <a:xfrm>
                      <a:off x="0" y="0"/>
                      <a:ext cx="5266690" cy="2691765"/>
                    </a:xfrm>
                    <a:prstGeom prst="rect">
                      <a:avLst/>
                    </a:prstGeom>
                  </pic:spPr>
                </pic:pic>
              </a:graphicData>
            </a:graphic>
          </wp:inline>
        </w:drawing>
      </w:r>
    </w:p>
    <w:p w14:paraId="32370062">
      <w:pPr>
        <w:spacing w:before="0" w:after="20" w:line="240" w:lineRule="auto"/>
        <w:jc w:val="both"/>
        <w:rPr>
          <w:rFonts w:hint="default" w:ascii="Times New Roman Regular" w:hAnsi="Times New Roman Regular" w:cs="Times New Roman Regular"/>
          <w:b w:val="0"/>
          <w:bCs w:val="0"/>
          <w:sz w:val="22"/>
          <w:szCs w:val="22"/>
          <w:lang w:val="en-US" w:eastAsia="zh-CN"/>
        </w:rPr>
      </w:pPr>
      <w:r>
        <w:rPr>
          <w:rFonts w:hint="default" w:ascii="Times New Roman" w:hAnsi="Times New Roman" w:eastAsia="Times New Roman" w:cs="Times New Roman Regular"/>
          <w:b/>
          <w:bCs w:val="0"/>
          <w:sz w:val="17"/>
          <w:szCs w:val="22"/>
          <w:lang w:val="en-US" w:eastAsia="zh-CN"/>
        </w:rPr>
        <w:t>Supplementary Fig. S1. Heterogeneity in the association between ferritin variability and FEV₁</w:t>
      </w:r>
    </w:p>
    <w:p w14:paraId="1E67F2CA">
      <w:pPr>
        <w:spacing w:before="0" w:after="20" w:line="240" w:lineRule="auto"/>
        <w:jc w:val="both"/>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sz w:val="17"/>
          <w:szCs w:val="22"/>
          <w:lang w:val="en-US" w:eastAsia="zh-CN"/>
        </w:rPr>
        <w:t>(A) Sex- and age-stratified associations between ferritin coefficient of variation (CV) and forced expiratory volume in 1 second (FEV₁). Points represent β estimates and horizontal lines represent 95% confidence intervals (CIs); the vertical dashed line denotes the null value. Inverse associations were observed across most strata and were most evident among women aged 60–69 years.</w:t>
      </w:r>
    </w:p>
    <w:p w14:paraId="60045043">
      <w:pPr>
        <w:spacing w:before="0" w:after="20" w:line="240" w:lineRule="auto"/>
        <w:jc w:val="both"/>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sz w:val="17"/>
          <w:szCs w:val="22"/>
          <w:lang w:val="en-US" w:eastAsia="zh-CN"/>
        </w:rPr>
        <w:t>(B) Age-varying association between ferritin CV and FEV₁. The solid line shows the age-specific β estimate and the shaded band indicates the 95% CI. The horizontal dashed line denotes the null value, and the lightly shaded region indicates the age range in which the 95% CI remained below zero. The inverse association between ferritin CV and FEV₁ was more consistently observed across mid-to-late adulthood.</w:t>
      </w:r>
    </w:p>
    <w:p w14:paraId="296F6DCC">
      <w:pPr>
        <w:spacing w:before="0" w:after="20" w:line="240" w:lineRule="auto"/>
        <w:jc w:val="both"/>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sz w:val="17"/>
          <w:szCs w:val="22"/>
          <w:lang w:val="en-US" w:eastAsia="zh-CN"/>
        </w:rPr>
        <w:t>(C) Mean FEV₁ according to combined iron instability–grip strength phenotype. Points indicate descriptive group means, with sample sizes shown next to each point. The high-instability/weak-grip group had the lowest mean FEV₁. No measures of uncertainty are shown.</w:t>
      </w:r>
    </w:p>
    <w:p w14:paraId="35F0CF91">
      <w:pPr>
        <w:spacing w:before="0" w:after="20" w:line="240" w:lineRule="auto"/>
        <w:jc w:val="both"/>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sz w:val="17"/>
          <w:szCs w:val="22"/>
          <w:lang w:val="en-US" w:eastAsia="zh-CN"/>
        </w:rPr>
        <w:t>(D) Smoking-only associations of iron dysregulation measures with FEV₁. Points represent β estimates and horizontal lines represent 95% CIs; the vertical dashed line denotes the null value. Among current smokers, ferritin CV showed the clearest association with lower FEV₁, whereas grip-stratified estimates were less consistent.</w:t>
      </w:r>
    </w:p>
    <w:p w14:paraId="053A5333">
      <w:pPr>
        <w:spacing w:before="0" w:after="20" w:line="240" w:lineRule="auto"/>
        <w:jc w:val="both"/>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sz w:val="17"/>
          <w:szCs w:val="22"/>
          <w:lang w:val="en-US" w:eastAsia="zh-CN"/>
        </w:rPr>
        <w:t>(E) Functional status– and grip strength–stratified associations between ferritin CV and FEV₁. Points represent β estimates and horizontal lines represent 95% CIs; the vertical dashed line denotes the null value. Inverse associations were more evident among participants with lower ADL or IADL limitation, whereas grip-stratified estimates differed in precision across strata.</w:t>
      </w:r>
    </w:p>
    <w:p w14:paraId="49C8F1A2">
      <w:pPr>
        <w:spacing w:before="0" w:after="20" w:line="240" w:lineRule="auto"/>
        <w:jc w:val="both"/>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sz w:val="17"/>
          <w:szCs w:val="22"/>
          <w:lang w:val="en-US" w:eastAsia="zh-CN"/>
        </w:rPr>
        <w:t>Unless otherwise indicated, models were adjusted for age, sex, smoking status, body mass index, log-transformed C-reactive protein, and hemoglobin. In panel D, estimates were additionally adjusted for hemoglobin and log-transformed C-reactive protein within smoker-only analyses. Abbreviations: ADL, activities of daily living; CI, confidence interval; CV, coefficient of variation; FEV₁, forced expiratory volume in 1 second; IADL, instrumental activities of daily living.</w:t>
      </w:r>
    </w:p>
    <w:p w14:paraId="143E9DD1">
      <w:pPr>
        <w:spacing w:before="0" w:after="20" w:line="240" w:lineRule="auto"/>
        <w:jc w:val="both"/>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sz w:val="17"/>
          <w:szCs w:val="22"/>
          <w:lang w:val="en-US" w:eastAsia="zh-CN"/>
        </w:rPr>
        <w:t>Alt text: Multi-panel figure showing subgroup associations between ferritin variability and FEV1, including age, sex, smoking, grip strength, and functional status strata.</w:t>
      </w:r>
    </w:p>
    <w:p w14:paraId="05A39CA0">
      <w:pPr>
        <w:spacing w:before="0" w:after="0" w:line="240" w:lineRule="auto"/>
        <w:rPr>
          <w:rFonts w:hint="default" w:ascii="Times New Roman Regular" w:hAnsi="Times New Roman Regular" w:cs="Times New Roman Regular"/>
          <w:sz w:val="22"/>
          <w:szCs w:val="22"/>
          <w:lang w:val="en-US" w:eastAsia="zh-CN"/>
        </w:rPr>
      </w:pPr>
      <w:r>
        <w:rPr>
          <w:rFonts w:hint="default" w:ascii="Times New Roman Regular" w:hAnsi="Times New Roman Regular" w:cs="Times New Roman Regular"/>
          <w:sz w:val="22"/>
          <w:szCs w:val="22"/>
          <w:lang w:val="en-US" w:eastAsia="zh-CN"/>
        </w:rPr>
        <w:br w:type="page"/>
      </w:r>
    </w:p>
    <w:p w14:paraId="06436D0A">
      <w:pPr>
        <w:spacing w:before="0" w:after="0" w:line="240" w:lineRule="auto"/>
        <w:jc w:val="both"/>
        <w:rPr>
          <w:rFonts w:hint="default" w:ascii="Times New Roman Regular" w:hAnsi="Times New Roman Regular" w:cs="Times New Roman Regular"/>
          <w:sz w:val="22"/>
          <w:szCs w:val="22"/>
          <w:lang w:val="en-US" w:eastAsia="zh-CN"/>
        </w:rPr>
      </w:pPr>
      <w:r>
        <w:rPr>
          <w:rFonts w:hint="default" w:ascii="Times New Roman Regular" w:hAnsi="Times New Roman Regular" w:cs="Times New Roman Regular"/>
          <w:sz w:val="22"/>
          <w:szCs w:val="22"/>
          <w:lang w:val="en-US" w:eastAsia="zh-CN"/>
        </w:rPr>
        <w:drawing>
          <wp:inline distT="0" distB="0" distL="114300" distR="114300">
            <wp:extent cx="5270500" cy="1490980"/>
            <wp:effectExtent l="0" t="0" r="12700" b="7620"/>
            <wp:docPr id="3" name="图片 3"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3"/>
                    <pic:cNvPicPr>
                      <a:picLocks noChangeAspect="1"/>
                    </pic:cNvPicPr>
                  </pic:nvPicPr>
                  <pic:blipFill>
                    <a:blip r:embed="rId8"/>
                    <a:stretch>
                      <a:fillRect/>
                    </a:stretch>
                  </pic:blipFill>
                  <pic:spPr>
                    <a:xfrm>
                      <a:off x="0" y="0"/>
                      <a:ext cx="5270500" cy="1490980"/>
                    </a:xfrm>
                    <a:prstGeom prst="rect">
                      <a:avLst/>
                    </a:prstGeom>
                  </pic:spPr>
                </pic:pic>
              </a:graphicData>
            </a:graphic>
          </wp:inline>
        </w:drawing>
      </w:r>
    </w:p>
    <w:p w14:paraId="09F564FC">
      <w:pPr>
        <w:spacing w:before="0" w:after="20" w:line="240" w:lineRule="auto"/>
        <w:jc w:val="both"/>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b/>
          <w:sz w:val="17"/>
          <w:szCs w:val="22"/>
          <w:lang w:val="en-US" w:eastAsia="zh-CN"/>
        </w:rPr>
        <w:t>Supplementary Fig. S</w:t>
      </w:r>
      <w:r>
        <w:rPr>
          <w:rFonts w:hint="eastAsia" w:ascii="Times New Roman" w:hAnsi="Times New Roman" w:eastAsia="Times New Roman" w:cs="Times New Roman Regular"/>
          <w:b/>
          <w:sz w:val="17"/>
          <w:szCs w:val="22"/>
          <w:lang w:val="en-US" w:eastAsia="zh-CN"/>
        </w:rPr>
        <w:t>2</w:t>
      </w:r>
      <w:r>
        <w:rPr>
          <w:rFonts w:hint="default" w:ascii="Times New Roman" w:hAnsi="Times New Roman" w:eastAsia="Times New Roman" w:cs="Times New Roman Regular"/>
          <w:b/>
          <w:sz w:val="17"/>
          <w:szCs w:val="22"/>
          <w:lang w:val="en-US" w:eastAsia="zh-CN"/>
        </w:rPr>
        <w:t>. Mechanistic and nonlinear patterns in the associations between dynamic iron dysregulation and FEV₁</w:t>
      </w:r>
    </w:p>
    <w:p w14:paraId="27C28327">
      <w:pPr>
        <w:spacing w:before="0" w:after="20" w:line="240" w:lineRule="auto"/>
        <w:jc w:val="both"/>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sz w:val="17"/>
          <w:szCs w:val="22"/>
          <w:lang w:val="en-US" w:eastAsia="zh-CN"/>
        </w:rPr>
        <w:t>(A) Age-stratified indirect effects of ferritin variability on forced expiratory volume in 1 second (FEV₁) through C-reactive protein (CRP). Points represent indirect effect estimates and horizontal lines represent 95% confidence intervals (CIs); the vertical dashed line denotes the null value. Indirect effects were observed in the overall sample and were most evident in the 60–69-year group, whereas estimates in the 50–59-year and ≥70-year groups were less precise.</w:t>
      </w:r>
    </w:p>
    <w:p w14:paraId="1390019E">
      <w:pPr>
        <w:spacing w:before="0" w:after="20" w:line="240" w:lineRule="auto"/>
        <w:jc w:val="both"/>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sz w:val="17"/>
          <w:szCs w:val="22"/>
          <w:lang w:val="en-US" w:eastAsia="zh-CN"/>
        </w:rPr>
        <w:t>(B) Restricted cubic spline association between ferritin decline slope and predicted FEV₁. The solid line shows the fitted spline curve and the shaded band indicates the 95% CI. The vertical dashed line denotes a ferritin decline slope of 0. The observed shape was consistent with a non-monotonic association.</w:t>
      </w:r>
    </w:p>
    <w:p w14:paraId="1105A0A1">
      <w:pPr>
        <w:spacing w:before="0" w:after="20" w:line="240" w:lineRule="auto"/>
        <w:jc w:val="both"/>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sz w:val="17"/>
          <w:szCs w:val="22"/>
          <w:lang w:val="en-US" w:eastAsia="zh-CN"/>
        </w:rPr>
        <w:t>Unless otherwise indicated, estimates were adjusted for age, sex, smoking status, body mass index, log-transformed C-reactive protein, and hemoglobin. Abbreviations: CI, confidence interval; CRP, C-reactive protein; CV, coefficient of variation; FEV₁, forced expiratory volume in 1 second.</w:t>
      </w:r>
    </w:p>
    <w:p w14:paraId="64AFA51E">
      <w:pPr>
        <w:spacing w:before="0" w:after="20" w:line="240" w:lineRule="auto"/>
        <w:jc w:val="both"/>
        <w:rPr>
          <w:rFonts w:hint="default" w:ascii="Times New Roman Regular" w:hAnsi="Times New Roman Regular" w:cs="Times New Roman Regular"/>
          <w:sz w:val="22"/>
          <w:szCs w:val="22"/>
          <w:lang w:val="en-US" w:eastAsia="zh-CN"/>
        </w:rPr>
      </w:pPr>
      <w:r>
        <w:rPr>
          <w:rFonts w:hint="default" w:ascii="Times New Roman" w:hAnsi="Times New Roman" w:eastAsia="Times New Roman" w:cs="Times New Roman Regular"/>
          <w:sz w:val="17"/>
          <w:szCs w:val="22"/>
          <w:lang w:val="en-US" w:eastAsia="zh-CN"/>
        </w:rPr>
        <w:t>Alt text: Multi-panel figure showing CRP-mediated indirect effects of ferritin variability on FEV1 and a nonlinear restricted cubic spline association between ferritin slope and predicted FEV1.</w:t>
      </w:r>
    </w:p>
    <w:p w14:paraId="244BAE0A">
      <w:pPr>
        <w:spacing w:before="0" w:after="0" w:line="240" w:lineRule="auto"/>
        <w:jc w:val="both"/>
        <w:rPr>
          <w:rFonts w:hint="default" w:ascii="Times New Roman Regular" w:hAnsi="Times New Roman Regular" w:cs="Times New Roman Regular"/>
          <w:sz w:val="22"/>
          <w:szCs w:val="22"/>
          <w:lang w:val="en-US" w:eastAsia="zh-CN"/>
        </w:rPr>
      </w:pPr>
    </w:p>
    <w:sectPr>
      <w:footerReference r:id="rId5" w:type="default"/>
      <w:pgSz w:w="15840" w:h="12240" w:orient="landscape"/>
      <w:pgMar w:top="648" w:right="792" w:bottom="648" w:left="792" w:header="360" w:footer="360"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Times New Roman Regular">
    <w:panose1 w:val="02020503050405090304"/>
    <w:charset w:val="00"/>
    <w:family w:val="auto"/>
    <w:pitch w:val="default"/>
    <w:sig w:usb0="E0000AFF" w:usb1="00007843" w:usb2="00000001" w:usb3="00000000" w:csb0="400001BF" w:csb1="DFF70000"/>
  </w:font>
  <w:font w:name="Times New Roman Bold">
    <w:panose1 w:val="02020503050405090304"/>
    <w:charset w:val="00"/>
    <w:family w:val="auto"/>
    <w:pitch w:val="default"/>
    <w:sig w:usb0="E0000AFF" w:usb1="00007843" w:usb2="00000001" w:usb3="00000000" w:csb0="400001BF" w:csb1="DFF7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B0EE9">
    <w:pPr>
      <w:jc w:val="center"/>
    </w:pPr>
    <w:r>
      <w:rPr>
        <w:rFonts w:ascii="Times New Roman" w:hAnsi="Times New Roman" w:eastAsia="Times New Roman"/>
        <w:sz w:val="16"/>
      </w:rPr>
      <w:t xml:space="preserve">Supplementary Appendix | Page </w:t>
    </w:r>
    <w:r>
      <w:fldChar w:fldCharType="begin"/>
    </w:r>
    <w:r>
      <w:instrText xml:space="preserve">PAGE</w:instrTex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7FF5AC3"/>
    <w:rsid w:val="1BB36921"/>
    <w:rsid w:val="1FFE74AD"/>
    <w:rsid w:val="295B2686"/>
    <w:rsid w:val="37BB0D87"/>
    <w:rsid w:val="4ACB1CD6"/>
    <w:rsid w:val="5CFD8B0A"/>
    <w:rsid w:val="5DFF30ED"/>
    <w:rsid w:val="5FF59057"/>
    <w:rsid w:val="625B84A7"/>
    <w:rsid w:val="6FBFCD0E"/>
    <w:rsid w:val="758C2719"/>
    <w:rsid w:val="77DF3B70"/>
    <w:rsid w:val="7B6CBC78"/>
    <w:rsid w:val="7CF79180"/>
    <w:rsid w:val="7F3C7ECB"/>
    <w:rsid w:val="7FEF030D"/>
    <w:rsid w:val="7FFF066A"/>
    <w:rsid w:val="A1B7C106"/>
    <w:rsid w:val="AFBF78B4"/>
    <w:rsid w:val="BAB7D32F"/>
    <w:rsid w:val="BF95D63E"/>
    <w:rsid w:val="BFF7AF31"/>
    <w:rsid w:val="DBD6D937"/>
    <w:rsid w:val="DFEB67F8"/>
    <w:rsid w:val="EDDF478E"/>
    <w:rsid w:val="EFF3683D"/>
    <w:rsid w:val="F66FC954"/>
    <w:rsid w:val="F7FF5AC3"/>
    <w:rsid w:val="FC6561A8"/>
    <w:rsid w:val="FDBB0F98"/>
    <w:rsid w:val="FEBF26E8"/>
    <w:rsid w:val="FF67B6B8"/>
    <w:rsid w:val="FF7EE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20" w:line="240" w:lineRule="auto"/>
      <w:jc w:val="both"/>
    </w:pPr>
    <w:rPr>
      <w:rFonts w:asciiTheme="minorHAnsi" w:hAnsiTheme="minorHAnsi" w:eastAsiaTheme="minorEastAsia" w:cstheme="minorBidi"/>
      <w:kern w:val="2"/>
      <w:sz w:val="20"/>
      <w:szCs w:val="24"/>
      <w:lang w:val="en-US" w:eastAsia="zh-CN" w:bidi="ar-SA"/>
    </w:rPr>
  </w:style>
  <w:style w:type="paragraph" w:styleId="2">
    <w:name w:val="heading 3"/>
    <w:basedOn w:val="1"/>
    <w:next w:val="1"/>
    <w:semiHidden/>
    <w:unhideWhenUsed/>
    <w:qFormat/>
    <w:uiPriority w:val="0"/>
    <w:pPr>
      <w:keepNext/>
      <w:spacing w:before="160" w:beforeAutospacing="1" w:after="120" w:afterAutospacing="1"/>
      <w:jc w:val="left"/>
    </w:pPr>
    <w:rPr>
      <w:rFonts w:hint="eastAsia" w:ascii="Times New Roman" w:hAnsi="Times New Roman" w:eastAsia="Times New Roman" w:cs="宋体"/>
      <w:b/>
      <w:bCs/>
      <w:kern w:val="0"/>
      <w:sz w:val="20"/>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 w:type="character" w:customStyle="1" w:styleId="8">
    <w:name w:val="font11"/>
    <w:basedOn w:val="5"/>
    <w:uiPriority w:val="0"/>
    <w:rPr>
      <w:rFonts w:hint="default" w:ascii="Times New Roman Regular" w:hAnsi="Times New Roman Regular" w:eastAsia="Times New Roman Regular" w:cs="Times New Roman Regular"/>
      <w:color w:val="000000"/>
      <w:sz w:val="24"/>
      <w:szCs w:val="24"/>
      <w:u w:val="none"/>
    </w:rPr>
  </w:style>
  <w:style w:type="paragraph" w:customStyle="1" w:styleId="9">
    <w:name w:val="heading 1"/>
    <w:uiPriority w:val="0"/>
    <w:pPr>
      <w:keepNext/>
      <w:spacing w:before="240" w:after="120"/>
    </w:pPr>
    <w:rPr>
      <w:rFonts w:ascii="Times New Roman" w:hAnsi="Times New Roman" w:eastAsia="Times New Roman" w:cs="Times New Roman"/>
      <w:b/>
      <w:sz w:val="26"/>
    </w:rPr>
  </w:style>
  <w:style w:type="paragraph" w:customStyle="1" w:styleId="10">
    <w:name w:val="heading 2"/>
    <w:uiPriority w:val="0"/>
    <w:pPr>
      <w:keepNext/>
      <w:spacing w:before="160" w:after="120"/>
    </w:pPr>
    <w:rPr>
      <w:rFonts w:ascii="Times New Roman" w:hAnsi="Times New Roman" w:eastAsia="Times New Roman" w:cs="Times New Roman"/>
      <w:b/>
      <w:sz w:val="22"/>
    </w:rPr>
  </w:style>
  <w:style w:type="paragraph" w:customStyle="1" w:styleId="11">
    <w:name w:val="Title"/>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118</Pages>
  <Words>0</Words>
  <Characters>0</Characters>
  <Lines>0</Lines>
  <Paragraphs>0</Paragraphs>
  <TotalTime>24</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2026-04-29T01:42:00Z</dcterms:created>
  <dc:creator>心海儿</dc:creator>
  <cp:lastModifiedBy>心海儿</cp:lastModifiedBy>
  <dcterms:modified xsi:type="dcterms:W3CDTF">2026-07-10T18:37:28Z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1A3301760E81B3831DBFEE694FAD3C4B_41</vt:lpwstr>
  </property>
</Properties>
</file>