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F333" w14:textId="77777777" w:rsidR="007969C7" w:rsidRDefault="007969C7" w:rsidP="007969C7">
      <w:pPr>
        <w:spacing w:before="120" w:after="40"/>
        <w:jc w:val="center"/>
      </w:pPr>
      <w:r>
        <w:rPr>
          <w:b/>
          <w:bCs/>
          <w:sz w:val="18"/>
          <w:szCs w:val="18"/>
        </w:rPr>
        <w:t>TABLE I. Control Factors and Levels for Taguchi L9 Experiment</w:t>
      </w:r>
    </w:p>
    <w:tbl>
      <w:tblPr>
        <w:tblW w:w="7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980"/>
        <w:gridCol w:w="1380"/>
        <w:gridCol w:w="1380"/>
        <w:gridCol w:w="1380"/>
      </w:tblGrid>
      <w:tr w:rsidR="007969C7" w14:paraId="269BFA73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DCCF0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Factor</w:t>
            </w:r>
          </w:p>
        </w:tc>
        <w:tc>
          <w:tcPr>
            <w:tcW w:w="19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BCBC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Parameter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54B0A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Level 1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092AEB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Level 2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03AC8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Level 3</w:t>
            </w:r>
          </w:p>
        </w:tc>
      </w:tr>
      <w:tr w:rsidR="007969C7" w14:paraId="636E75E7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E3E7EA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9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44E98D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Squeegee Speed (mm/s)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C0B57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8F5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FF728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8562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</w:tr>
      <w:tr w:rsidR="007969C7" w14:paraId="76E38684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AE074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9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ABA0F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Print Pressure (N)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A0CE4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8F5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166B4F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1F96A9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7969C7" w14:paraId="73A3B56B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C6DD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9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E9C90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Snap-off Distance (mm)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8F06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8F5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BC03E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D7B6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0.25</w:t>
            </w:r>
          </w:p>
        </w:tc>
      </w:tr>
    </w:tbl>
    <w:p w14:paraId="6A73C101" w14:textId="77777777" w:rsidR="007969C7" w:rsidRDefault="007969C7" w:rsidP="007969C7">
      <w:pPr>
        <w:spacing w:before="30" w:after="100"/>
        <w:jc w:val="center"/>
      </w:pPr>
      <w:r>
        <w:rPr>
          <w:i/>
          <w:iCs/>
          <w:color w:val="555555"/>
          <w:sz w:val="16"/>
          <w:szCs w:val="16"/>
        </w:rPr>
        <w:t>* Highlighted cells indicate optimal levels as determined by S/N analysis.</w:t>
      </w:r>
    </w:p>
    <w:p w14:paraId="2B24D6B2" w14:textId="77777777" w:rsidR="007969C7" w:rsidRDefault="007969C7" w:rsidP="007969C7">
      <w:pPr>
        <w:spacing w:before="120" w:after="40"/>
        <w:jc w:val="center"/>
        <w:rPr>
          <w:b/>
          <w:bCs/>
          <w:color w:val="1F4E79"/>
          <w:sz w:val="22"/>
          <w:szCs w:val="22"/>
        </w:rPr>
      </w:pPr>
    </w:p>
    <w:p w14:paraId="17A281C9" w14:textId="5024B447" w:rsidR="007969C7" w:rsidRDefault="007969C7" w:rsidP="007969C7">
      <w:pPr>
        <w:spacing w:before="120" w:after="40"/>
        <w:jc w:val="center"/>
      </w:pPr>
      <w:r>
        <w:rPr>
          <w:b/>
          <w:bCs/>
          <w:sz w:val="18"/>
          <w:szCs w:val="18"/>
        </w:rPr>
        <w:t>TABLE II. L9 Orthogonal Array and Experimental Results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260"/>
        <w:gridCol w:w="1260"/>
        <w:gridCol w:w="1260"/>
        <w:gridCol w:w="1620"/>
        <w:gridCol w:w="1440"/>
        <w:gridCol w:w="900"/>
      </w:tblGrid>
      <w:tr w:rsidR="007969C7" w14:paraId="162B9ACE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59BF4E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Run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0CF186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A: Speed (mm/s)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A6184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B: Pressure (N)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BFBDD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C: Snap-off (mm)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A3150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Defect Rate (%)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E2B6B5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S/N Ratio (dB)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8262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Rank</w:t>
            </w:r>
          </w:p>
        </w:tc>
      </w:tr>
      <w:tr w:rsidR="007969C7" w14:paraId="1350C55E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DE8A02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138E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D0EF6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C20A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FD53E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8979D9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-18.28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4501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7969C7" w14:paraId="42E6F8D7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B0602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66343A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E7069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5B2FB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42ECA2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5.1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7CB23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-14.15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CD6D4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7969C7" w14:paraId="05D309CD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E5303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786FB9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62E4B2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C6E5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2964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B763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-16.65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D1CDDA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7969C7" w14:paraId="6574783B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2BBCA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097C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FB699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0F67FA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14C7A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3BFF7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-12.67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C3B7F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7969C7" w14:paraId="14ECC679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56DF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C954B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4714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39DD5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EC85A8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D042F8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-10.1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5DBC4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7969C7" w14:paraId="24228C9C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86C262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DC0CC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4278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E620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29E0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7.6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5281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-17.62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A0DBF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:rsidR="007969C7" w14:paraId="04082A8A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9114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983A5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01FC6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C15F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2380D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11B4D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-15.41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53203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7969C7" w14:paraId="0A33CA59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549EF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3315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69892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EE12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05C0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6.4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68321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-16.12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57891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:rsidR="007969C7" w14:paraId="1FBADB62" w14:textId="77777777" w:rsidTr="00FB0086"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E65D4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950EF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BC69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AF474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F661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0D13CA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-13.44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D218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</w:tbl>
    <w:p w14:paraId="5E7EF4B3" w14:textId="77777777" w:rsidR="007969C7" w:rsidRDefault="007969C7" w:rsidP="007969C7">
      <w:pPr>
        <w:spacing w:before="30" w:after="120"/>
        <w:jc w:val="center"/>
      </w:pPr>
      <w:r>
        <w:rPr>
          <w:i/>
          <w:iCs/>
          <w:color w:val="555555"/>
          <w:sz w:val="16"/>
          <w:szCs w:val="16"/>
        </w:rPr>
        <w:t>Run 5 (highlighted) corresponds to the optimal combination: A₂B₂C₃ (Speed = 50 mm/s, Pressure = 7 N, Snap-off = 0.25 mm).</w:t>
      </w:r>
    </w:p>
    <w:p w14:paraId="060BAD4A" w14:textId="1EC6EAA6" w:rsidR="007969C7" w:rsidRDefault="007969C7" w:rsidP="007969C7">
      <w:pPr>
        <w:spacing w:before="140" w:after="60"/>
      </w:pPr>
    </w:p>
    <w:p w14:paraId="090393A1" w14:textId="77777777" w:rsidR="007969C7" w:rsidRDefault="007969C7" w:rsidP="007969C7">
      <w:pPr>
        <w:spacing w:before="120" w:after="40"/>
        <w:jc w:val="center"/>
      </w:pPr>
      <w:r>
        <w:rPr>
          <w:b/>
          <w:bCs/>
          <w:sz w:val="18"/>
          <w:szCs w:val="18"/>
        </w:rPr>
        <w:t>TABLE III. ANOVA Results for Solder Paste Printing Parameters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900"/>
        <w:gridCol w:w="1080"/>
        <w:gridCol w:w="1260"/>
        <w:gridCol w:w="1440"/>
        <w:gridCol w:w="900"/>
        <w:gridCol w:w="900"/>
      </w:tblGrid>
      <w:tr w:rsidR="007969C7" w14:paraId="1DF19FBE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432D40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Source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2BDF11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DOF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1981D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Sum of Sq.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96055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Mean Sq.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6DED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F-Ratio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AF1BCB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P-Value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CA1E1B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Contrib. (%)</w:t>
            </w:r>
          </w:p>
        </w:tc>
      </w:tr>
      <w:tr w:rsidR="007969C7" w14:paraId="6902C22A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89FCC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A: Squeegee Speed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29C49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224F0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38.42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3E5CF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19.21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823E82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24.86*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4F0F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BC472A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42.3</w:t>
            </w:r>
          </w:p>
        </w:tc>
      </w:tr>
      <w:tr w:rsidR="007969C7" w14:paraId="1CB79A15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DFB00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B: Print Pressure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70F68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AE67C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28.77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D0ACE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14.39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6628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18.62*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7DAC0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3C849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31.7</w:t>
            </w:r>
          </w:p>
        </w:tc>
      </w:tr>
      <w:tr w:rsidR="007969C7" w14:paraId="66CB4F4F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EC97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C: Snap-off Distance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35F5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8CDA7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16.71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A666A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8.36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BD7A9F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10.81*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16110F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994A7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18.4</w:t>
            </w:r>
          </w:p>
        </w:tc>
      </w:tr>
      <w:tr w:rsidR="007969C7" w14:paraId="5293AB47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AE890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CAB62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BA678F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6.90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23A2A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4BCD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6E20F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F42DF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7.6</w:t>
            </w:r>
          </w:p>
        </w:tc>
      </w:tr>
      <w:tr w:rsidR="007969C7" w14:paraId="27758C15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EA12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183CC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DFF38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90.80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8DA6EE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—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9D719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CD9D5F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AFD55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100.0</w:t>
            </w:r>
          </w:p>
        </w:tc>
      </w:tr>
    </w:tbl>
    <w:p w14:paraId="638BD22D" w14:textId="77777777" w:rsidR="007969C7" w:rsidRDefault="007969C7" w:rsidP="007969C7">
      <w:pPr>
        <w:spacing w:before="30" w:after="120"/>
        <w:jc w:val="center"/>
      </w:pPr>
      <w:r>
        <w:rPr>
          <w:i/>
          <w:iCs/>
          <w:color w:val="555555"/>
          <w:sz w:val="16"/>
          <w:szCs w:val="16"/>
        </w:rPr>
        <w:t>* Significant at α = 0.05 level. DOF = Degrees of Freedom.</w:t>
      </w:r>
    </w:p>
    <w:p w14:paraId="33D1DDAD" w14:textId="1C8E7BAE" w:rsidR="007969C7" w:rsidRDefault="007969C7" w:rsidP="007969C7">
      <w:pPr>
        <w:spacing w:after="100" w:line="276" w:lineRule="auto"/>
        <w:jc w:val="both"/>
      </w:pPr>
    </w:p>
    <w:p w14:paraId="15320C2B" w14:textId="77777777" w:rsidR="007969C7" w:rsidRDefault="007969C7" w:rsidP="007969C7">
      <w:pPr>
        <w:spacing w:before="120" w:after="40"/>
        <w:jc w:val="center"/>
      </w:pPr>
      <w:r>
        <w:rPr>
          <w:b/>
          <w:bCs/>
          <w:sz w:val="18"/>
          <w:szCs w:val="18"/>
        </w:rPr>
        <w:t>TABLE IV. Defect Rates per Category: Baseline vs. Optimal Parameters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1080"/>
        <w:gridCol w:w="1080"/>
        <w:gridCol w:w="1080"/>
        <w:gridCol w:w="1260"/>
        <w:gridCol w:w="900"/>
        <w:gridCol w:w="1080"/>
      </w:tblGrid>
      <w:tr w:rsidR="007969C7" w14:paraId="4AE4F19D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98AB0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Defect Category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1A5D3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Baseline Rate (%)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765081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Optimal Rate (%)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B630B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Reduction (%)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37257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S/N Gain (dB)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16492D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IPC Class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020775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Status</w:t>
            </w:r>
          </w:p>
        </w:tc>
      </w:tr>
      <w:tr w:rsidR="007969C7" w14:paraId="28392935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15F345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Missing Hole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2272BD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9879E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86F93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62.2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2D40A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+8.45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15BAE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2/3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01C44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  <w:tr w:rsidR="007969C7" w14:paraId="4C594BEC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EE9B30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Mouse Bite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45E7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9203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06037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63.1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1026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+8.65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86904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2/3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9994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  <w:tr w:rsidR="007969C7" w14:paraId="2BB0AC69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C27980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Open Circuit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BBD20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7.8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54F0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659C6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62.8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2D112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+8.59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F8C052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2/3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F6BCAB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  <w:tr w:rsidR="007969C7" w14:paraId="3806BB27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D30C24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Short Circuit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58C4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9.1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4744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D05B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61.5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60C2A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+8.30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8489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2/3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A5FDCE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  <w:tr w:rsidR="007969C7" w14:paraId="0E8CEBDC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68F8C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Spur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DD988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8F10FE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8BD145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63.0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E7F44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+8.63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91E6D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5254D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  <w:tr w:rsidR="007969C7" w14:paraId="764AE8D3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11C28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Spurious Copper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E1FE14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D0D0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A5FA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61.8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4388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+8.36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384E21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2/3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A3AB4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  <w:tr w:rsidR="007969C7" w14:paraId="65F29D56" w14:textId="77777777" w:rsidTr="00FB0086">
        <w:tc>
          <w:tcPr>
            <w:tcW w:w="21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2D3E6" w14:textId="77777777" w:rsidR="007969C7" w:rsidRDefault="007969C7" w:rsidP="00FB0086"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Mean / Total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7F219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AF9739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49665C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62.3</w:t>
            </w:r>
          </w:p>
        </w:tc>
        <w:tc>
          <w:tcPr>
            <w:tcW w:w="126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8AC9E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+8.49</w:t>
            </w:r>
          </w:p>
        </w:tc>
        <w:tc>
          <w:tcPr>
            <w:tcW w:w="9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32F10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558C4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PASS</w:t>
            </w:r>
          </w:p>
        </w:tc>
      </w:tr>
    </w:tbl>
    <w:p w14:paraId="278AD285" w14:textId="77777777" w:rsidR="007969C7" w:rsidRDefault="007969C7" w:rsidP="007969C7">
      <w:pPr>
        <w:spacing w:before="30" w:after="120"/>
        <w:jc w:val="center"/>
      </w:pPr>
      <w:r>
        <w:rPr>
          <w:i/>
          <w:iCs/>
          <w:color w:val="555555"/>
          <w:sz w:val="16"/>
          <w:szCs w:val="16"/>
        </w:rPr>
        <w:t>IPC-A-610 Class 2/3 compliance thresholds applied. All optimized defect rates satisfy Class 2 and Class 3 acceptance criteria.</w:t>
      </w:r>
    </w:p>
    <w:p w14:paraId="26494133" w14:textId="77777777" w:rsidR="007969C7" w:rsidRDefault="007969C7" w:rsidP="007969C7">
      <w:pPr>
        <w:spacing w:before="120" w:after="40"/>
        <w:jc w:val="center"/>
        <w:rPr>
          <w:i/>
          <w:iCs/>
          <w:color w:val="444444"/>
          <w:sz w:val="18"/>
          <w:szCs w:val="18"/>
        </w:rPr>
      </w:pPr>
    </w:p>
    <w:p w14:paraId="5F02A27F" w14:textId="650FB2BF" w:rsidR="007969C7" w:rsidRDefault="007969C7" w:rsidP="007969C7">
      <w:pPr>
        <w:spacing w:before="120" w:after="40"/>
        <w:jc w:val="center"/>
      </w:pPr>
      <w:r>
        <w:rPr>
          <w:b/>
          <w:bCs/>
          <w:sz w:val="18"/>
          <w:szCs w:val="18"/>
        </w:rPr>
        <w:t>TABLE V. Confirmatory Experiment Results at Optimal Parameters (A₂B₂C₃)</w:t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620"/>
        <w:gridCol w:w="1620"/>
        <w:gridCol w:w="1620"/>
        <w:gridCol w:w="1440"/>
      </w:tblGrid>
      <w:tr w:rsidR="007969C7" w14:paraId="64D6F1A7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20DC3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C3FE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Predicted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B9326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Observed (Mean)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905AD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95% CI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8B94C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Status</w:t>
            </w:r>
          </w:p>
        </w:tc>
      </w:tr>
      <w:tr w:rsidR="007969C7" w14:paraId="2135D9C0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17467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Defect Rate (%)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DB5A00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188FE2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3.18 ± 0.24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54C1CB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[2.97, 3.43]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B69C7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CONFIRMED</w:t>
            </w:r>
          </w:p>
        </w:tc>
      </w:tr>
      <w:tr w:rsidR="007969C7" w14:paraId="3DC8EC24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F684D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S/N Ratio (dB)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12BB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−10.10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7BC5D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−10.04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82194C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[−10.28, −9.81]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114675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CONFIRMED</w:t>
            </w:r>
          </w:p>
        </w:tc>
      </w:tr>
      <w:tr w:rsidR="007969C7" w14:paraId="2B4DE008" w14:textId="77777777" w:rsidTr="00FB0086">
        <w:tc>
          <w:tcPr>
            <w:tcW w:w="180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1801CF" w14:textId="77777777" w:rsidR="007969C7" w:rsidRDefault="007969C7" w:rsidP="00FB0086">
            <w:r>
              <w:rPr>
                <w:color w:val="000000"/>
                <w:sz w:val="18"/>
                <w:szCs w:val="18"/>
              </w:rPr>
              <w:t>Cpk Index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0A4F26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&gt; 1.33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B1C53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62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CA8CD7" w14:textId="77777777" w:rsidR="007969C7" w:rsidRDefault="007969C7" w:rsidP="00FB0086">
            <w:pPr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440" w:type="dxa"/>
            <w:tcBorders>
              <w:top w:val="single" w:sz="2" w:space="0" w:color="AAAAAA"/>
              <w:left w:val="none" w:sz="0" w:space="0" w:color="FFFFFF"/>
              <w:bottom w:val="single" w:sz="2" w:space="0" w:color="AAAAAA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8A1B7F" w14:textId="77777777" w:rsidR="007969C7" w:rsidRDefault="007969C7" w:rsidP="00FB0086">
            <w:pPr>
              <w:jc w:val="center"/>
            </w:pPr>
            <w:r>
              <w:rPr>
                <w:b/>
                <w:bCs/>
                <w:color w:val="27AE60"/>
                <w:sz w:val="18"/>
                <w:szCs w:val="18"/>
              </w:rPr>
              <w:t>CAPABLE</w:t>
            </w:r>
          </w:p>
        </w:tc>
      </w:tr>
    </w:tbl>
    <w:p w14:paraId="65986759" w14:textId="77777777" w:rsidR="007969C7" w:rsidRDefault="007969C7" w:rsidP="007969C7">
      <w:pPr>
        <w:spacing w:before="30" w:after="120"/>
        <w:jc w:val="center"/>
      </w:pPr>
      <w:r>
        <w:rPr>
          <w:i/>
          <w:iCs/>
          <w:color w:val="555555"/>
          <w:sz w:val="16"/>
          <w:szCs w:val="16"/>
        </w:rPr>
        <w:t>Process capability index Cpk &gt; 1.33 confirms Six Sigma-level process control at the optimal parameter setting.</w:t>
      </w:r>
    </w:p>
    <w:p w14:paraId="47A697FC" w14:textId="1045E931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C7"/>
    <w:rsid w:val="00066677"/>
    <w:rsid w:val="00153A17"/>
    <w:rsid w:val="001A37F3"/>
    <w:rsid w:val="00321932"/>
    <w:rsid w:val="003A4E89"/>
    <w:rsid w:val="00556784"/>
    <w:rsid w:val="007969C7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5120"/>
  <w15:chartTrackingRefBased/>
  <w15:docId w15:val="{7676687F-3912-4E24-B8C1-7220320B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9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9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9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9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9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9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9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9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9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9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9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9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9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6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9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6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9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6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9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69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9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9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2026-07-24T17:43:00Z</dcterms:created>
  <dcterms:modified xsi:type="dcterms:W3CDTF">2026-07-24T17:44:00Z</dcterms:modified>
</cp:coreProperties>
</file>