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55BE" w:rsidRDefault="00E955BE" w:rsidP="00E955BE">
      <w:pPr>
        <w:pStyle w:val="berschriftMajor"/>
      </w:pPr>
      <w:r w:rsidRPr="000F0607">
        <w:t>Supplementary</w:t>
      </w:r>
      <w:r>
        <w:t xml:space="preserve"> Material for</w:t>
      </w:r>
    </w:p>
    <w:p w:rsidR="00E955BE" w:rsidRDefault="00E955BE" w:rsidP="00E955BE">
      <w:pPr>
        <w:pStyle w:val="berschriftMajor"/>
      </w:pPr>
    </w:p>
    <w:p w:rsidR="00E955BE" w:rsidRDefault="00E955BE" w:rsidP="00E955BE">
      <w:pPr>
        <w:jc w:val="both"/>
        <w:rPr>
          <w:b/>
          <w:lang w:val="en-GB"/>
        </w:rPr>
      </w:pPr>
      <w:r w:rsidRPr="00A8504F">
        <w:rPr>
          <w:b/>
          <w:lang w:val="en-GB"/>
        </w:rPr>
        <w:t>House mice (</w:t>
      </w:r>
      <w:r w:rsidRPr="00A8504F">
        <w:rPr>
          <w:b/>
          <w:i/>
          <w:lang w:val="en-GB"/>
        </w:rPr>
        <w:t xml:space="preserve">Mus musculus </w:t>
      </w:r>
      <w:proofErr w:type="spellStart"/>
      <w:r w:rsidRPr="00A8504F">
        <w:rPr>
          <w:b/>
          <w:i/>
          <w:lang w:val="en-GB"/>
        </w:rPr>
        <w:t>domesticus</w:t>
      </w:r>
      <w:proofErr w:type="spellEnd"/>
      <w:r w:rsidRPr="00A8504F">
        <w:rPr>
          <w:b/>
          <w:lang w:val="en-GB"/>
        </w:rPr>
        <w:t xml:space="preserve">) demonstrate prosocial behaviour </w:t>
      </w:r>
      <w:r>
        <w:rPr>
          <w:b/>
          <w:lang w:val="en-GB"/>
        </w:rPr>
        <w:t>only in the absence of food rewards</w:t>
      </w:r>
    </w:p>
    <w:p w:rsidR="00E955BE" w:rsidRDefault="00E955BE" w:rsidP="00E955BE">
      <w:pPr>
        <w:jc w:val="both"/>
        <w:rPr>
          <w:b/>
          <w:lang w:val="en-GB"/>
        </w:rPr>
      </w:pPr>
    </w:p>
    <w:p w:rsidR="00E955BE" w:rsidRPr="008A3AB0" w:rsidRDefault="00E955BE" w:rsidP="00E955BE">
      <w:pPr>
        <w:jc w:val="both"/>
        <w:rPr>
          <w:vertAlign w:val="superscript"/>
          <w:lang w:val="de-DE"/>
        </w:rPr>
      </w:pPr>
      <w:r w:rsidRPr="008A3AB0">
        <w:rPr>
          <w:lang w:val="de-DE"/>
        </w:rPr>
        <w:t>Tamara Isabelle Sorg</w:t>
      </w:r>
      <w:r w:rsidRPr="008A3AB0">
        <w:rPr>
          <w:vertAlign w:val="superscript"/>
          <w:lang w:val="de-DE"/>
        </w:rPr>
        <w:t>1,2*</w:t>
      </w:r>
      <w:r w:rsidRPr="008A3AB0">
        <w:rPr>
          <w:lang w:val="de-DE"/>
        </w:rPr>
        <w:t>, Anja Guenther</w:t>
      </w:r>
      <w:r w:rsidRPr="008A3AB0">
        <w:rPr>
          <w:vertAlign w:val="superscript"/>
          <w:lang w:val="de-DE"/>
        </w:rPr>
        <w:t>3,4</w:t>
      </w:r>
      <w:r w:rsidRPr="008A3AB0">
        <w:rPr>
          <w:lang w:val="de-DE"/>
        </w:rPr>
        <w:t>, Peter M. Kappeler</w:t>
      </w:r>
      <w:r w:rsidRPr="008A3AB0">
        <w:rPr>
          <w:vertAlign w:val="superscript"/>
          <w:lang w:val="de-DE"/>
        </w:rPr>
        <w:t>1,2,5</w:t>
      </w:r>
      <w:r w:rsidRPr="008A3AB0">
        <w:rPr>
          <w:lang w:val="de-DE"/>
        </w:rPr>
        <w:t>, Claudia Fichtel</w:t>
      </w:r>
      <w:r w:rsidRPr="008A3AB0">
        <w:rPr>
          <w:vertAlign w:val="superscript"/>
          <w:lang w:val="de-DE"/>
        </w:rPr>
        <w:t>1</w:t>
      </w:r>
    </w:p>
    <w:p w:rsidR="00E955BE" w:rsidRDefault="00E955BE" w:rsidP="00E955BE">
      <w:pPr>
        <w:jc w:val="both"/>
        <w:rPr>
          <w:lang w:val="en-GB"/>
        </w:rPr>
      </w:pPr>
      <w:r w:rsidRPr="003E69A0">
        <w:rPr>
          <w:vertAlign w:val="superscript"/>
          <w:lang w:val="en-GB"/>
        </w:rPr>
        <w:t>1</w:t>
      </w:r>
      <w:r w:rsidRPr="003E69A0">
        <w:rPr>
          <w:lang w:val="en-GB"/>
        </w:rPr>
        <w:t xml:space="preserve">Behavioral Ecology &amp; </w:t>
      </w:r>
      <w:proofErr w:type="spellStart"/>
      <w:r w:rsidRPr="003E69A0">
        <w:rPr>
          <w:lang w:val="en-GB"/>
        </w:rPr>
        <w:t>Sociobiology</w:t>
      </w:r>
      <w:proofErr w:type="spellEnd"/>
      <w:r w:rsidRPr="003E69A0">
        <w:rPr>
          <w:lang w:val="en-GB"/>
        </w:rPr>
        <w:t xml:space="preserve"> Unit, German Primate </w:t>
      </w:r>
      <w:proofErr w:type="spellStart"/>
      <w:r w:rsidRPr="003E69A0">
        <w:rPr>
          <w:lang w:val="en-GB"/>
        </w:rPr>
        <w:t>Center</w:t>
      </w:r>
      <w:proofErr w:type="spellEnd"/>
      <w:r w:rsidRPr="003E69A0">
        <w:rPr>
          <w:lang w:val="en-GB"/>
        </w:rPr>
        <w:t>, Leibniz Institute for</w:t>
      </w:r>
      <w:r>
        <w:rPr>
          <w:lang w:val="en-GB"/>
        </w:rPr>
        <w:t xml:space="preserve"> </w:t>
      </w:r>
      <w:r w:rsidRPr="003E69A0">
        <w:rPr>
          <w:lang w:val="en-GB"/>
        </w:rPr>
        <w:t>Primate Research</w:t>
      </w:r>
      <w:r>
        <w:rPr>
          <w:lang w:val="en-GB"/>
        </w:rPr>
        <w:t>,</w:t>
      </w:r>
      <w:r w:rsidRPr="003E69A0">
        <w:rPr>
          <w:lang w:val="en-GB"/>
        </w:rPr>
        <w:t xml:space="preserve"> G</w:t>
      </w:r>
      <w:r>
        <w:rPr>
          <w:lang w:val="en-GB"/>
        </w:rPr>
        <w:t>ö</w:t>
      </w:r>
      <w:r w:rsidRPr="003E69A0">
        <w:rPr>
          <w:lang w:val="en-GB"/>
        </w:rPr>
        <w:t>ttingen, Germany</w:t>
      </w:r>
    </w:p>
    <w:p w:rsidR="00E955BE" w:rsidRDefault="00E955BE" w:rsidP="00E955BE">
      <w:pPr>
        <w:jc w:val="both"/>
        <w:rPr>
          <w:lang w:val="en-GB"/>
        </w:rPr>
      </w:pPr>
      <w:r w:rsidRPr="003E69A0">
        <w:rPr>
          <w:vertAlign w:val="superscript"/>
          <w:lang w:val="en-GB"/>
        </w:rPr>
        <w:t>2</w:t>
      </w:r>
      <w:r w:rsidRPr="0028684C">
        <w:rPr>
          <w:lang w:val="en-GB"/>
        </w:rPr>
        <w:t xml:space="preserve">Department of </w:t>
      </w:r>
      <w:proofErr w:type="spellStart"/>
      <w:r w:rsidRPr="0028684C">
        <w:rPr>
          <w:lang w:val="en-GB"/>
        </w:rPr>
        <w:t>Sociobiology</w:t>
      </w:r>
      <w:proofErr w:type="spellEnd"/>
      <w:r w:rsidRPr="0028684C">
        <w:rPr>
          <w:lang w:val="en-GB"/>
        </w:rPr>
        <w:t xml:space="preserve"> /Anthropology, Johann-Friedrich-Blumenbach Institute of</w:t>
      </w:r>
      <w:r>
        <w:rPr>
          <w:lang w:val="en-GB"/>
        </w:rPr>
        <w:t xml:space="preserve"> </w:t>
      </w:r>
      <w:r w:rsidRPr="0028684C">
        <w:rPr>
          <w:lang w:val="en-GB"/>
        </w:rPr>
        <w:t>Zoology and Anthropology, University</w:t>
      </w:r>
      <w:r>
        <w:rPr>
          <w:lang w:val="en-GB"/>
        </w:rPr>
        <w:t xml:space="preserve"> of</w:t>
      </w:r>
      <w:r w:rsidRPr="0028684C">
        <w:rPr>
          <w:lang w:val="en-GB"/>
        </w:rPr>
        <w:t xml:space="preserve"> G</w:t>
      </w:r>
      <w:r>
        <w:rPr>
          <w:lang w:val="en-GB"/>
        </w:rPr>
        <w:t>ö</w:t>
      </w:r>
      <w:r w:rsidRPr="0028684C">
        <w:rPr>
          <w:lang w:val="en-GB"/>
        </w:rPr>
        <w:t>ttingen</w:t>
      </w:r>
      <w:r>
        <w:rPr>
          <w:lang w:val="en-GB"/>
        </w:rPr>
        <w:t>,</w:t>
      </w:r>
      <w:r w:rsidRPr="0028684C">
        <w:rPr>
          <w:lang w:val="en-GB"/>
        </w:rPr>
        <w:t xml:space="preserve"> G</w:t>
      </w:r>
      <w:r>
        <w:rPr>
          <w:lang w:val="en-GB"/>
        </w:rPr>
        <w:t>ö</w:t>
      </w:r>
      <w:r w:rsidRPr="0028684C">
        <w:rPr>
          <w:lang w:val="en-GB"/>
        </w:rPr>
        <w:t>ttingen, Germany</w:t>
      </w:r>
    </w:p>
    <w:p w:rsidR="00E955BE" w:rsidRDefault="00E955BE" w:rsidP="00E955BE">
      <w:pPr>
        <w:jc w:val="both"/>
        <w:rPr>
          <w:lang w:val="en-GB"/>
        </w:rPr>
      </w:pPr>
      <w:r w:rsidRPr="003E69A0">
        <w:rPr>
          <w:vertAlign w:val="superscript"/>
          <w:lang w:val="en-GB"/>
        </w:rPr>
        <w:t>3</w:t>
      </w:r>
      <w:r w:rsidRPr="0028684C">
        <w:rPr>
          <w:lang w:val="en-GB"/>
        </w:rPr>
        <w:t xml:space="preserve">RG Behavioural Ecology of Individual Differences, Max Planck Institute for Evolutionary Biology, </w:t>
      </w:r>
      <w:proofErr w:type="spellStart"/>
      <w:r w:rsidRPr="0028684C">
        <w:rPr>
          <w:lang w:val="en-GB"/>
        </w:rPr>
        <w:t>Pl</w:t>
      </w:r>
      <w:r>
        <w:rPr>
          <w:lang w:val="en-GB"/>
        </w:rPr>
        <w:t>oe</w:t>
      </w:r>
      <w:r w:rsidRPr="0028684C">
        <w:rPr>
          <w:lang w:val="en-GB"/>
        </w:rPr>
        <w:t>n</w:t>
      </w:r>
      <w:proofErr w:type="spellEnd"/>
      <w:r w:rsidRPr="0028684C">
        <w:rPr>
          <w:lang w:val="en-GB"/>
        </w:rPr>
        <w:t>, Germany</w:t>
      </w:r>
    </w:p>
    <w:p w:rsidR="00E955BE" w:rsidRDefault="00E955BE" w:rsidP="00E955BE">
      <w:pPr>
        <w:jc w:val="both"/>
        <w:rPr>
          <w:lang w:val="en-GB"/>
        </w:rPr>
      </w:pPr>
      <w:r w:rsidRPr="003E69A0">
        <w:rPr>
          <w:vertAlign w:val="superscript"/>
          <w:lang w:val="en-GB"/>
        </w:rPr>
        <w:t>4</w:t>
      </w:r>
      <w:r w:rsidRPr="00A43D00">
        <w:rPr>
          <w:lang w:val="en-GB"/>
        </w:rPr>
        <w:t>Zoology and Animal Ecology, University of Hildesheim, Hildesheim, Germany</w:t>
      </w:r>
    </w:p>
    <w:p w:rsidR="00E955BE" w:rsidRPr="003E69A0" w:rsidRDefault="00E955BE" w:rsidP="00E955BE">
      <w:pPr>
        <w:jc w:val="both"/>
        <w:rPr>
          <w:lang w:val="en-GB"/>
        </w:rPr>
      </w:pPr>
      <w:r w:rsidRPr="003E69A0">
        <w:rPr>
          <w:vertAlign w:val="superscript"/>
          <w:lang w:val="en-GB"/>
        </w:rPr>
        <w:t>5</w:t>
      </w:r>
      <w:r w:rsidRPr="0028684C">
        <w:rPr>
          <w:lang w:val="en-GB"/>
        </w:rPr>
        <w:t xml:space="preserve">Université </w:t>
      </w:r>
      <w:proofErr w:type="spellStart"/>
      <w:r w:rsidRPr="0028684C">
        <w:rPr>
          <w:lang w:val="en-GB"/>
        </w:rPr>
        <w:t>d’Antananarivo</w:t>
      </w:r>
      <w:proofErr w:type="spellEnd"/>
      <w:r w:rsidRPr="0028684C">
        <w:rPr>
          <w:lang w:val="en-GB"/>
        </w:rPr>
        <w:t>; Antananarivo, Madagascar</w:t>
      </w:r>
      <w:bookmarkStart w:id="0" w:name="_GoBack"/>
      <w:bookmarkEnd w:id="0"/>
    </w:p>
    <w:p w:rsidR="00E955BE" w:rsidRDefault="00E955BE" w:rsidP="00E955BE">
      <w:pPr>
        <w:jc w:val="both"/>
        <w:rPr>
          <w:lang w:val="en-GB"/>
        </w:rPr>
      </w:pPr>
      <w:r w:rsidRPr="00D75075">
        <w:rPr>
          <w:lang w:val="en-GB"/>
        </w:rPr>
        <w:t xml:space="preserve">*Corresponding author. Email: </w:t>
      </w:r>
      <w:r w:rsidRPr="000F0607">
        <w:rPr>
          <w:lang w:val="en-GB"/>
        </w:rPr>
        <w:t>tamara.i.sorg@gmail.com</w:t>
      </w:r>
    </w:p>
    <w:p w:rsidR="00E955BE" w:rsidRDefault="00E955BE" w:rsidP="00E955BE">
      <w:pPr>
        <w:rPr>
          <w:b/>
          <w:lang w:val="en-GB"/>
        </w:rPr>
      </w:pPr>
      <w:r>
        <w:br w:type="page"/>
      </w:r>
    </w:p>
    <w:p w:rsidR="00E955BE" w:rsidRPr="000F0607" w:rsidRDefault="00E955BE" w:rsidP="00E955BE">
      <w:pPr>
        <w:pStyle w:val="Beschriftung"/>
        <w:jc w:val="both"/>
        <w:rPr>
          <w:i w:val="0"/>
          <w:color w:val="000000" w:themeColor="text1"/>
          <w:sz w:val="22"/>
          <w:szCs w:val="22"/>
        </w:rPr>
      </w:pPr>
      <w:bookmarkStart w:id="1" w:name="_Ref230708734"/>
      <w:r>
        <w:rPr>
          <w:b/>
          <w:i w:val="0"/>
          <w:color w:val="auto"/>
          <w:sz w:val="22"/>
          <w:szCs w:val="22"/>
        </w:rPr>
        <w:lastRenderedPageBreak/>
        <w:t xml:space="preserve">Fig. </w:t>
      </w:r>
      <w:r w:rsidRPr="000F0607">
        <w:rPr>
          <w:b/>
          <w:i w:val="0"/>
          <w:color w:val="auto"/>
          <w:sz w:val="22"/>
          <w:szCs w:val="22"/>
        </w:rPr>
        <w:t>S</w:t>
      </w:r>
      <w:r w:rsidRPr="000F0607">
        <w:rPr>
          <w:b/>
          <w:i w:val="0"/>
          <w:noProof/>
          <w:color w:val="auto"/>
          <w:sz w:val="22"/>
          <w:szCs w:val="22"/>
        </w:rPr>
        <w:t>1</w:t>
      </w:r>
      <w:bookmarkEnd w:id="1"/>
      <w:r w:rsidRPr="000F0607">
        <w:rPr>
          <w:i w:val="0"/>
          <w:color w:val="auto"/>
          <w:sz w:val="22"/>
          <w:szCs w:val="22"/>
        </w:rPr>
        <w:t xml:space="preserve"> Top</w:t>
      </w:r>
      <w:r w:rsidRPr="000F0607">
        <w:rPr>
          <w:i w:val="0"/>
          <w:color w:val="000000" w:themeColor="text1"/>
          <w:sz w:val="22"/>
          <w:szCs w:val="22"/>
        </w:rPr>
        <w:t>-view of bar-pulling PCT set-up. Compartments for actor and partner mouse are divided by a mobile barrier made of wire bars to allow limited contact between individuals and are covered by an acrylic glass lid to prevent escape. The set-up consists of a bottom and an upper tray, the upper tray is pulled backwards so both trays are visible in the picture. The left side of both trays features a handle that extends into the actor’s compartment which could be grabbed by the actor in order to pull either tray forward. Doing so pulled the other tray backward via a pulley system at the back of the trays. Blue dots indicate the food rewards, in this example a choice between (1/0 and 0/1). Schematic created from photo of set-up with use of AI.</w:t>
      </w:r>
    </w:p>
    <w:p w:rsidR="00E955BE" w:rsidRDefault="00E955BE" w:rsidP="00E955BE">
      <w:pPr>
        <w:keepNext/>
        <w:jc w:val="center"/>
        <w:rPr>
          <w:b/>
          <w:iCs/>
          <w:color w:val="000000" w:themeColor="text1"/>
          <w:sz w:val="18"/>
          <w:szCs w:val="18"/>
        </w:rPr>
      </w:pPr>
      <w:r>
        <w:rPr>
          <w:noProof/>
        </w:rPr>
        <w:drawing>
          <wp:inline distT="0" distB="0" distL="0" distR="0" wp14:anchorId="59D97916" wp14:editId="070733F0">
            <wp:extent cx="4339603" cy="650748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69945" cy="6552980"/>
                    </a:xfrm>
                    <a:prstGeom prst="rect">
                      <a:avLst/>
                    </a:prstGeom>
                    <a:noFill/>
                    <a:ln>
                      <a:noFill/>
                    </a:ln>
                  </pic:spPr>
                </pic:pic>
              </a:graphicData>
            </a:graphic>
          </wp:inline>
        </w:drawing>
      </w:r>
    </w:p>
    <w:p w:rsidR="00E955BE" w:rsidRDefault="00E955BE" w:rsidP="00E955BE">
      <w:pPr>
        <w:rPr>
          <w:b/>
          <w:iCs/>
          <w:color w:val="000000" w:themeColor="text1"/>
          <w:sz w:val="18"/>
          <w:szCs w:val="18"/>
        </w:rPr>
      </w:pPr>
      <w:r>
        <w:rPr>
          <w:b/>
          <w:iCs/>
          <w:color w:val="000000" w:themeColor="text1"/>
          <w:sz w:val="18"/>
          <w:szCs w:val="18"/>
        </w:rPr>
        <w:br w:type="page"/>
      </w:r>
    </w:p>
    <w:p w:rsidR="00E955BE" w:rsidRPr="008A3AB0" w:rsidRDefault="00E955BE" w:rsidP="00E955BE">
      <w:pPr>
        <w:jc w:val="both"/>
      </w:pPr>
      <w:r>
        <w:rPr>
          <w:b/>
        </w:rPr>
        <w:lastRenderedPageBreak/>
        <w:t xml:space="preserve">Vid.S2 </w:t>
      </w:r>
      <w:r w:rsidRPr="008A3AB0">
        <w:t xml:space="preserve">Video recording of PCT Trials with female house mice. The actor (upper compartment) is offered the choice between both-benefit and </w:t>
      </w:r>
      <w:proofErr w:type="gramStart"/>
      <w:r w:rsidRPr="008A3AB0">
        <w:t>a</w:t>
      </w:r>
      <w:r>
        <w:t>n</w:t>
      </w:r>
      <w:r w:rsidRPr="008A3AB0">
        <w:t xml:space="preserve"> other</w:t>
      </w:r>
      <w:proofErr w:type="gramEnd"/>
      <w:r w:rsidRPr="008A3AB0">
        <w:t xml:space="preserve">-benefit in two consecutive trials. In the first trial, the both-benefitting outcome is presented on the upper tray with the other-benefitting outcome on the lower tray, while in the second the placement is reversed with the both-benefitting outcome on the lower tray. </w:t>
      </w:r>
      <w:r>
        <w:t>In both trials, the actor chooses the both-benefit by pulling the corresponding tray close and both animals take the reward offered on the tray in front of them.</w:t>
      </w:r>
    </w:p>
    <w:p w:rsidR="00E955BE" w:rsidRDefault="00E955BE" w:rsidP="00E955BE">
      <w:pPr>
        <w:rPr>
          <w:b/>
        </w:rPr>
      </w:pPr>
      <w:r>
        <w:rPr>
          <w:b/>
        </w:rPr>
        <w:br w:type="page"/>
      </w:r>
    </w:p>
    <w:p w:rsidR="00E955BE" w:rsidRPr="00106C1A" w:rsidRDefault="00E955BE" w:rsidP="00E955BE">
      <w:pPr>
        <w:keepNext/>
        <w:jc w:val="both"/>
      </w:pPr>
      <w:r>
        <w:rPr>
          <w:b/>
        </w:rPr>
        <w:lastRenderedPageBreak/>
        <w:t xml:space="preserve">Fig. </w:t>
      </w:r>
      <w:r w:rsidRPr="000F0607">
        <w:rPr>
          <w:b/>
        </w:rPr>
        <w:t>S</w:t>
      </w:r>
      <w:r>
        <w:rPr>
          <w:b/>
        </w:rPr>
        <w:t>3</w:t>
      </w:r>
      <w:r w:rsidRPr="00106C1A">
        <w:t xml:space="preserve"> </w:t>
      </w:r>
      <w:r w:rsidRPr="00106C1A">
        <w:rPr>
          <w:color w:val="000000" w:themeColor="text1"/>
        </w:rPr>
        <w:t xml:space="preserve">Trap set-up used in the release paradigm. </w:t>
      </w:r>
      <w:r w:rsidRPr="000F0607">
        <w:rPr>
          <w:color w:val="000000" w:themeColor="text1"/>
        </w:rPr>
        <w:t>The metal bar blocked the door from swinging open and thereby prevented mice from leaving or entering the trap while the bar was in place. By pulling or pushing the bar to one side through the hinge, the door could be unblocked. During test conditions, the bar was only hinged on one side as hinging it on both sides proved too difficult for mice to dislodge. Schematic created from photo of set-up with use of AI.</w:t>
      </w:r>
    </w:p>
    <w:p w:rsidR="00E955BE" w:rsidRDefault="00E955BE" w:rsidP="00E955BE">
      <w:pPr>
        <w:keepNext/>
        <w:jc w:val="center"/>
      </w:pPr>
      <w:r>
        <w:rPr>
          <w:noProof/>
        </w:rPr>
        <w:drawing>
          <wp:inline distT="0" distB="0" distL="0" distR="0" wp14:anchorId="3A6023BA" wp14:editId="1547707D">
            <wp:extent cx="4420355" cy="47625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2506" r="55387" b="15432"/>
                    <a:stretch/>
                  </pic:blipFill>
                  <pic:spPr bwMode="auto">
                    <a:xfrm>
                      <a:off x="0" y="0"/>
                      <a:ext cx="4466326" cy="4812030"/>
                    </a:xfrm>
                    <a:prstGeom prst="rect">
                      <a:avLst/>
                    </a:prstGeom>
                    <a:noFill/>
                    <a:ln>
                      <a:noFill/>
                    </a:ln>
                    <a:extLst>
                      <a:ext uri="{53640926-AAD7-44D8-BBD7-CCE9431645EC}">
                        <a14:shadowObscured xmlns:a14="http://schemas.microsoft.com/office/drawing/2010/main"/>
                      </a:ext>
                    </a:extLst>
                  </pic:spPr>
                </pic:pic>
              </a:graphicData>
            </a:graphic>
          </wp:inline>
        </w:drawing>
      </w:r>
    </w:p>
    <w:p w:rsidR="00E955BE" w:rsidRDefault="00E955BE" w:rsidP="00E955BE">
      <w:r>
        <w:br w:type="page"/>
      </w:r>
    </w:p>
    <w:p w:rsidR="00E955BE" w:rsidRDefault="00E955BE" w:rsidP="00E955BE">
      <w:pPr>
        <w:jc w:val="both"/>
      </w:pPr>
      <w:r>
        <w:rPr>
          <w:b/>
        </w:rPr>
        <w:lastRenderedPageBreak/>
        <w:t xml:space="preserve">Vid. S4 </w:t>
      </w:r>
      <w:r w:rsidRPr="008A3AB0">
        <w:t xml:space="preserve">Video recording of </w:t>
      </w:r>
      <w:r>
        <w:t>Release Paradigm</w:t>
      </w:r>
      <w:r w:rsidRPr="008A3AB0">
        <w:t xml:space="preserve"> Trial</w:t>
      </w:r>
      <w:r>
        <w:t xml:space="preserve"> of the social condition with a trapped partner mouse.</w:t>
      </w:r>
      <w:r w:rsidRPr="008A3AB0">
        <w:t xml:space="preserve"> </w:t>
      </w:r>
      <w:r>
        <w:t>The actor is seen entering the test cage and immediately approaches the trap with her cage mate inside. After exploring the trap, she unblocks the trap by pulling away the bar and opens the trap door, after which her partner leaves the trap.</w:t>
      </w:r>
    </w:p>
    <w:p w:rsidR="00E955BE" w:rsidRDefault="00E955BE" w:rsidP="00E955BE">
      <w:r>
        <w:br w:type="page"/>
      </w:r>
    </w:p>
    <w:p w:rsidR="00E955BE" w:rsidRDefault="00E955BE" w:rsidP="00E955BE">
      <w:pPr>
        <w:jc w:val="both"/>
      </w:pPr>
      <w:r w:rsidRPr="000A294D">
        <w:rPr>
          <w:b/>
        </w:rPr>
        <w:lastRenderedPageBreak/>
        <w:t>Tab. S5</w:t>
      </w:r>
      <w:r>
        <w:t xml:space="preserve"> </w:t>
      </w:r>
      <w:r w:rsidRPr="000A294D">
        <w:t xml:space="preserve">Estimates and coefficients for the </w:t>
      </w:r>
      <w:r>
        <w:t>random</w:t>
      </w:r>
      <w:r w:rsidRPr="000A294D">
        <w:t xml:space="preserve"> effects of </w:t>
      </w:r>
      <w:r>
        <w:t>a</w:t>
      </w:r>
      <w:r w:rsidRPr="000A294D">
        <w:t xml:space="preserve"> GLMM on the effect of </w:t>
      </w:r>
      <w:r>
        <w:t xml:space="preserve">the social </w:t>
      </w:r>
      <w:r w:rsidRPr="000A294D">
        <w:t>condition</w:t>
      </w:r>
      <w:r>
        <w:t>s</w:t>
      </w:r>
      <w:r w:rsidRPr="000A294D">
        <w:t xml:space="preserve"> on the probability of the prosocial option being chosen across all PCT conditions</w:t>
      </w:r>
    </w:p>
    <w:tbl>
      <w:tblPr>
        <w:tblStyle w:val="Tabellenraster"/>
        <w:tblpPr w:leftFromText="180" w:rightFromText="180" w:vertAnchor="text" w:horzAnchor="margin" w:tblpY="2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6"/>
        <w:gridCol w:w="2164"/>
        <w:gridCol w:w="1286"/>
        <w:gridCol w:w="1286"/>
      </w:tblGrid>
      <w:tr w:rsidR="00E955BE" w:rsidRPr="000A294D" w:rsidTr="00235369">
        <w:trPr>
          <w:trHeight w:val="372"/>
        </w:trPr>
        <w:tc>
          <w:tcPr>
            <w:tcW w:w="1286" w:type="dxa"/>
            <w:tcBorders>
              <w:bottom w:val="single" w:sz="12" w:space="0" w:color="auto"/>
            </w:tcBorders>
            <w:noWrap/>
            <w:hideMark/>
          </w:tcPr>
          <w:p w:rsidR="00E955BE" w:rsidRPr="000A294D" w:rsidRDefault="00E955BE" w:rsidP="00235369">
            <w:pPr>
              <w:rPr>
                <w:b/>
              </w:rPr>
            </w:pPr>
            <w:r w:rsidRPr="000A294D">
              <w:rPr>
                <w:b/>
              </w:rPr>
              <w:t>Groups</w:t>
            </w:r>
          </w:p>
        </w:tc>
        <w:tc>
          <w:tcPr>
            <w:tcW w:w="2164" w:type="dxa"/>
            <w:tcBorders>
              <w:bottom w:val="single" w:sz="12" w:space="0" w:color="auto"/>
            </w:tcBorders>
            <w:noWrap/>
            <w:hideMark/>
          </w:tcPr>
          <w:p w:rsidR="00E955BE" w:rsidRPr="000A294D" w:rsidRDefault="00E955BE" w:rsidP="00235369">
            <w:pPr>
              <w:rPr>
                <w:b/>
              </w:rPr>
            </w:pPr>
            <w:r w:rsidRPr="000A294D">
              <w:rPr>
                <w:b/>
              </w:rPr>
              <w:t>Name</w:t>
            </w:r>
          </w:p>
        </w:tc>
        <w:tc>
          <w:tcPr>
            <w:tcW w:w="1286" w:type="dxa"/>
            <w:tcBorders>
              <w:bottom w:val="single" w:sz="12" w:space="0" w:color="auto"/>
            </w:tcBorders>
            <w:noWrap/>
            <w:hideMark/>
          </w:tcPr>
          <w:p w:rsidR="00E955BE" w:rsidRPr="000A294D" w:rsidRDefault="00E955BE" w:rsidP="00235369">
            <w:pPr>
              <w:jc w:val="right"/>
              <w:rPr>
                <w:b/>
              </w:rPr>
            </w:pPr>
            <w:r w:rsidRPr="000A294D">
              <w:rPr>
                <w:b/>
              </w:rPr>
              <w:t>Variance</w:t>
            </w:r>
          </w:p>
        </w:tc>
        <w:tc>
          <w:tcPr>
            <w:tcW w:w="1286" w:type="dxa"/>
            <w:tcBorders>
              <w:bottom w:val="single" w:sz="12" w:space="0" w:color="auto"/>
            </w:tcBorders>
            <w:noWrap/>
            <w:hideMark/>
          </w:tcPr>
          <w:p w:rsidR="00E955BE" w:rsidRPr="000A294D" w:rsidRDefault="00E955BE" w:rsidP="00235369">
            <w:pPr>
              <w:jc w:val="right"/>
              <w:rPr>
                <w:b/>
              </w:rPr>
            </w:pPr>
            <w:proofErr w:type="spellStart"/>
            <w:r w:rsidRPr="000A294D">
              <w:rPr>
                <w:b/>
              </w:rPr>
              <w:t>Std.Dev</w:t>
            </w:r>
            <w:proofErr w:type="spellEnd"/>
            <w:r w:rsidRPr="000A294D">
              <w:rPr>
                <w:b/>
              </w:rPr>
              <w:t>.</w:t>
            </w:r>
          </w:p>
        </w:tc>
      </w:tr>
      <w:tr w:rsidR="00E955BE" w:rsidRPr="000A294D" w:rsidTr="00235369">
        <w:trPr>
          <w:trHeight w:val="372"/>
        </w:trPr>
        <w:tc>
          <w:tcPr>
            <w:tcW w:w="1286" w:type="dxa"/>
            <w:tcBorders>
              <w:top w:val="single" w:sz="12" w:space="0" w:color="auto"/>
            </w:tcBorders>
            <w:noWrap/>
            <w:hideMark/>
          </w:tcPr>
          <w:p w:rsidR="00E955BE" w:rsidRPr="000A294D" w:rsidRDefault="00E955BE" w:rsidP="00235369">
            <w:r w:rsidRPr="000A294D">
              <w:t>ID</w:t>
            </w:r>
          </w:p>
        </w:tc>
        <w:tc>
          <w:tcPr>
            <w:tcW w:w="2164" w:type="dxa"/>
            <w:tcBorders>
              <w:top w:val="single" w:sz="12" w:space="0" w:color="auto"/>
            </w:tcBorders>
            <w:noWrap/>
            <w:hideMark/>
          </w:tcPr>
          <w:p w:rsidR="00E955BE" w:rsidRPr="000A294D" w:rsidRDefault="00E955BE" w:rsidP="00235369">
            <w:r w:rsidRPr="000A294D">
              <w:t>(Intercept)</w:t>
            </w:r>
          </w:p>
        </w:tc>
        <w:tc>
          <w:tcPr>
            <w:tcW w:w="1286" w:type="dxa"/>
            <w:tcBorders>
              <w:top w:val="single" w:sz="12" w:space="0" w:color="auto"/>
            </w:tcBorders>
            <w:noWrap/>
            <w:hideMark/>
          </w:tcPr>
          <w:p w:rsidR="00E955BE" w:rsidRPr="000A294D" w:rsidRDefault="00E955BE" w:rsidP="00235369">
            <w:pPr>
              <w:jc w:val="right"/>
            </w:pPr>
            <w:r w:rsidRPr="000A294D">
              <w:t>0</w:t>
            </w:r>
            <w:r>
              <w:t>.000</w:t>
            </w:r>
          </w:p>
        </w:tc>
        <w:tc>
          <w:tcPr>
            <w:tcW w:w="1286" w:type="dxa"/>
            <w:tcBorders>
              <w:top w:val="single" w:sz="12" w:space="0" w:color="auto"/>
            </w:tcBorders>
            <w:noWrap/>
            <w:hideMark/>
          </w:tcPr>
          <w:p w:rsidR="00E955BE" w:rsidRPr="000A294D" w:rsidRDefault="00E955BE" w:rsidP="00235369">
            <w:pPr>
              <w:jc w:val="right"/>
            </w:pPr>
            <w:r w:rsidRPr="000A294D">
              <w:t>0</w:t>
            </w:r>
            <w:r>
              <w:t>.000</w:t>
            </w:r>
          </w:p>
        </w:tc>
      </w:tr>
      <w:tr w:rsidR="00E955BE" w:rsidRPr="000A294D" w:rsidTr="00235369">
        <w:trPr>
          <w:trHeight w:val="372"/>
        </w:trPr>
        <w:tc>
          <w:tcPr>
            <w:tcW w:w="1286" w:type="dxa"/>
            <w:noWrap/>
            <w:hideMark/>
          </w:tcPr>
          <w:p w:rsidR="00E955BE" w:rsidRPr="000A294D" w:rsidRDefault="00E955BE" w:rsidP="00235369">
            <w:r w:rsidRPr="000A294D">
              <w:t>ID.1</w:t>
            </w:r>
          </w:p>
        </w:tc>
        <w:tc>
          <w:tcPr>
            <w:tcW w:w="2164" w:type="dxa"/>
            <w:noWrap/>
            <w:hideMark/>
          </w:tcPr>
          <w:p w:rsidR="00E955BE" w:rsidRPr="000A294D" w:rsidRDefault="00E955BE" w:rsidP="00235369">
            <w:proofErr w:type="spellStart"/>
            <w:proofErr w:type="gramStart"/>
            <w:r w:rsidRPr="000A294D">
              <w:t>condition.both</w:t>
            </w:r>
            <w:proofErr w:type="gramEnd"/>
            <w:r w:rsidRPr="000A294D">
              <w:t>.other</w:t>
            </w:r>
            <w:proofErr w:type="spellEnd"/>
          </w:p>
        </w:tc>
        <w:tc>
          <w:tcPr>
            <w:tcW w:w="1286" w:type="dxa"/>
            <w:noWrap/>
            <w:hideMark/>
          </w:tcPr>
          <w:p w:rsidR="00E955BE" w:rsidRPr="000A294D" w:rsidRDefault="00E955BE" w:rsidP="00235369">
            <w:pPr>
              <w:jc w:val="right"/>
            </w:pPr>
            <w:r w:rsidRPr="000A294D">
              <w:t>0</w:t>
            </w:r>
            <w:r>
              <w:t>.000</w:t>
            </w:r>
          </w:p>
        </w:tc>
        <w:tc>
          <w:tcPr>
            <w:tcW w:w="1286" w:type="dxa"/>
            <w:noWrap/>
            <w:hideMark/>
          </w:tcPr>
          <w:p w:rsidR="00E955BE" w:rsidRPr="000A294D" w:rsidRDefault="00E955BE" w:rsidP="00235369">
            <w:pPr>
              <w:jc w:val="right"/>
            </w:pPr>
            <w:r w:rsidRPr="000A294D">
              <w:t>0</w:t>
            </w:r>
            <w:r>
              <w:t>.000</w:t>
            </w:r>
          </w:p>
        </w:tc>
      </w:tr>
      <w:tr w:rsidR="00E955BE" w:rsidRPr="000A294D" w:rsidTr="00235369">
        <w:trPr>
          <w:trHeight w:val="372"/>
        </w:trPr>
        <w:tc>
          <w:tcPr>
            <w:tcW w:w="1286" w:type="dxa"/>
            <w:noWrap/>
            <w:hideMark/>
          </w:tcPr>
          <w:p w:rsidR="00E955BE" w:rsidRPr="000A294D" w:rsidRDefault="00E955BE" w:rsidP="00235369">
            <w:r w:rsidRPr="000A294D">
              <w:t>ID.2</w:t>
            </w:r>
          </w:p>
        </w:tc>
        <w:tc>
          <w:tcPr>
            <w:tcW w:w="2164" w:type="dxa"/>
            <w:noWrap/>
            <w:hideMark/>
          </w:tcPr>
          <w:p w:rsidR="00E955BE" w:rsidRPr="000A294D" w:rsidRDefault="00E955BE" w:rsidP="00235369">
            <w:proofErr w:type="spellStart"/>
            <w:proofErr w:type="gramStart"/>
            <w:r w:rsidRPr="000A294D">
              <w:t>condition.both</w:t>
            </w:r>
            <w:proofErr w:type="gramEnd"/>
            <w:r w:rsidRPr="000A294D">
              <w:t>.self</w:t>
            </w:r>
            <w:proofErr w:type="spellEnd"/>
          </w:p>
        </w:tc>
        <w:tc>
          <w:tcPr>
            <w:tcW w:w="1286" w:type="dxa"/>
            <w:noWrap/>
            <w:hideMark/>
          </w:tcPr>
          <w:p w:rsidR="00E955BE" w:rsidRPr="000A294D" w:rsidRDefault="00E955BE" w:rsidP="00235369">
            <w:pPr>
              <w:jc w:val="right"/>
            </w:pPr>
            <w:r w:rsidRPr="000A294D">
              <w:t>0.154</w:t>
            </w:r>
          </w:p>
        </w:tc>
        <w:tc>
          <w:tcPr>
            <w:tcW w:w="1286" w:type="dxa"/>
            <w:noWrap/>
            <w:hideMark/>
          </w:tcPr>
          <w:p w:rsidR="00E955BE" w:rsidRPr="000A294D" w:rsidRDefault="00E955BE" w:rsidP="00235369">
            <w:pPr>
              <w:jc w:val="right"/>
            </w:pPr>
            <w:r w:rsidRPr="000A294D">
              <w:t>0.393</w:t>
            </w:r>
          </w:p>
        </w:tc>
      </w:tr>
      <w:tr w:rsidR="00E955BE" w:rsidRPr="000A294D" w:rsidTr="00235369">
        <w:trPr>
          <w:trHeight w:val="372"/>
        </w:trPr>
        <w:tc>
          <w:tcPr>
            <w:tcW w:w="1286" w:type="dxa"/>
            <w:noWrap/>
            <w:hideMark/>
          </w:tcPr>
          <w:p w:rsidR="00E955BE" w:rsidRPr="000A294D" w:rsidRDefault="00E955BE" w:rsidP="00235369">
            <w:r w:rsidRPr="000A294D">
              <w:t>ID.3</w:t>
            </w:r>
          </w:p>
        </w:tc>
        <w:tc>
          <w:tcPr>
            <w:tcW w:w="2164" w:type="dxa"/>
            <w:noWrap/>
            <w:hideMark/>
          </w:tcPr>
          <w:p w:rsidR="00E955BE" w:rsidRPr="000A294D" w:rsidRDefault="00E955BE" w:rsidP="00235369">
            <w:proofErr w:type="spellStart"/>
            <w:proofErr w:type="gramStart"/>
            <w:r w:rsidRPr="000A294D">
              <w:t>condition.self</w:t>
            </w:r>
            <w:proofErr w:type="gramEnd"/>
            <w:r w:rsidRPr="000A294D">
              <w:t>.other</w:t>
            </w:r>
            <w:proofErr w:type="spellEnd"/>
          </w:p>
        </w:tc>
        <w:tc>
          <w:tcPr>
            <w:tcW w:w="1286" w:type="dxa"/>
            <w:noWrap/>
            <w:hideMark/>
          </w:tcPr>
          <w:p w:rsidR="00E955BE" w:rsidRPr="000A294D" w:rsidRDefault="00E955BE" w:rsidP="00235369">
            <w:pPr>
              <w:jc w:val="right"/>
            </w:pPr>
            <w:r w:rsidRPr="000A294D">
              <w:t>0.744</w:t>
            </w:r>
          </w:p>
        </w:tc>
        <w:tc>
          <w:tcPr>
            <w:tcW w:w="1286" w:type="dxa"/>
            <w:noWrap/>
            <w:hideMark/>
          </w:tcPr>
          <w:p w:rsidR="00E955BE" w:rsidRPr="000A294D" w:rsidRDefault="00E955BE" w:rsidP="00235369">
            <w:pPr>
              <w:jc w:val="right"/>
            </w:pPr>
            <w:r w:rsidRPr="000A294D">
              <w:t>0.862</w:t>
            </w:r>
          </w:p>
        </w:tc>
      </w:tr>
      <w:tr w:rsidR="00E955BE" w:rsidRPr="000A294D" w:rsidTr="00235369">
        <w:trPr>
          <w:trHeight w:val="372"/>
        </w:trPr>
        <w:tc>
          <w:tcPr>
            <w:tcW w:w="1286" w:type="dxa"/>
            <w:tcBorders>
              <w:bottom w:val="single" w:sz="8" w:space="0" w:color="auto"/>
            </w:tcBorders>
            <w:noWrap/>
            <w:hideMark/>
          </w:tcPr>
          <w:p w:rsidR="00E955BE" w:rsidRPr="000A294D" w:rsidRDefault="00E955BE" w:rsidP="00235369">
            <w:r w:rsidRPr="000A294D">
              <w:t>ID.4</w:t>
            </w:r>
          </w:p>
        </w:tc>
        <w:tc>
          <w:tcPr>
            <w:tcW w:w="2164" w:type="dxa"/>
            <w:tcBorders>
              <w:bottom w:val="single" w:sz="8" w:space="0" w:color="auto"/>
            </w:tcBorders>
            <w:noWrap/>
            <w:hideMark/>
          </w:tcPr>
          <w:p w:rsidR="00E955BE" w:rsidRPr="000A294D" w:rsidRDefault="00E955BE" w:rsidP="00235369">
            <w:r w:rsidRPr="000A294D">
              <w:t>condition.other.no</w:t>
            </w:r>
          </w:p>
        </w:tc>
        <w:tc>
          <w:tcPr>
            <w:tcW w:w="1286" w:type="dxa"/>
            <w:tcBorders>
              <w:bottom w:val="single" w:sz="8" w:space="0" w:color="auto"/>
            </w:tcBorders>
            <w:noWrap/>
            <w:hideMark/>
          </w:tcPr>
          <w:p w:rsidR="00E955BE" w:rsidRPr="000A294D" w:rsidRDefault="00E955BE" w:rsidP="00235369">
            <w:pPr>
              <w:jc w:val="right"/>
            </w:pPr>
            <w:r w:rsidRPr="000A294D">
              <w:t>0</w:t>
            </w:r>
            <w:r>
              <w:t>.000</w:t>
            </w:r>
          </w:p>
        </w:tc>
        <w:tc>
          <w:tcPr>
            <w:tcW w:w="1286" w:type="dxa"/>
            <w:tcBorders>
              <w:bottom w:val="single" w:sz="8" w:space="0" w:color="auto"/>
            </w:tcBorders>
            <w:noWrap/>
            <w:hideMark/>
          </w:tcPr>
          <w:p w:rsidR="00E955BE" w:rsidRPr="000A294D" w:rsidRDefault="00E955BE" w:rsidP="00235369">
            <w:pPr>
              <w:jc w:val="right"/>
            </w:pPr>
            <w:r w:rsidRPr="000A294D">
              <w:t>0</w:t>
            </w:r>
            <w:r>
              <w:t>.000</w:t>
            </w:r>
          </w:p>
        </w:tc>
      </w:tr>
    </w:tbl>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jc w:val="both"/>
      </w:pPr>
      <w:r w:rsidRPr="000A294D">
        <w:rPr>
          <w:b/>
        </w:rPr>
        <w:t>Tab. S</w:t>
      </w:r>
      <w:r>
        <w:rPr>
          <w:b/>
        </w:rPr>
        <w:t>6</w:t>
      </w:r>
      <w:r>
        <w:t xml:space="preserve"> </w:t>
      </w:r>
      <w:r w:rsidRPr="000A294D">
        <w:t xml:space="preserve">Estimates and coefficients for the </w:t>
      </w:r>
      <w:r>
        <w:t>random</w:t>
      </w:r>
      <w:r w:rsidRPr="000A294D">
        <w:t xml:space="preserve"> effects of a</w:t>
      </w:r>
      <w:r>
        <w:t xml:space="preserve"> GLMM on the effect of the presence or absence of a partner on the </w:t>
      </w:r>
      <w:r w:rsidRPr="000A294D">
        <w:t>probability of the prosocial option being chosen</w:t>
      </w:r>
      <w:r>
        <w:t xml:space="preserve"> in </w:t>
      </w:r>
      <w:proofErr w:type="gramStart"/>
      <w:r>
        <w:t>a</w:t>
      </w:r>
      <w:proofErr w:type="gramEnd"/>
      <w:r>
        <w:t xml:space="preserve"> other- vs. no-benefit choice; LMM on the effect of condition on the latency of opening a trap in the release paradigm</w:t>
      </w:r>
    </w:p>
    <w:tbl>
      <w:tblPr>
        <w:tblStyle w:val="Tabellenraster"/>
        <w:tblpPr w:leftFromText="180" w:rightFromText="180" w:vertAnchor="text" w:horzAnchor="margin" w:tblpY="2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6"/>
        <w:gridCol w:w="2164"/>
        <w:gridCol w:w="1286"/>
        <w:gridCol w:w="1286"/>
      </w:tblGrid>
      <w:tr w:rsidR="00E955BE" w:rsidRPr="000A294D" w:rsidTr="00235369">
        <w:trPr>
          <w:trHeight w:val="372"/>
        </w:trPr>
        <w:tc>
          <w:tcPr>
            <w:tcW w:w="1286" w:type="dxa"/>
            <w:tcBorders>
              <w:bottom w:val="single" w:sz="12" w:space="0" w:color="auto"/>
            </w:tcBorders>
            <w:noWrap/>
            <w:hideMark/>
          </w:tcPr>
          <w:p w:rsidR="00E955BE" w:rsidRPr="000A294D" w:rsidRDefault="00E955BE" w:rsidP="00235369">
            <w:pPr>
              <w:rPr>
                <w:b/>
              </w:rPr>
            </w:pPr>
            <w:r w:rsidRPr="000A294D">
              <w:rPr>
                <w:b/>
              </w:rPr>
              <w:t>Groups</w:t>
            </w:r>
          </w:p>
        </w:tc>
        <w:tc>
          <w:tcPr>
            <w:tcW w:w="2164" w:type="dxa"/>
            <w:tcBorders>
              <w:bottom w:val="single" w:sz="12" w:space="0" w:color="auto"/>
            </w:tcBorders>
            <w:noWrap/>
            <w:hideMark/>
          </w:tcPr>
          <w:p w:rsidR="00E955BE" w:rsidRPr="000A294D" w:rsidRDefault="00E955BE" w:rsidP="00235369">
            <w:pPr>
              <w:rPr>
                <w:b/>
              </w:rPr>
            </w:pPr>
            <w:r w:rsidRPr="000A294D">
              <w:rPr>
                <w:b/>
              </w:rPr>
              <w:t>Name</w:t>
            </w:r>
          </w:p>
        </w:tc>
        <w:tc>
          <w:tcPr>
            <w:tcW w:w="1286" w:type="dxa"/>
            <w:tcBorders>
              <w:bottom w:val="single" w:sz="12" w:space="0" w:color="auto"/>
            </w:tcBorders>
            <w:noWrap/>
            <w:hideMark/>
          </w:tcPr>
          <w:p w:rsidR="00E955BE" w:rsidRPr="000A294D" w:rsidRDefault="00E955BE" w:rsidP="00235369">
            <w:pPr>
              <w:jc w:val="right"/>
              <w:rPr>
                <w:b/>
              </w:rPr>
            </w:pPr>
            <w:r w:rsidRPr="000A294D">
              <w:rPr>
                <w:b/>
              </w:rPr>
              <w:t>Variance</w:t>
            </w:r>
          </w:p>
        </w:tc>
        <w:tc>
          <w:tcPr>
            <w:tcW w:w="1286" w:type="dxa"/>
            <w:tcBorders>
              <w:bottom w:val="single" w:sz="12" w:space="0" w:color="auto"/>
            </w:tcBorders>
            <w:noWrap/>
            <w:hideMark/>
          </w:tcPr>
          <w:p w:rsidR="00E955BE" w:rsidRPr="000A294D" w:rsidRDefault="00E955BE" w:rsidP="00235369">
            <w:pPr>
              <w:jc w:val="right"/>
              <w:rPr>
                <w:b/>
              </w:rPr>
            </w:pPr>
            <w:proofErr w:type="spellStart"/>
            <w:r w:rsidRPr="000A294D">
              <w:rPr>
                <w:b/>
              </w:rPr>
              <w:t>Std.Dev</w:t>
            </w:r>
            <w:proofErr w:type="spellEnd"/>
            <w:r w:rsidRPr="000A294D">
              <w:rPr>
                <w:b/>
              </w:rPr>
              <w:t>.</w:t>
            </w:r>
          </w:p>
        </w:tc>
      </w:tr>
      <w:tr w:rsidR="00E955BE" w:rsidRPr="000A294D" w:rsidTr="00235369">
        <w:trPr>
          <w:trHeight w:val="372"/>
        </w:trPr>
        <w:tc>
          <w:tcPr>
            <w:tcW w:w="1286" w:type="dxa"/>
            <w:tcBorders>
              <w:top w:val="single" w:sz="12" w:space="0" w:color="auto"/>
            </w:tcBorders>
            <w:noWrap/>
            <w:hideMark/>
          </w:tcPr>
          <w:p w:rsidR="00E955BE" w:rsidRPr="000A294D" w:rsidRDefault="00E955BE" w:rsidP="00235369">
            <w:r w:rsidRPr="000A294D">
              <w:t>ID</w:t>
            </w:r>
          </w:p>
        </w:tc>
        <w:tc>
          <w:tcPr>
            <w:tcW w:w="2164" w:type="dxa"/>
            <w:tcBorders>
              <w:top w:val="single" w:sz="12" w:space="0" w:color="auto"/>
            </w:tcBorders>
            <w:noWrap/>
            <w:hideMark/>
          </w:tcPr>
          <w:p w:rsidR="00E955BE" w:rsidRPr="000A294D" w:rsidRDefault="00E955BE" w:rsidP="00235369">
            <w:r w:rsidRPr="000A294D">
              <w:t>(Intercept)</w:t>
            </w:r>
          </w:p>
        </w:tc>
        <w:tc>
          <w:tcPr>
            <w:tcW w:w="1286" w:type="dxa"/>
            <w:tcBorders>
              <w:top w:val="single" w:sz="12" w:space="0" w:color="auto"/>
            </w:tcBorders>
            <w:noWrap/>
            <w:hideMark/>
          </w:tcPr>
          <w:p w:rsidR="00E955BE" w:rsidRPr="000A294D" w:rsidRDefault="00E955BE" w:rsidP="00235369">
            <w:pPr>
              <w:jc w:val="right"/>
            </w:pPr>
            <w:r w:rsidRPr="000A294D">
              <w:t>0</w:t>
            </w:r>
            <w:r>
              <w:t>.000</w:t>
            </w:r>
          </w:p>
        </w:tc>
        <w:tc>
          <w:tcPr>
            <w:tcW w:w="1286" w:type="dxa"/>
            <w:tcBorders>
              <w:top w:val="single" w:sz="12" w:space="0" w:color="auto"/>
            </w:tcBorders>
            <w:noWrap/>
            <w:hideMark/>
          </w:tcPr>
          <w:p w:rsidR="00E955BE" w:rsidRPr="000A294D" w:rsidRDefault="00E955BE" w:rsidP="00235369">
            <w:pPr>
              <w:jc w:val="right"/>
            </w:pPr>
            <w:r w:rsidRPr="000A294D">
              <w:t>0</w:t>
            </w:r>
            <w:r>
              <w:t>.000</w:t>
            </w:r>
          </w:p>
        </w:tc>
      </w:tr>
      <w:tr w:rsidR="00E955BE" w:rsidRPr="000A294D" w:rsidTr="00235369">
        <w:trPr>
          <w:trHeight w:val="372"/>
        </w:trPr>
        <w:tc>
          <w:tcPr>
            <w:tcW w:w="1286" w:type="dxa"/>
            <w:tcBorders>
              <w:bottom w:val="single" w:sz="8" w:space="0" w:color="auto"/>
            </w:tcBorders>
            <w:noWrap/>
            <w:hideMark/>
          </w:tcPr>
          <w:p w:rsidR="00E955BE" w:rsidRPr="000A294D" w:rsidRDefault="00E955BE" w:rsidP="00235369">
            <w:r w:rsidRPr="000A294D">
              <w:t>ID.1</w:t>
            </w:r>
          </w:p>
        </w:tc>
        <w:tc>
          <w:tcPr>
            <w:tcW w:w="2164" w:type="dxa"/>
            <w:tcBorders>
              <w:bottom w:val="single" w:sz="8" w:space="0" w:color="auto"/>
            </w:tcBorders>
            <w:noWrap/>
            <w:hideMark/>
          </w:tcPr>
          <w:p w:rsidR="00E955BE" w:rsidRPr="00E75268" w:rsidRDefault="00E955BE" w:rsidP="00235369">
            <w:pPr>
              <w:rPr>
                <w:rFonts w:ascii="Calibri" w:hAnsi="Calibri" w:cs="Calibri"/>
                <w:color w:val="000000"/>
              </w:rPr>
            </w:pPr>
            <w:r>
              <w:rPr>
                <w:rFonts w:ascii="Calibri" w:hAnsi="Calibri" w:cs="Calibri"/>
                <w:color w:val="000000"/>
              </w:rPr>
              <w:t>condition.other.no</w:t>
            </w:r>
          </w:p>
        </w:tc>
        <w:tc>
          <w:tcPr>
            <w:tcW w:w="1286" w:type="dxa"/>
            <w:tcBorders>
              <w:bottom w:val="single" w:sz="8" w:space="0" w:color="auto"/>
            </w:tcBorders>
            <w:noWrap/>
            <w:hideMark/>
          </w:tcPr>
          <w:p w:rsidR="00E955BE" w:rsidRPr="000A294D" w:rsidRDefault="00E955BE" w:rsidP="00235369">
            <w:pPr>
              <w:jc w:val="right"/>
            </w:pPr>
            <w:r w:rsidRPr="000A294D">
              <w:t>0</w:t>
            </w:r>
            <w:r>
              <w:t>.000</w:t>
            </w:r>
          </w:p>
        </w:tc>
        <w:tc>
          <w:tcPr>
            <w:tcW w:w="1286" w:type="dxa"/>
            <w:tcBorders>
              <w:bottom w:val="single" w:sz="8" w:space="0" w:color="auto"/>
            </w:tcBorders>
            <w:noWrap/>
            <w:hideMark/>
          </w:tcPr>
          <w:p w:rsidR="00E955BE" w:rsidRPr="000A294D" w:rsidRDefault="00E955BE" w:rsidP="00235369">
            <w:pPr>
              <w:jc w:val="right"/>
            </w:pPr>
            <w:r w:rsidRPr="000A294D">
              <w:t>0</w:t>
            </w:r>
            <w:r>
              <w:t>.000</w:t>
            </w:r>
          </w:p>
        </w:tc>
      </w:tr>
    </w:tbl>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
        </w:rPr>
      </w:pPr>
    </w:p>
    <w:p w:rsidR="00E955BE" w:rsidRDefault="00E955BE" w:rsidP="00E955BE">
      <w:pPr>
        <w:rPr>
          <w:b/>
          <w:iCs/>
        </w:rPr>
      </w:pPr>
    </w:p>
    <w:p w:rsidR="00B53A91" w:rsidRDefault="00B53A91"/>
    <w:sectPr w:rsidR="00B53A91" w:rsidSect="007D21EC">
      <w:footerReference w:type="default" r:id="rId6"/>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70954"/>
      <w:docPartObj>
        <w:docPartGallery w:val="Page Numbers (Bottom of Page)"/>
        <w:docPartUnique/>
      </w:docPartObj>
    </w:sdtPr>
    <w:sdtEndPr/>
    <w:sdtContent>
      <w:p w:rsidR="000D048C" w:rsidRDefault="00F908FB">
        <w:pPr>
          <w:pStyle w:val="Fuzeile"/>
          <w:jc w:val="center"/>
        </w:pPr>
        <w:r>
          <w:fldChar w:fldCharType="begin"/>
        </w:r>
        <w:r>
          <w:instrText>PAGE   \* MERGEFORMAT</w:instrText>
        </w:r>
        <w:r>
          <w:fldChar w:fldCharType="separate"/>
        </w:r>
        <w:r>
          <w:rPr>
            <w:lang w:val="de-DE"/>
          </w:rPr>
          <w:t>2</w:t>
        </w:r>
        <w:r>
          <w:fldChar w:fldCharType="end"/>
        </w:r>
      </w:p>
    </w:sdtContent>
  </w:sdt>
  <w:p w:rsidR="000D048C" w:rsidRDefault="00F908FB">
    <w:pPr>
      <w:pStyle w:val="Fuzeil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BE"/>
    <w:rsid w:val="00202CFE"/>
    <w:rsid w:val="00381DDA"/>
    <w:rsid w:val="006E23F2"/>
    <w:rsid w:val="00A8532C"/>
    <w:rsid w:val="00B53A91"/>
    <w:rsid w:val="00E955BE"/>
    <w:rsid w:val="00EE4FF6"/>
    <w:rsid w:val="00F908F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A8B8"/>
  <w15:chartTrackingRefBased/>
  <w15:docId w15:val="{E7213CB7-1AFC-41FF-9978-E5BE23B1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955BE"/>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955B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E955B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955BE"/>
    <w:rPr>
      <w:lang w:val="en-US"/>
    </w:rPr>
  </w:style>
  <w:style w:type="paragraph" w:styleId="Beschriftung">
    <w:name w:val="caption"/>
    <w:basedOn w:val="Standard"/>
    <w:next w:val="Standard"/>
    <w:uiPriority w:val="35"/>
    <w:unhideWhenUsed/>
    <w:qFormat/>
    <w:rsid w:val="00E955BE"/>
    <w:pPr>
      <w:spacing w:after="200" w:line="240" w:lineRule="auto"/>
    </w:pPr>
    <w:rPr>
      <w:i/>
      <w:iCs/>
      <w:color w:val="44546A" w:themeColor="text2"/>
      <w:sz w:val="18"/>
      <w:szCs w:val="18"/>
    </w:rPr>
  </w:style>
  <w:style w:type="paragraph" w:customStyle="1" w:styleId="berschriftMajor">
    <w:name w:val="Überschrift_Major"/>
    <w:basedOn w:val="Standard"/>
    <w:link w:val="berschriftMajorZchn"/>
    <w:qFormat/>
    <w:rsid w:val="00E955BE"/>
    <w:pPr>
      <w:jc w:val="both"/>
    </w:pPr>
    <w:rPr>
      <w:b/>
      <w:lang w:val="en-GB"/>
    </w:rPr>
  </w:style>
  <w:style w:type="character" w:customStyle="1" w:styleId="berschriftMajorZchn">
    <w:name w:val="Überschrift_Major Zchn"/>
    <w:basedOn w:val="Absatz-Standardschriftart"/>
    <w:link w:val="berschriftMajor"/>
    <w:rsid w:val="00E955BE"/>
    <w:rPr>
      <w:b/>
    </w:rPr>
  </w:style>
  <w:style w:type="character" w:styleId="Zeilennummer">
    <w:name w:val="line number"/>
    <w:basedOn w:val="Absatz-Standardschriftart"/>
    <w:uiPriority w:val="99"/>
    <w:semiHidden/>
    <w:unhideWhenUsed/>
    <w:rsid w:val="00E95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561</Words>
  <Characters>3202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dc:description/>
  <cp:lastModifiedBy>Tamara</cp:lastModifiedBy>
  <cp:revision>2</cp:revision>
  <dcterms:created xsi:type="dcterms:W3CDTF">2026-07-17T09:00:00Z</dcterms:created>
  <dcterms:modified xsi:type="dcterms:W3CDTF">2026-07-17T09:03:00Z</dcterms:modified>
</cp:coreProperties>
</file>