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11476" w14:textId="7EB58111" w:rsidR="00532614" w:rsidRDefault="00532614" w:rsidP="00532614">
      <w:pPr>
        <w:jc w:val="both"/>
        <w:rPr>
          <w:rFonts w:ascii="Times New Roman" w:hAnsi="Times New Roman" w:cs="Times New Roman"/>
          <w:b/>
          <w:bCs/>
          <w:sz w:val="24"/>
        </w:rPr>
      </w:pPr>
      <w:r>
        <w:rPr>
          <w:rFonts w:ascii="Times New Roman" w:hAnsi="Times New Roman" w:cs="Times New Roman"/>
          <w:b/>
          <w:bCs/>
          <w:sz w:val="24"/>
        </w:rPr>
        <w:t>SUPPLEMENTARY MATERIAL</w:t>
      </w:r>
    </w:p>
    <w:p w14:paraId="64BAB879" w14:textId="77777777" w:rsidR="00532614" w:rsidRDefault="00532614" w:rsidP="00532614">
      <w:pPr>
        <w:jc w:val="both"/>
        <w:rPr>
          <w:rFonts w:ascii="Times New Roman" w:hAnsi="Times New Roman" w:cs="Times New Roman"/>
          <w:b/>
          <w:bCs/>
          <w:sz w:val="24"/>
        </w:rPr>
      </w:pPr>
      <w:r>
        <w:rPr>
          <w:rFonts w:ascii="Times New Roman" w:hAnsi="Times New Roman" w:cs="Times New Roman"/>
          <w:b/>
          <w:bCs/>
          <w:sz w:val="24"/>
        </w:rPr>
        <w:t>Supplementary Methods:</w:t>
      </w:r>
    </w:p>
    <w:p w14:paraId="4B683982" w14:textId="325BAF64" w:rsidR="00532614" w:rsidRDefault="00532614" w:rsidP="00532614">
      <w:pPr>
        <w:jc w:val="both"/>
        <w:rPr>
          <w:rFonts w:ascii="Times New Roman" w:hAnsi="Times New Roman" w:cs="Times New Roman"/>
          <w:sz w:val="24"/>
        </w:rPr>
      </w:pPr>
      <w:r>
        <w:rPr>
          <w:rFonts w:ascii="Times New Roman" w:hAnsi="Times New Roman" w:cs="Times New Roman"/>
          <w:b/>
          <w:bCs/>
          <w:sz w:val="24"/>
        </w:rPr>
        <w:t>Supplementary method 1:</w:t>
      </w:r>
      <w:r>
        <w:rPr>
          <w:rFonts w:ascii="Times New Roman" w:hAnsi="Times New Roman" w:cs="Times New Roman"/>
          <w:sz w:val="24"/>
        </w:rPr>
        <w:t xml:space="preserve"> </w:t>
      </w:r>
      <w:r w:rsidR="00785B3F">
        <w:rPr>
          <w:rFonts w:ascii="Times New Roman" w:hAnsi="Times New Roman" w:cs="Times New Roman" w:hint="eastAsia"/>
          <w:sz w:val="24"/>
        </w:rPr>
        <w:t>F</w:t>
      </w:r>
      <w:r>
        <w:rPr>
          <w:rFonts w:ascii="Times New Roman" w:hAnsi="Times New Roman" w:cs="Times New Roman"/>
          <w:sz w:val="24"/>
        </w:rPr>
        <w:t>ecal microbial DNA extraction, amplification, and 16S rRNA gene sequencing</w:t>
      </w:r>
    </w:p>
    <w:p w14:paraId="78730C63" w14:textId="77777777" w:rsidR="00532614" w:rsidRDefault="00532614" w:rsidP="00532614">
      <w:pPr>
        <w:jc w:val="both"/>
        <w:rPr>
          <w:rFonts w:ascii="Times New Roman" w:hAnsi="Times New Roman" w:cs="Times New Roman"/>
          <w:b/>
          <w:bCs/>
          <w:sz w:val="24"/>
        </w:rPr>
      </w:pPr>
    </w:p>
    <w:p w14:paraId="70AF1BD6" w14:textId="77777777" w:rsidR="00532614" w:rsidRDefault="00532614" w:rsidP="00532614">
      <w:pPr>
        <w:jc w:val="both"/>
        <w:rPr>
          <w:rFonts w:ascii="Times New Roman" w:hAnsi="Times New Roman" w:cs="Times New Roman"/>
          <w:b/>
          <w:bCs/>
          <w:sz w:val="24"/>
        </w:rPr>
      </w:pPr>
      <w:r>
        <w:rPr>
          <w:rFonts w:ascii="Times New Roman" w:hAnsi="Times New Roman" w:cs="Times New Roman"/>
          <w:b/>
          <w:bCs/>
          <w:sz w:val="24"/>
        </w:rPr>
        <w:t>Supplementary Tables:</w:t>
      </w:r>
    </w:p>
    <w:p w14:paraId="0E8D4C2B" w14:textId="3465B6E9" w:rsidR="00532614" w:rsidRDefault="00785B3F" w:rsidP="00532614">
      <w:pPr>
        <w:jc w:val="both"/>
        <w:rPr>
          <w:rFonts w:ascii="Times New Roman" w:hAnsi="Times New Roman" w:cs="Times New Roman"/>
          <w:sz w:val="24"/>
        </w:rPr>
      </w:pPr>
      <w:bookmarkStart w:id="0" w:name="OLE_LINK1"/>
      <w:r w:rsidRPr="00785B3F">
        <w:rPr>
          <w:rFonts w:ascii="Times New Roman" w:hAnsi="Times New Roman" w:cs="Times New Roman"/>
          <w:b/>
          <w:bCs/>
          <w:sz w:val="24"/>
        </w:rPr>
        <w:t>Supplementary Table S1</w:t>
      </w:r>
      <w:r w:rsidR="00F262AD">
        <w:rPr>
          <w:rFonts w:ascii="Times New Roman" w:hAnsi="Times New Roman" w:cs="Times New Roman" w:hint="eastAsia"/>
          <w:b/>
          <w:bCs/>
          <w:sz w:val="24"/>
        </w:rPr>
        <w:t xml:space="preserve">: </w:t>
      </w:r>
      <w:r w:rsidRPr="00785B3F">
        <w:rPr>
          <w:rFonts w:ascii="Times New Roman" w:hAnsi="Times New Roman" w:cs="Times New Roman"/>
          <w:sz w:val="24"/>
        </w:rPr>
        <w:t>Baseline characteristics of participants in the external validation cohort.</w:t>
      </w:r>
    </w:p>
    <w:bookmarkEnd w:id="0"/>
    <w:p w14:paraId="3DA95CE2" w14:textId="77777777" w:rsidR="00785B3F" w:rsidRPr="00785B3F" w:rsidRDefault="00785B3F" w:rsidP="00532614">
      <w:pPr>
        <w:jc w:val="both"/>
        <w:rPr>
          <w:rFonts w:ascii="Times New Roman" w:hAnsi="Times New Roman" w:cs="Times New Roman"/>
          <w:sz w:val="24"/>
        </w:rPr>
      </w:pPr>
    </w:p>
    <w:p w14:paraId="5DAFBBC7" w14:textId="77777777" w:rsidR="00532614" w:rsidRDefault="00532614" w:rsidP="00532614">
      <w:pPr>
        <w:jc w:val="both"/>
        <w:rPr>
          <w:rFonts w:ascii="Times New Roman" w:hAnsi="Times New Roman" w:cs="Times New Roman"/>
          <w:b/>
          <w:bCs/>
          <w:sz w:val="24"/>
        </w:rPr>
      </w:pPr>
      <w:r>
        <w:rPr>
          <w:rFonts w:ascii="Times New Roman" w:hAnsi="Times New Roman" w:cs="Times New Roman"/>
          <w:b/>
          <w:bCs/>
          <w:sz w:val="24"/>
        </w:rPr>
        <w:t>Supplementary Figures:</w:t>
      </w:r>
    </w:p>
    <w:p w14:paraId="1F824045" w14:textId="0932DAD6" w:rsidR="00532614" w:rsidRDefault="00283682" w:rsidP="00532614">
      <w:pPr>
        <w:jc w:val="both"/>
        <w:rPr>
          <w:rFonts w:ascii="Times New Roman" w:hAnsi="Times New Roman" w:cs="Times New Roman"/>
          <w:sz w:val="24"/>
        </w:rPr>
      </w:pPr>
      <w:r w:rsidRPr="00283682">
        <w:rPr>
          <w:rFonts w:ascii="Times New Roman" w:hAnsi="Times New Roman" w:cs="Times New Roman"/>
          <w:b/>
          <w:bCs/>
          <w:sz w:val="24"/>
        </w:rPr>
        <w:t>Supplementary Figure S1</w:t>
      </w:r>
      <w:r w:rsidR="00F262AD">
        <w:rPr>
          <w:rFonts w:ascii="Times New Roman" w:hAnsi="Times New Roman" w:cs="Times New Roman" w:hint="eastAsia"/>
          <w:b/>
          <w:bCs/>
          <w:sz w:val="24"/>
        </w:rPr>
        <w:t xml:space="preserve">: </w:t>
      </w:r>
      <w:r w:rsidRPr="00283682">
        <w:rPr>
          <w:rFonts w:ascii="Times New Roman" w:hAnsi="Times New Roman" w:cs="Times New Roman"/>
          <w:sz w:val="24"/>
        </w:rPr>
        <w:t>Comparison of the Firmicutes-to-Bacteroidota (F/B) ratio between athletes and sedentary individuals</w:t>
      </w:r>
    </w:p>
    <w:p w14:paraId="0CE1943B" w14:textId="5315E400" w:rsidR="00283682" w:rsidRPr="00283682" w:rsidRDefault="00F262AD" w:rsidP="00532614">
      <w:pPr>
        <w:jc w:val="both"/>
        <w:rPr>
          <w:rFonts w:ascii="Times New Roman" w:hAnsi="Times New Roman" w:cs="Times New Roman"/>
        </w:rPr>
      </w:pPr>
      <w:r w:rsidRPr="00F262AD">
        <w:rPr>
          <w:rFonts w:ascii="Times New Roman" w:hAnsi="Times New Roman" w:cs="Times New Roman"/>
          <w:b/>
          <w:bCs/>
        </w:rPr>
        <w:t>Supplementary Figure S2</w:t>
      </w:r>
      <w:r w:rsidRPr="00F262AD">
        <w:rPr>
          <w:rFonts w:ascii="Times New Roman" w:hAnsi="Times New Roman" w:cs="Times New Roman" w:hint="eastAsia"/>
          <w:b/>
          <w:bCs/>
        </w:rPr>
        <w:t>:</w:t>
      </w:r>
      <w:r>
        <w:rPr>
          <w:rFonts w:ascii="Times New Roman" w:hAnsi="Times New Roman" w:cs="Times New Roman" w:hint="eastAsia"/>
        </w:rPr>
        <w:t xml:space="preserve"> </w:t>
      </w:r>
      <w:r w:rsidRPr="00F262AD">
        <w:rPr>
          <w:rFonts w:ascii="Times New Roman" w:hAnsi="Times New Roman" w:cs="Times New Roman"/>
        </w:rPr>
        <w:t>Performance comparison of five machine learning models for discriminating athletes from sedentary individuals.</w:t>
      </w:r>
    </w:p>
    <w:p w14:paraId="62E84AB1" w14:textId="77777777" w:rsidR="00532614" w:rsidRDefault="00532614" w:rsidP="00532614">
      <w:pPr>
        <w:jc w:val="both"/>
        <w:rPr>
          <w:rFonts w:ascii="Times New Roman" w:hAnsi="Times New Roman" w:cs="Times New Roman"/>
        </w:rPr>
      </w:pPr>
    </w:p>
    <w:p w14:paraId="7DB62FC9" w14:textId="77777777" w:rsidR="00C1797B" w:rsidRDefault="00C1797B">
      <w:pPr>
        <w:rPr>
          <w:rFonts w:hint="eastAsia"/>
        </w:rPr>
      </w:pPr>
    </w:p>
    <w:p w14:paraId="75207D97" w14:textId="77777777" w:rsidR="00532614" w:rsidRDefault="00532614">
      <w:pPr>
        <w:rPr>
          <w:rFonts w:hint="eastAsia"/>
        </w:rPr>
      </w:pPr>
    </w:p>
    <w:p w14:paraId="75336478" w14:textId="77777777" w:rsidR="00532614" w:rsidRDefault="00532614">
      <w:pPr>
        <w:rPr>
          <w:rFonts w:hint="eastAsia"/>
        </w:rPr>
      </w:pPr>
    </w:p>
    <w:p w14:paraId="1ECB2EA8" w14:textId="77777777" w:rsidR="00532614" w:rsidRDefault="00532614">
      <w:pPr>
        <w:rPr>
          <w:rFonts w:hint="eastAsia"/>
        </w:rPr>
      </w:pPr>
    </w:p>
    <w:p w14:paraId="2DE74BA0" w14:textId="77777777" w:rsidR="00532614" w:rsidRDefault="00532614">
      <w:pPr>
        <w:rPr>
          <w:rFonts w:hint="eastAsia"/>
        </w:rPr>
      </w:pPr>
    </w:p>
    <w:p w14:paraId="5E893DB8" w14:textId="6FECC9C7" w:rsidR="00532614" w:rsidRDefault="00532614" w:rsidP="004D33B3">
      <w:pPr>
        <w:spacing w:after="0" w:line="360" w:lineRule="auto"/>
        <w:jc w:val="both"/>
        <w:rPr>
          <w:rFonts w:ascii="Times New Roman" w:hAnsi="Times New Roman" w:cs="Times New Roman"/>
          <w:sz w:val="24"/>
        </w:rPr>
      </w:pPr>
      <w:r>
        <w:rPr>
          <w:rFonts w:ascii="Times New Roman" w:hAnsi="Times New Roman" w:cs="Times New Roman"/>
          <w:b/>
          <w:bCs/>
          <w:sz w:val="24"/>
        </w:rPr>
        <w:lastRenderedPageBreak/>
        <w:t>Supplementary method 1:</w:t>
      </w:r>
      <w:r>
        <w:rPr>
          <w:rFonts w:ascii="Times New Roman" w:hAnsi="Times New Roman" w:cs="Times New Roman"/>
          <w:sz w:val="24"/>
        </w:rPr>
        <w:t xml:space="preserve"> </w:t>
      </w:r>
      <w:r w:rsidR="00785B3F">
        <w:rPr>
          <w:rFonts w:ascii="Times New Roman" w:hAnsi="Times New Roman" w:cs="Times New Roman" w:hint="eastAsia"/>
          <w:sz w:val="24"/>
        </w:rPr>
        <w:t>F</w:t>
      </w:r>
      <w:r>
        <w:rPr>
          <w:rFonts w:ascii="Times New Roman" w:hAnsi="Times New Roman" w:cs="Times New Roman"/>
          <w:sz w:val="24"/>
        </w:rPr>
        <w:t>ecal microbial DNA extraction, amplification, and 16S rRNA gene sequencing</w:t>
      </w:r>
    </w:p>
    <w:p w14:paraId="364E7DED" w14:textId="5FDBE2A1" w:rsidR="00785B3F" w:rsidRPr="0048304C" w:rsidRDefault="00785B3F" w:rsidP="004D33B3">
      <w:pPr>
        <w:spacing w:after="0" w:line="360" w:lineRule="auto"/>
        <w:jc w:val="both"/>
        <w:rPr>
          <w:rFonts w:ascii="Times New Roman" w:hAnsi="Times New Roman" w:cs="Times New Roman"/>
          <w:b/>
          <w:bCs/>
        </w:rPr>
      </w:pPr>
      <w:r w:rsidRPr="0048304C">
        <w:rPr>
          <w:rFonts w:ascii="Times New Roman" w:hAnsi="Times New Roman" w:cs="Times New Roman" w:hint="eastAsia"/>
          <w:b/>
          <w:bCs/>
        </w:rPr>
        <w:t>1</w:t>
      </w:r>
      <w:r w:rsidRPr="0048304C">
        <w:rPr>
          <w:rFonts w:ascii="Times New Roman" w:hAnsi="Times New Roman" w:cs="Times New Roman"/>
          <w:b/>
          <w:bCs/>
        </w:rPr>
        <w:t>) DNA extraction and PCR amplification</w:t>
      </w:r>
    </w:p>
    <w:p w14:paraId="7C41C9EE" w14:textId="77777777" w:rsidR="00785B3F" w:rsidRDefault="00785B3F" w:rsidP="004D33B3">
      <w:pPr>
        <w:spacing w:after="0" w:line="360" w:lineRule="auto"/>
        <w:ind w:firstLineChars="200" w:firstLine="440"/>
        <w:jc w:val="both"/>
        <w:rPr>
          <w:rFonts w:ascii="Times New Roman" w:hAnsi="Times New Roman" w:cs="Times New Roman"/>
        </w:rPr>
      </w:pPr>
      <w:r>
        <w:rPr>
          <w:rFonts w:ascii="Times New Roman" w:hAnsi="Times New Roman" w:cs="Times New Roman"/>
        </w:rPr>
        <w:t>Total genomic DNA was extracted from fecal samples using the cetyltrimethylammonium bromide (CTAB) method, followed by purification. DNA quality and concentration were assessed by 1% agarose gel electrophoresis, and samples were diluted to 1 ng/μL. The V3–V4 hypervariable regions of the 16S rRNA gene were amplified using primers 338</w:t>
      </w:r>
      <w:r>
        <w:rPr>
          <w:rFonts w:ascii="Times New Roman" w:hAnsi="Times New Roman" w:cs="Times New Roman"/>
        </w:rPr>
        <w:t>（</w:t>
      </w:r>
      <w:r>
        <w:rPr>
          <w:rFonts w:ascii="Times New Roman" w:hAnsi="Times New Roman" w:cs="Times New Roman"/>
        </w:rPr>
        <w:t>5′-ACTCCTACGGGAGGCAGCAG-3' ) and 806R (5′-GGACTACNNGGGTATCTAAT-3′). Negative controls without template DNA were included in each batch; only batches in which the negative control showed no detectable amplification (&lt;0.1 ng/μL) were considered valid, thereby excluding potential aerosol contamination.</w:t>
      </w:r>
    </w:p>
    <w:p w14:paraId="02ECB1B1" w14:textId="77777777" w:rsidR="00785B3F" w:rsidRDefault="00785B3F" w:rsidP="004D33B3">
      <w:pPr>
        <w:spacing w:after="0" w:line="360" w:lineRule="auto"/>
        <w:ind w:firstLineChars="200" w:firstLine="440"/>
        <w:jc w:val="both"/>
        <w:rPr>
          <w:rFonts w:ascii="Times New Roman" w:hAnsi="Times New Roman" w:cs="Times New Roman"/>
        </w:rPr>
      </w:pPr>
      <w:r>
        <w:rPr>
          <w:rFonts w:ascii="Times New Roman" w:hAnsi="Times New Roman" w:cs="Times New Roman"/>
        </w:rPr>
        <w:t>PCR amplification was performed as follows: barcoded primers targeting the V3–V4 regions were used at a concentration of 1 μM. Amplification was conducted using Phusion® High-Fidelity PCR Master Mix with GC Buffer (New England Biolabs, Cat# M0530S) to ensure high accuracy and efficiency. The PCR reaction mixture (30 μL) consisted of 10 μL template DNA, 15 μL Phusion® Master Mix, 1 μL each of forward and reverse primers (1 μM, containing Illumina adapters and sample-specific barcodes), and 2 μL nuclease-free water. The thermal cycling conditions were as follows: initial denaturation at 98 °C for 1 min; 30 cycles of denaturation at 98 °C for 10 s, annealing at 50 °C for 30 s, and extension at 72 °C for 30 s; followed by a final extension at 72 °C for 10 min and hold at 10 °C. Amplification was performed using a Bio-Rad T100 thermal cycler.</w:t>
      </w:r>
    </w:p>
    <w:p w14:paraId="4D697B16" w14:textId="2CE62365" w:rsidR="00785B3F" w:rsidRPr="0048304C" w:rsidRDefault="00785B3F" w:rsidP="004D33B3">
      <w:pPr>
        <w:spacing w:after="0" w:line="360" w:lineRule="auto"/>
        <w:jc w:val="both"/>
        <w:rPr>
          <w:rFonts w:ascii="Times New Roman" w:hAnsi="Times New Roman" w:cs="Times New Roman"/>
          <w:b/>
          <w:bCs/>
        </w:rPr>
      </w:pPr>
      <w:r w:rsidRPr="0048304C">
        <w:rPr>
          <w:rFonts w:ascii="Times New Roman" w:hAnsi="Times New Roman" w:cs="Times New Roman" w:hint="eastAsia"/>
          <w:b/>
          <w:bCs/>
        </w:rPr>
        <w:t>2</w:t>
      </w:r>
      <w:r w:rsidRPr="0048304C">
        <w:rPr>
          <w:rFonts w:ascii="Times New Roman" w:hAnsi="Times New Roman" w:cs="Times New Roman"/>
          <w:b/>
          <w:bCs/>
        </w:rPr>
        <w:t>) PCR product purification and pooling</w:t>
      </w:r>
    </w:p>
    <w:p w14:paraId="62A3E624" w14:textId="77777777" w:rsidR="00785B3F" w:rsidRDefault="00785B3F" w:rsidP="004D33B3">
      <w:pPr>
        <w:spacing w:after="0" w:line="360" w:lineRule="auto"/>
        <w:ind w:firstLineChars="200" w:firstLine="440"/>
        <w:jc w:val="both"/>
        <w:rPr>
          <w:rFonts w:ascii="Times New Roman" w:hAnsi="Times New Roman" w:cs="Times New Roman"/>
        </w:rPr>
      </w:pPr>
      <w:r>
        <w:rPr>
          <w:rFonts w:ascii="Times New Roman" w:hAnsi="Times New Roman" w:cs="Times New Roman"/>
        </w:rPr>
        <w:t>PCR products were pooled at equimolar concentrations and thoroughly mixed. The pooled amplicons were purified by 2% agarose gel electrophoresis (1× TAE buffer), and the target bands were excised and recovered using a Universal DNA purification kit. Fragment quality was verified using an Agilent 5400 Fragment Analyzer.</w:t>
      </w:r>
    </w:p>
    <w:p w14:paraId="44C0DA2E" w14:textId="5F6A8F07" w:rsidR="00785B3F" w:rsidRPr="00785B3F" w:rsidRDefault="00785B3F" w:rsidP="004D33B3">
      <w:pPr>
        <w:spacing w:after="0" w:line="360" w:lineRule="auto"/>
        <w:jc w:val="both"/>
        <w:rPr>
          <w:rFonts w:ascii="Times New Roman" w:hAnsi="Times New Roman" w:cs="Times New Roman"/>
          <w:b/>
          <w:bCs/>
        </w:rPr>
      </w:pPr>
      <w:r w:rsidRPr="00785B3F">
        <w:rPr>
          <w:rFonts w:ascii="Times New Roman" w:hAnsi="Times New Roman" w:cs="Times New Roman" w:hint="eastAsia"/>
          <w:b/>
          <w:bCs/>
        </w:rPr>
        <w:lastRenderedPageBreak/>
        <w:t>3</w:t>
      </w:r>
      <w:r w:rsidRPr="00785B3F">
        <w:rPr>
          <w:rFonts w:ascii="Times New Roman" w:hAnsi="Times New Roman" w:cs="Times New Roman"/>
          <w:b/>
          <w:bCs/>
        </w:rPr>
        <w:t>) Library preparation and sequencing</w:t>
      </w:r>
    </w:p>
    <w:p w14:paraId="357EEE27" w14:textId="77777777" w:rsidR="00785B3F" w:rsidRDefault="00785B3F" w:rsidP="004D33B3">
      <w:pPr>
        <w:spacing w:after="0" w:line="360" w:lineRule="auto"/>
        <w:ind w:firstLineChars="200" w:firstLine="440"/>
        <w:jc w:val="both"/>
        <w:rPr>
          <w:rFonts w:ascii="Times New Roman" w:hAnsi="Times New Roman" w:cs="Times New Roman"/>
        </w:rPr>
      </w:pPr>
      <w:r>
        <w:rPr>
          <w:rFonts w:ascii="Times New Roman" w:hAnsi="Times New Roman" w:cs="Times New Roman"/>
        </w:rPr>
        <w:t>Sequencing libraries were constructed using the NEBNext® Ultra DNA Library Prep Kit. Library quality was assessed using the Agilent 5400 system and quantified by qPCR. Sequencing was performed on the Illumina NovaSeq 6000 platform using a paired-end 250 bp (PE250) strategy, with a minimum sequencing depth of ≥50,000 reads per sample.</w:t>
      </w:r>
    </w:p>
    <w:p w14:paraId="61832708" w14:textId="44C24EF4" w:rsidR="00785B3F" w:rsidRPr="00785B3F" w:rsidRDefault="00785B3F" w:rsidP="004D33B3">
      <w:pPr>
        <w:spacing w:after="0" w:line="360" w:lineRule="auto"/>
        <w:jc w:val="both"/>
        <w:rPr>
          <w:rFonts w:ascii="Times New Roman" w:hAnsi="Times New Roman" w:cs="Times New Roman"/>
          <w:b/>
          <w:bCs/>
        </w:rPr>
      </w:pPr>
      <w:r w:rsidRPr="00785B3F">
        <w:rPr>
          <w:rFonts w:ascii="Times New Roman" w:hAnsi="Times New Roman" w:cs="Times New Roman" w:hint="eastAsia"/>
          <w:b/>
          <w:bCs/>
        </w:rPr>
        <w:t>4</w:t>
      </w:r>
      <w:r w:rsidRPr="00785B3F">
        <w:rPr>
          <w:rFonts w:ascii="Times New Roman" w:hAnsi="Times New Roman" w:cs="Times New Roman"/>
          <w:b/>
          <w:bCs/>
        </w:rPr>
        <w:t>) Bioinformatics analysis</w:t>
      </w:r>
    </w:p>
    <w:p w14:paraId="7F7D4813" w14:textId="77777777" w:rsidR="00785B3F" w:rsidRDefault="00785B3F" w:rsidP="004D33B3">
      <w:pPr>
        <w:spacing w:after="0" w:line="360" w:lineRule="auto"/>
        <w:ind w:firstLineChars="200" w:firstLine="440"/>
        <w:jc w:val="both"/>
        <w:rPr>
          <w:rFonts w:ascii="Times New Roman" w:hAnsi="Times New Roman" w:cs="Times New Roman"/>
        </w:rPr>
      </w:pPr>
      <w:r>
        <w:rPr>
          <w:rFonts w:ascii="Times New Roman" w:hAnsi="Times New Roman" w:cs="Times New Roman"/>
        </w:rPr>
        <w:t>The raw high-throughput sequencing data were processed using QIIME2 (version 2024.2). The DADA2 algorithm was employed for quality control, trimming, denoising, and assembly of the raw sequences to remove phiX, chimeric, and erroneous reads, thereby generating amplicon sequence variants (ASVs). Taxonomy was assigned to ASVs using the classify-sklearn method against the Silva 138 database ( https://www.arb-silva.de/ ).</w:t>
      </w:r>
    </w:p>
    <w:p w14:paraId="04430FDF" w14:textId="57827218" w:rsidR="00785B3F" w:rsidRPr="00785B3F" w:rsidRDefault="00785B3F" w:rsidP="004D33B3">
      <w:pPr>
        <w:spacing w:after="0" w:line="360" w:lineRule="auto"/>
        <w:jc w:val="both"/>
        <w:rPr>
          <w:rFonts w:ascii="Times New Roman" w:hAnsi="Times New Roman" w:cs="Times New Roman"/>
          <w:b/>
          <w:bCs/>
        </w:rPr>
      </w:pPr>
      <w:r w:rsidRPr="00785B3F">
        <w:rPr>
          <w:rFonts w:ascii="Times New Roman" w:hAnsi="Times New Roman" w:cs="Times New Roman" w:hint="eastAsia"/>
          <w:b/>
          <w:bCs/>
        </w:rPr>
        <w:t>5</w:t>
      </w:r>
      <w:r w:rsidRPr="00785B3F">
        <w:rPr>
          <w:rFonts w:ascii="Times New Roman" w:hAnsi="Times New Roman" w:cs="Times New Roman"/>
          <w:b/>
          <w:bCs/>
        </w:rPr>
        <w:t>) Microbial diversity</w:t>
      </w:r>
    </w:p>
    <w:p w14:paraId="1BC48101" w14:textId="77777777" w:rsidR="00785B3F" w:rsidRDefault="00785B3F" w:rsidP="004D33B3">
      <w:pPr>
        <w:spacing w:after="0" w:line="360" w:lineRule="auto"/>
        <w:ind w:firstLineChars="200" w:firstLine="440"/>
        <w:jc w:val="both"/>
        <w:rPr>
          <w:rFonts w:ascii="Times New Roman" w:hAnsi="Times New Roman" w:cs="Times New Roman"/>
        </w:rPr>
      </w:pPr>
      <w:r>
        <w:rPr>
          <w:rFonts w:ascii="Times New Roman" w:hAnsi="Times New Roman" w:cs="Times New Roman"/>
        </w:rPr>
        <w:t>Alpha diversity: Alpha diversity of the microbial community was assessed through richness (observed ASVs and Chao1 index), diversity (Shannon and Simpson indices), evenness (Pielou’s evenness index), and coverage (Good’s coverage). Kruskal–Wallis rank sum tests were used to compare alpha diversity indices among groups. Rarefaction curves were generated by rarefying the ASV table to a series of sequencing depths and calculating the number of observed ASVs at each depth; curves approaching a plateau indicate that the sequencing depth was sufficient to capture the majority of microbial diversity.</w:t>
      </w:r>
    </w:p>
    <w:p w14:paraId="5C95D688" w14:textId="68482084" w:rsidR="00785B3F" w:rsidRDefault="00785B3F" w:rsidP="004D33B3">
      <w:pPr>
        <w:spacing w:after="0" w:line="360" w:lineRule="auto"/>
        <w:ind w:firstLineChars="200" w:firstLine="440"/>
        <w:jc w:val="both"/>
        <w:rPr>
          <w:rFonts w:ascii="Times New Roman" w:hAnsi="Times New Roman" w:cs="Times New Roman"/>
        </w:rPr>
      </w:pPr>
      <w:r>
        <w:rPr>
          <w:rFonts w:ascii="Times New Roman" w:hAnsi="Times New Roman" w:cs="Times New Roman"/>
        </w:rPr>
        <w:t>Beta diversity: Beta diversity, representing between-sample differences in community composition, was evaluated by computing Bray–Curtis distance and Jaccard distance based on ASV abundances. Statistical significance of group differences was determined by permutational multivariate analysis of variance (PERMANOVA) using the adonis function.</w:t>
      </w:r>
      <w:r w:rsidR="004D33B3">
        <w:rPr>
          <w:rFonts w:ascii="Times New Roman" w:hAnsi="Times New Roman" w:cs="Times New Roman" w:hint="eastAsia"/>
        </w:rPr>
        <w:t xml:space="preserve"> P</w:t>
      </w:r>
      <w:r>
        <w:rPr>
          <w:rFonts w:ascii="Times New Roman" w:hAnsi="Times New Roman" w:cs="Times New Roman"/>
        </w:rPr>
        <w:t>rincipal coordinate analysis (PCoA) were performed based on the distance matrices and visualized using the vegan and ggplot2 packages in R.</w:t>
      </w:r>
    </w:p>
    <w:p w14:paraId="7B541112" w14:textId="77777777" w:rsidR="00785B3F" w:rsidRDefault="00785B3F" w:rsidP="004D33B3">
      <w:pPr>
        <w:spacing w:after="0" w:line="360" w:lineRule="auto"/>
        <w:ind w:firstLineChars="200" w:firstLine="440"/>
        <w:jc w:val="both"/>
        <w:rPr>
          <w:rFonts w:ascii="Times New Roman" w:hAnsi="Times New Roman" w:cs="Times New Roman"/>
        </w:rPr>
      </w:pPr>
      <w:r w:rsidRPr="00785B3F">
        <w:rPr>
          <w:rFonts w:ascii="Times New Roman" w:hAnsi="Times New Roman" w:cs="Times New Roman"/>
        </w:rPr>
        <w:lastRenderedPageBreak/>
        <w:t>Biomarker discovery: Between-group differences in microbial community structure were assessed using permutational multivariate analysis of variance (PERMANOVA), a non-parametric statistical test.</w:t>
      </w:r>
      <w:r w:rsidRPr="00785B3F">
        <w:rPr>
          <w:rFonts w:ascii="Times New Roman" w:hAnsi="Times New Roman" w:cs="Times New Roman" w:hint="eastAsia"/>
        </w:rPr>
        <w:t xml:space="preserve"> </w:t>
      </w:r>
      <w:r w:rsidRPr="00785B3F">
        <w:rPr>
          <w:rFonts w:ascii="Times New Roman" w:hAnsi="Times New Roman" w:cs="Times New Roman"/>
        </w:rPr>
        <w:t>Pairwise comparisons were performed as post-hoc tests, with p-values adjusted using the false discovery rate (FDR) method</w:t>
      </w:r>
      <w:r w:rsidRPr="00785B3F">
        <w:rPr>
          <w:rFonts w:ascii="Times New Roman" w:hAnsi="Times New Roman" w:cs="Times New Roman" w:hint="eastAsia"/>
        </w:rPr>
        <w:t>.</w:t>
      </w:r>
    </w:p>
    <w:p w14:paraId="4B18A316" w14:textId="4E91C433" w:rsidR="004D33B3" w:rsidRPr="004D33B3" w:rsidRDefault="004D33B3" w:rsidP="004D33B3">
      <w:pPr>
        <w:spacing w:after="0" w:line="360" w:lineRule="auto"/>
        <w:ind w:firstLineChars="200" w:firstLine="440"/>
        <w:jc w:val="both"/>
        <w:rPr>
          <w:rFonts w:ascii="Times New Roman" w:hAnsi="Times New Roman" w:cs="Times New Roman"/>
        </w:rPr>
      </w:pPr>
      <w:r w:rsidRPr="004D33B3">
        <w:rPr>
          <w:rFonts w:ascii="Times New Roman" w:hAnsi="Times New Roman" w:cs="Times New Roman"/>
        </w:rPr>
        <w:t>The metagenomic function was predicted by PICRUSt2 (Phylogenetic Investigation of Communities by Reconstruction of Unobserved States)</w:t>
      </w:r>
      <w:r>
        <w:rPr>
          <w:rFonts w:ascii="Times New Roman" w:hAnsi="Times New Roman" w:cs="Times New Roman" w:hint="eastAsia"/>
          <w:vertAlign w:val="superscript"/>
        </w:rPr>
        <w:t>[4]</w:t>
      </w:r>
      <w:r w:rsidRPr="004D33B3">
        <w:rPr>
          <w:rFonts w:ascii="Times New Roman" w:hAnsi="Times New Roman" w:cs="Times New Roman"/>
          <w:vertAlign w:val="superscript"/>
        </w:rPr>
        <w:t xml:space="preserve"> </w:t>
      </w:r>
      <w:r w:rsidRPr="004D33B3">
        <w:rPr>
          <w:rFonts w:ascii="Times New Roman" w:hAnsi="Times New Roman" w:cs="Times New Roman"/>
        </w:rPr>
        <w:t>based on ASV representative sequences. PICRUSt2 is a software containing a series of tools as follows: HMMER was used to aligns ASV representative sequences with reference sequences. EPA-NG and Gappa were used to put ASV representative sequences into a reference tree. The castor was used to normalize the 16S gene copies. MinPath was used to predict gene family profiles, and locate into the gene pathways. Entire analysis process was accord to protocols of PICRUSt2.</w:t>
      </w:r>
    </w:p>
    <w:p w14:paraId="578A785D" w14:textId="74B11BA1" w:rsidR="00785B3F" w:rsidRDefault="00785B3F" w:rsidP="004D33B3">
      <w:pPr>
        <w:spacing w:after="0" w:line="360" w:lineRule="auto"/>
        <w:ind w:firstLineChars="200" w:firstLine="440"/>
        <w:jc w:val="both"/>
        <w:rPr>
          <w:rFonts w:ascii="Times New Roman" w:hAnsi="Times New Roman" w:cs="Times New Roman"/>
        </w:rPr>
      </w:pPr>
      <w:r>
        <w:rPr>
          <w:rFonts w:ascii="Times New Roman" w:hAnsi="Times New Roman" w:cs="Times New Roman" w:hint="eastAsia"/>
        </w:rPr>
        <w:t>Keystoneness calculation:Structural Keystoneness (Ks) was calculated using the deep learning-based keystone species identification framework proposed by Wang et al</w:t>
      </w:r>
      <w:r>
        <w:rPr>
          <w:rFonts w:ascii="Times New Roman" w:hAnsi="Times New Roman" w:cs="Times New Roman" w:hint="eastAsia"/>
          <w:vertAlign w:val="superscript"/>
        </w:rPr>
        <w:t>[1]</w:t>
      </w:r>
      <w:r>
        <w:rPr>
          <w:rFonts w:ascii="Times New Roman" w:hAnsi="Times New Roman" w:cs="Times New Roman" w:hint="eastAsia"/>
        </w:rPr>
        <w:t>.This method constructs a neural network model from species abundance data and assesses the structural importance of each taxon by sequentially removing it and quantifying the resulting reduction in community prediction accuracy, thereby assigning a keystone-ness score to each taxon. Specifically, a trained deep learning model is used to predict the original intact community; the abundance of the target species is then set to zero and the community is re-predicted. The difference in prediction error between the two conditions represents the raw keystone-ness score of that species. Based on these scores, the median keystone-ness [median(Ks)] and the median absolute deviation of keystone-ness [MAD(Ks)] across all samples were calculated for each taxon, to evaluate the community specificity and condition</w:t>
      </w:r>
      <w:r w:rsidR="0048304C">
        <w:rPr>
          <w:rFonts w:ascii="Times New Roman" w:hAnsi="Times New Roman" w:cs="Times New Roman" w:hint="eastAsia"/>
        </w:rPr>
        <w:t>.</w:t>
      </w:r>
    </w:p>
    <w:p w14:paraId="1D8C1245" w14:textId="643835FB" w:rsidR="0000750F" w:rsidRPr="0000750F" w:rsidRDefault="0000750F" w:rsidP="004D33B3">
      <w:pPr>
        <w:spacing w:after="0" w:line="360" w:lineRule="auto"/>
        <w:ind w:firstLineChars="200" w:firstLine="440"/>
        <w:jc w:val="both"/>
        <w:rPr>
          <w:rFonts w:ascii="Times New Roman" w:hAnsi="Times New Roman" w:cs="Times New Roman"/>
        </w:rPr>
      </w:pPr>
      <w:r w:rsidRPr="0000750F">
        <w:rPr>
          <w:rFonts w:ascii="Times New Roman" w:hAnsi="Times New Roman" w:cs="Times New Roman" w:hint="eastAsia"/>
        </w:rPr>
        <w:t xml:space="preserve">The Gut Microbiome Health Index (GMHI) and the Microbial Dysbiosis Index (MDI) were calculated to comprehensively evaluate gut microbial health status. GMHI was calculated according to the method proposed by Gupta et al., which integrates the relative abundances of health-prevalent and health-scarce microbial species into a single quantitative index reflecting host gut microbial health. Compared with conventional </w:t>
      </w:r>
      <w:r w:rsidRPr="0000750F">
        <w:rPr>
          <w:rFonts w:ascii="Times New Roman" w:hAnsi="Times New Roman" w:cs="Times New Roman" w:hint="eastAsia"/>
        </w:rPr>
        <w:t>α</w:t>
      </w:r>
      <w:r w:rsidRPr="0000750F">
        <w:rPr>
          <w:rFonts w:ascii="Times New Roman" w:hAnsi="Times New Roman" w:cs="Times New Roman" w:hint="eastAsia"/>
        </w:rPr>
        <w:t xml:space="preserve">-diversity metrics, GMHI has demonstrated </w:t>
      </w:r>
      <w:r w:rsidRPr="0000750F">
        <w:rPr>
          <w:rFonts w:ascii="Times New Roman" w:hAnsi="Times New Roman" w:cs="Times New Roman" w:hint="eastAsia"/>
        </w:rPr>
        <w:lastRenderedPageBreak/>
        <w:t>superior ability to distinguish healthy from non-healthy individuals and has shown good reproducibility across independent cohorts.</w:t>
      </w:r>
    </w:p>
    <w:p w14:paraId="6785FAC4" w14:textId="686EAAAA" w:rsidR="0000750F" w:rsidRDefault="0000750F" w:rsidP="004D33B3">
      <w:pPr>
        <w:spacing w:after="0" w:line="360" w:lineRule="auto"/>
        <w:ind w:firstLineChars="200" w:firstLine="440"/>
        <w:jc w:val="both"/>
        <w:rPr>
          <w:rFonts w:ascii="Times New Roman" w:hAnsi="Times New Roman" w:cs="Times New Roman"/>
        </w:rPr>
      </w:pPr>
      <w:r w:rsidRPr="0000750F">
        <w:rPr>
          <w:rFonts w:ascii="Times New Roman" w:hAnsi="Times New Roman" w:cs="Times New Roman" w:hint="eastAsia"/>
        </w:rPr>
        <w:t>Briefly, microbial prevalence in healthy and non-healthy reference populations was used to calculate the prevalence fold change and prevalence difference for each microbial species. Species meeting the predefined thresholds were classified as health-prevalent or health-scarce taxa. GMHI was subsequently calculated based on the relative abundances of these taxa, with higher GMHI values indicating a healthier gut microbial ecosystem. GMHI was computed using the publicly available implementation described by Gupta et al</w:t>
      </w:r>
      <w:r w:rsidRPr="0000750F">
        <w:rPr>
          <w:rFonts w:ascii="Times New Roman" w:hAnsi="Times New Roman" w:cs="Times New Roman" w:hint="eastAsia"/>
          <w:vertAlign w:val="superscript"/>
        </w:rPr>
        <w:t>[2]</w:t>
      </w:r>
      <w:r w:rsidRPr="0000750F">
        <w:rPr>
          <w:rFonts w:ascii="Times New Roman" w:hAnsi="Times New Roman" w:cs="Times New Roman" w:hint="eastAsia"/>
        </w:rPr>
        <w:t>.</w:t>
      </w:r>
    </w:p>
    <w:p w14:paraId="33372431" w14:textId="09227132" w:rsidR="0000750F" w:rsidRDefault="0000750F" w:rsidP="004D33B3">
      <w:pPr>
        <w:spacing w:after="0" w:line="360" w:lineRule="auto"/>
        <w:ind w:firstLineChars="200" w:firstLine="440"/>
        <w:jc w:val="both"/>
        <w:rPr>
          <w:rFonts w:ascii="Times New Roman" w:hAnsi="Times New Roman" w:cs="Times New Roman"/>
        </w:rPr>
      </w:pPr>
      <w:r w:rsidRPr="0000750F">
        <w:rPr>
          <w:rFonts w:ascii="Times New Roman" w:hAnsi="Times New Roman" w:cs="Times New Roman"/>
        </w:rPr>
        <w:t>The Microbial Dysbiosis Index (MDI) was calculated to evaluate the degree of gut microbial dysbiosis according to the method described by Gunathilake et al. MDI quantifies microbial imbalance by comparing the cumulative relative abundance of taxa enriched in the disease group with that of taxa depleted in the disease group. Higher MDI values indicate greater disruption of the gut microbial ecosystem</w:t>
      </w:r>
      <w:r>
        <w:rPr>
          <w:rFonts w:ascii="Times New Roman" w:hAnsi="Times New Roman" w:cs="Times New Roman" w:hint="eastAsia"/>
        </w:rPr>
        <w:t xml:space="preserve"> </w:t>
      </w:r>
      <w:r w:rsidRPr="0000750F">
        <w:rPr>
          <w:rFonts w:ascii="Times New Roman" w:hAnsi="Times New Roman" w:cs="Times New Roman" w:hint="eastAsia"/>
          <w:vertAlign w:val="superscript"/>
        </w:rPr>
        <w:t>[3]</w:t>
      </w:r>
      <w:r w:rsidRPr="0000750F">
        <w:rPr>
          <w:rFonts w:ascii="Times New Roman" w:hAnsi="Times New Roman" w:cs="Times New Roman"/>
        </w:rPr>
        <w:t>.</w:t>
      </w:r>
    </w:p>
    <w:p w14:paraId="6D6EC750" w14:textId="761AD9BF" w:rsidR="00785B3F" w:rsidRPr="00785B3F" w:rsidRDefault="00785B3F" w:rsidP="004D33B3">
      <w:pPr>
        <w:spacing w:after="0" w:line="360" w:lineRule="auto"/>
        <w:jc w:val="both"/>
        <w:rPr>
          <w:rFonts w:ascii="Times New Roman" w:hAnsi="Times New Roman" w:cs="Times New Roman"/>
          <w:b/>
          <w:bCs/>
        </w:rPr>
      </w:pPr>
      <w:r>
        <w:rPr>
          <w:rFonts w:ascii="Times New Roman" w:hAnsi="Times New Roman" w:cs="Times New Roman" w:hint="eastAsia"/>
          <w:b/>
          <w:bCs/>
        </w:rPr>
        <w:t>6</w:t>
      </w:r>
      <w:r>
        <w:rPr>
          <w:rFonts w:ascii="Times New Roman" w:hAnsi="Times New Roman" w:cs="Times New Roman" w:hint="eastAsia"/>
          <w:b/>
          <w:bCs/>
        </w:rPr>
        <w:t>）</w:t>
      </w:r>
      <w:r w:rsidRPr="00785B3F">
        <w:rPr>
          <w:rFonts w:ascii="Times New Roman" w:hAnsi="Times New Roman" w:cs="Times New Roman"/>
          <w:b/>
          <w:bCs/>
        </w:rPr>
        <w:t>Machine Learning Analysis</w:t>
      </w:r>
    </w:p>
    <w:p w14:paraId="4DE139F4" w14:textId="77777777" w:rsidR="00785B3F" w:rsidRPr="00785B3F" w:rsidRDefault="00785B3F" w:rsidP="004D33B3">
      <w:pPr>
        <w:spacing w:after="0" w:line="360" w:lineRule="auto"/>
        <w:jc w:val="both"/>
        <w:rPr>
          <w:rFonts w:ascii="Times New Roman" w:hAnsi="Times New Roman" w:cs="Times New Roman"/>
        </w:rPr>
      </w:pPr>
      <w:r w:rsidRPr="00785B3F">
        <w:rPr>
          <w:rFonts w:ascii="Times New Roman" w:hAnsi="Times New Roman" w:cs="Times New Roman"/>
        </w:rPr>
        <w:t>To identify key microbial signatures associated with long-term exercise training and evaluate their discriminatory performance, five supervised machine learning algorithms, including Random Forest (RF), Support Vector Machine (SVM), Decision Tree (DT), K-Nearest Neighbors (KNN), and Logistic Regression (LR), were constructed using genus-level relative abundance profiles. Model performance was evaluated based on the area under the receiver operating characteristic curve (AUC), accuracy, precision, recall, and F1-score, and the optimal model was selected accordingly.</w:t>
      </w:r>
    </w:p>
    <w:p w14:paraId="54792313" w14:textId="77777777" w:rsidR="00785B3F" w:rsidRPr="00785B3F" w:rsidRDefault="00785B3F" w:rsidP="004D33B3">
      <w:pPr>
        <w:spacing w:after="0" w:line="360" w:lineRule="auto"/>
        <w:jc w:val="both"/>
        <w:rPr>
          <w:rFonts w:ascii="Times New Roman" w:hAnsi="Times New Roman" w:cs="Times New Roman"/>
        </w:rPr>
      </w:pPr>
      <w:r w:rsidRPr="00785B3F">
        <w:rPr>
          <w:rFonts w:ascii="Times New Roman" w:hAnsi="Times New Roman" w:cs="Times New Roman"/>
        </w:rPr>
        <w:t>The dataset was randomly divided into a training set (70%) and an independent testing set (30%). To reduce overfitting and improve model stability, five-fold cross-validation was performed during model training. Briefly, the training dataset was randomly partitioned into five equal subsets; in each iteration, one subset was used for validation and the remaining four subsets were used for model training. This procedure was repeated five times, and the average performance metrics were calculated to determine the optimal model.</w:t>
      </w:r>
    </w:p>
    <w:p w14:paraId="12E16C4B" w14:textId="45BCC14C" w:rsidR="00785B3F" w:rsidRPr="00785B3F" w:rsidRDefault="00785B3F" w:rsidP="004D33B3">
      <w:pPr>
        <w:spacing w:after="0" w:line="360" w:lineRule="auto"/>
        <w:jc w:val="both"/>
        <w:rPr>
          <w:rFonts w:ascii="Times New Roman" w:hAnsi="Times New Roman" w:cs="Times New Roman"/>
        </w:rPr>
      </w:pPr>
      <w:r w:rsidRPr="00785B3F">
        <w:rPr>
          <w:rFonts w:ascii="Times New Roman" w:hAnsi="Times New Roman" w:cs="Times New Roman"/>
        </w:rPr>
        <w:lastRenderedPageBreak/>
        <w:t xml:space="preserve">Feature importance was assessed using the Mean Decrease Accuracy (MDA) algorithm implemented in the Random Forest model. The optimal number of microbial features was determined according to model performance, and receiver operating characteristic (ROC) curves were generated to evaluate classification performance. To further verify the stability of the model, an independent external validation cohort was used for validation. The baseline characteristics of participants in the external validation cohort are presented in </w:t>
      </w:r>
      <w:r w:rsidRPr="00785B3F">
        <w:rPr>
          <w:rFonts w:ascii="Times New Roman" w:hAnsi="Times New Roman" w:cs="Times New Roman"/>
          <w:b/>
          <w:bCs/>
        </w:rPr>
        <w:t>Supplementary Table S1</w:t>
      </w:r>
      <w:r w:rsidRPr="00785B3F">
        <w:rPr>
          <w:rFonts w:ascii="Times New Roman" w:hAnsi="Times New Roman" w:cs="Times New Roman"/>
        </w:rPr>
        <w:t>. All machine learning analyses were performed using R software (version 4.3.2).</w:t>
      </w:r>
    </w:p>
    <w:p w14:paraId="5542F24F" w14:textId="64A46C73" w:rsidR="00785B3F" w:rsidRDefault="00785B3F" w:rsidP="004D33B3">
      <w:pPr>
        <w:spacing w:after="0" w:line="360" w:lineRule="auto"/>
        <w:jc w:val="both"/>
        <w:rPr>
          <w:rFonts w:ascii="Times New Roman" w:hAnsi="Times New Roman" w:cs="Times New Roman"/>
          <w:b/>
          <w:bCs/>
        </w:rPr>
      </w:pPr>
      <w:r>
        <w:rPr>
          <w:rFonts w:ascii="Times New Roman" w:hAnsi="Times New Roman" w:cs="Times New Roman" w:hint="eastAsia"/>
          <w:b/>
          <w:bCs/>
        </w:rPr>
        <w:t>Reference</w:t>
      </w:r>
    </w:p>
    <w:p w14:paraId="0456AB7A" w14:textId="77777777" w:rsidR="00785B3F" w:rsidRDefault="00785B3F" w:rsidP="004D33B3">
      <w:pPr>
        <w:spacing w:after="0" w:line="360" w:lineRule="auto"/>
        <w:jc w:val="both"/>
        <w:rPr>
          <w:rFonts w:ascii="Times New Roman" w:hAnsi="Times New Roman" w:cs="Times New Roman"/>
        </w:rPr>
      </w:pPr>
      <w:r>
        <w:rPr>
          <w:rFonts w:ascii="Times New Roman" w:hAnsi="Times New Roman" w:cs="Times New Roman" w:hint="eastAsia"/>
        </w:rPr>
        <w:t xml:space="preserve">[1] Wang XW, Sun Z, Jia H, Michel-Mata S, Angulo MT, Dai L, He X, Weiss ST, Liu YY. Identifying keystone species in microbial communities using deep learning. </w:t>
      </w:r>
      <w:r>
        <w:rPr>
          <w:rFonts w:ascii="Times New Roman" w:hAnsi="Times New Roman" w:cs="Times New Roman" w:hint="eastAsia"/>
          <w:i/>
          <w:iCs/>
        </w:rPr>
        <w:t>Nat Ecol Evo</w:t>
      </w:r>
      <w:r>
        <w:rPr>
          <w:rFonts w:ascii="Times New Roman" w:hAnsi="Times New Roman" w:cs="Times New Roman" w:hint="eastAsia"/>
        </w:rPr>
        <w:t>l. 2024;8(1):22-31.</w:t>
      </w:r>
    </w:p>
    <w:p w14:paraId="78F15062" w14:textId="38CAA071" w:rsidR="0000750F" w:rsidRDefault="0000750F" w:rsidP="004D33B3">
      <w:pPr>
        <w:spacing w:after="0" w:line="360" w:lineRule="auto"/>
        <w:jc w:val="both"/>
        <w:rPr>
          <w:rFonts w:ascii="Times New Roman" w:hAnsi="Times New Roman" w:cs="Times New Roman"/>
        </w:rPr>
      </w:pPr>
      <w:r>
        <w:rPr>
          <w:rFonts w:ascii="Times New Roman" w:hAnsi="Times New Roman" w:cs="Times New Roman" w:hint="eastAsia"/>
        </w:rPr>
        <w:t>[2]</w:t>
      </w:r>
      <w:r w:rsidR="004D33B3">
        <w:rPr>
          <w:rFonts w:ascii="Times New Roman" w:hAnsi="Times New Roman" w:cs="Times New Roman" w:hint="eastAsia"/>
        </w:rPr>
        <w:t xml:space="preserve"> </w:t>
      </w:r>
      <w:r w:rsidRPr="0000750F">
        <w:rPr>
          <w:rFonts w:ascii="Times New Roman" w:hAnsi="Times New Roman" w:cs="Times New Roman"/>
        </w:rPr>
        <w:t xml:space="preserve">Gupta VK, Kim M, Bakshi U, Cunningham KY, Davis JM 3rd, Lazaridis KN, Nelson H, Chia N, Sung J. A predictive index for health status using species-level gut microbiome profiling. </w:t>
      </w:r>
      <w:r w:rsidRPr="0000750F">
        <w:rPr>
          <w:rFonts w:ascii="Times New Roman" w:hAnsi="Times New Roman" w:cs="Times New Roman"/>
          <w:i/>
          <w:iCs/>
        </w:rPr>
        <w:t>Nat Commun.</w:t>
      </w:r>
      <w:r w:rsidRPr="0000750F">
        <w:rPr>
          <w:rFonts w:ascii="Times New Roman" w:hAnsi="Times New Roman" w:cs="Times New Roman"/>
        </w:rPr>
        <w:t xml:space="preserve"> 2020</w:t>
      </w:r>
      <w:r>
        <w:rPr>
          <w:rFonts w:ascii="Times New Roman" w:hAnsi="Times New Roman" w:cs="Times New Roman" w:hint="eastAsia"/>
        </w:rPr>
        <w:t>,</w:t>
      </w:r>
      <w:r w:rsidRPr="0000750F">
        <w:rPr>
          <w:rFonts w:ascii="Times New Roman" w:hAnsi="Times New Roman" w:cs="Times New Roman"/>
        </w:rPr>
        <w:t xml:space="preserve">11(1):4635. </w:t>
      </w:r>
    </w:p>
    <w:p w14:paraId="0CDD9002" w14:textId="059B7B02" w:rsidR="00283682" w:rsidRDefault="0000750F" w:rsidP="004D33B3">
      <w:pPr>
        <w:spacing w:after="0" w:line="360" w:lineRule="auto"/>
        <w:jc w:val="both"/>
        <w:rPr>
          <w:rFonts w:ascii="Times New Roman" w:hAnsi="Times New Roman" w:cs="Times New Roman"/>
        </w:rPr>
      </w:pPr>
      <w:r>
        <w:rPr>
          <w:rFonts w:ascii="Times New Roman" w:hAnsi="Times New Roman" w:cs="Times New Roman" w:hint="eastAsia"/>
        </w:rPr>
        <w:t>[3]</w:t>
      </w:r>
      <w:r w:rsidR="004D33B3">
        <w:rPr>
          <w:rFonts w:ascii="Times New Roman" w:hAnsi="Times New Roman" w:cs="Times New Roman" w:hint="eastAsia"/>
        </w:rPr>
        <w:t xml:space="preserve"> </w:t>
      </w:r>
      <w:r w:rsidRPr="0000750F">
        <w:rPr>
          <w:rFonts w:ascii="Times New Roman" w:hAnsi="Times New Roman" w:cs="Times New Roman"/>
        </w:rPr>
        <w:t xml:space="preserve">Gunathilake M, Lee J, Choi IJ, Kim YI, Yoon J, Sul WJ, Kim JF, Kim J. Alterations in Gastric Microbial Communities Are Associated with Risk of Gastric Cancer in a Korean Population: A Case-Control Study. </w:t>
      </w:r>
      <w:r w:rsidRPr="0000750F">
        <w:rPr>
          <w:rFonts w:ascii="Times New Roman" w:hAnsi="Times New Roman" w:cs="Times New Roman"/>
          <w:i/>
          <w:iCs/>
        </w:rPr>
        <w:t>Cancers (Basel)</w:t>
      </w:r>
      <w:r w:rsidRPr="0000750F">
        <w:rPr>
          <w:rFonts w:ascii="Times New Roman" w:hAnsi="Times New Roman" w:cs="Times New Roman"/>
        </w:rPr>
        <w:t>. 2020</w:t>
      </w:r>
      <w:r>
        <w:rPr>
          <w:rFonts w:ascii="Times New Roman" w:hAnsi="Times New Roman" w:cs="Times New Roman" w:hint="eastAsia"/>
        </w:rPr>
        <w:t>,</w:t>
      </w:r>
      <w:r w:rsidRPr="0000750F">
        <w:rPr>
          <w:rFonts w:ascii="Times New Roman" w:hAnsi="Times New Roman" w:cs="Times New Roman"/>
        </w:rPr>
        <w:t xml:space="preserve">12(9):2619. </w:t>
      </w:r>
    </w:p>
    <w:p w14:paraId="2776C033" w14:textId="52276C5F" w:rsidR="004D33B3" w:rsidRDefault="004D33B3" w:rsidP="004D33B3">
      <w:pPr>
        <w:spacing w:after="0" w:line="360" w:lineRule="auto"/>
        <w:jc w:val="both"/>
        <w:rPr>
          <w:rFonts w:ascii="Times New Roman" w:hAnsi="Times New Roman" w:cs="Times New Roman" w:hint="eastAsia"/>
        </w:rPr>
      </w:pPr>
      <w:r>
        <w:rPr>
          <w:rFonts w:ascii="Times New Roman" w:hAnsi="Times New Roman" w:cs="Times New Roman" w:hint="eastAsia"/>
        </w:rPr>
        <w:t xml:space="preserve">[4] </w:t>
      </w:r>
      <w:r w:rsidRPr="004D33B3">
        <w:rPr>
          <w:rFonts w:ascii="Times New Roman" w:hAnsi="Times New Roman" w:cs="Times New Roman"/>
        </w:rPr>
        <w:t xml:space="preserve">Douglas G M ,  Maffei V J ,  Zaneveld J R , et al. PICRUSt2 for prediction of metagenome functions[J]. </w:t>
      </w:r>
      <w:r w:rsidRPr="004D33B3">
        <w:rPr>
          <w:rFonts w:ascii="Times New Roman" w:hAnsi="Times New Roman" w:cs="Times New Roman"/>
          <w:i/>
          <w:iCs/>
        </w:rPr>
        <w:t>Nature Biotechnology</w:t>
      </w:r>
      <w:r w:rsidRPr="004D33B3">
        <w:rPr>
          <w:rFonts w:ascii="Times New Roman" w:hAnsi="Times New Roman" w:cs="Times New Roman"/>
        </w:rPr>
        <w:t>. 2020, 38: 685–688.</w:t>
      </w:r>
    </w:p>
    <w:p w14:paraId="623DC4D7" w14:textId="77777777" w:rsidR="004D33B3" w:rsidRDefault="004D33B3" w:rsidP="004D33B3">
      <w:pPr>
        <w:spacing w:after="0" w:line="360" w:lineRule="auto"/>
        <w:jc w:val="both"/>
        <w:rPr>
          <w:rFonts w:ascii="Times New Roman" w:hAnsi="Times New Roman" w:cs="Times New Roman"/>
        </w:rPr>
      </w:pPr>
    </w:p>
    <w:p w14:paraId="23EA1F59" w14:textId="77777777" w:rsidR="004D33B3" w:rsidRDefault="004D33B3" w:rsidP="004D33B3">
      <w:pPr>
        <w:spacing w:after="0" w:line="360" w:lineRule="auto"/>
        <w:jc w:val="both"/>
        <w:rPr>
          <w:rFonts w:ascii="Times New Roman" w:hAnsi="Times New Roman" w:cs="Times New Roman"/>
        </w:rPr>
      </w:pPr>
    </w:p>
    <w:p w14:paraId="7D89F46B" w14:textId="77777777" w:rsidR="004D33B3" w:rsidRDefault="004D33B3" w:rsidP="004D33B3">
      <w:pPr>
        <w:spacing w:after="0" w:line="360" w:lineRule="auto"/>
        <w:jc w:val="both"/>
        <w:rPr>
          <w:rFonts w:ascii="Times New Roman" w:hAnsi="Times New Roman" w:cs="Times New Roman"/>
        </w:rPr>
      </w:pPr>
    </w:p>
    <w:p w14:paraId="2CE55BA8" w14:textId="77777777" w:rsidR="004D33B3" w:rsidRDefault="004D33B3" w:rsidP="004D33B3">
      <w:pPr>
        <w:spacing w:after="0" w:line="360" w:lineRule="auto"/>
        <w:jc w:val="both"/>
        <w:rPr>
          <w:rFonts w:ascii="Times New Roman" w:hAnsi="Times New Roman" w:cs="Times New Roman"/>
        </w:rPr>
      </w:pPr>
    </w:p>
    <w:p w14:paraId="60DD4308" w14:textId="77777777" w:rsidR="001A6D44" w:rsidRDefault="001A6D44" w:rsidP="00283682">
      <w:pPr>
        <w:jc w:val="both"/>
        <w:rPr>
          <w:rFonts w:ascii="Times New Roman" w:hAnsi="Times New Roman" w:cs="Times New Roman"/>
        </w:rPr>
      </w:pPr>
    </w:p>
    <w:p w14:paraId="4E18F871" w14:textId="1BE95136" w:rsidR="00283682" w:rsidRDefault="00283682" w:rsidP="00283682">
      <w:pPr>
        <w:jc w:val="both"/>
        <w:rPr>
          <w:rFonts w:ascii="Times New Roman" w:hAnsi="Times New Roman" w:cs="Times New Roman"/>
          <w:sz w:val="24"/>
        </w:rPr>
      </w:pPr>
      <w:r w:rsidRPr="00785B3F">
        <w:rPr>
          <w:rFonts w:ascii="Times New Roman" w:hAnsi="Times New Roman" w:cs="Times New Roman"/>
          <w:b/>
          <w:bCs/>
          <w:sz w:val="24"/>
        </w:rPr>
        <w:lastRenderedPageBreak/>
        <w:t xml:space="preserve">Supplementary Table S1. </w:t>
      </w:r>
      <w:r w:rsidRPr="00785B3F">
        <w:rPr>
          <w:rFonts w:ascii="Times New Roman" w:hAnsi="Times New Roman" w:cs="Times New Roman"/>
          <w:sz w:val="24"/>
        </w:rPr>
        <w:t>Baseline characteristics of participants in the external validation cohort.</w:t>
      </w:r>
    </w:p>
    <w:tbl>
      <w:tblPr>
        <w:tblW w:w="4390" w:type="pct"/>
        <w:jc w:val="center"/>
        <w:tblLook w:val="0420" w:firstRow="1" w:lastRow="0" w:firstColumn="0" w:lastColumn="0" w:noHBand="0" w:noVBand="1"/>
      </w:tblPr>
      <w:tblGrid>
        <w:gridCol w:w="4487"/>
        <w:gridCol w:w="2596"/>
        <w:gridCol w:w="2831"/>
        <w:gridCol w:w="1311"/>
        <w:gridCol w:w="1030"/>
      </w:tblGrid>
      <w:tr w:rsidR="00E37574" w:rsidRPr="0051021A" w14:paraId="54156FC3" w14:textId="77777777" w:rsidTr="00E37574">
        <w:trPr>
          <w:trHeight w:val="485"/>
          <w:tblHeader/>
          <w:jc w:val="center"/>
        </w:trPr>
        <w:tc>
          <w:tcPr>
            <w:tcW w:w="1831"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A09BD47" w14:textId="77777777" w:rsidR="00E37574" w:rsidRPr="0051021A" w:rsidRDefault="00E37574" w:rsidP="00AD258F">
            <w:pPr>
              <w:pBdr>
                <w:top w:val="none" w:sz="0" w:space="0" w:color="000000"/>
                <w:left w:val="none" w:sz="0" w:space="0" w:color="000000"/>
                <w:bottom w:val="none" w:sz="0" w:space="0" w:color="000000"/>
                <w:right w:val="none" w:sz="0" w:space="0" w:color="000000"/>
              </w:pBdr>
              <w:spacing w:after="0" w:line="360" w:lineRule="auto"/>
              <w:rPr>
                <w:rFonts w:ascii="Times New Roman" w:eastAsia="Times New Roman" w:hAnsi="Times New Roman" w:cs="Times New Roman"/>
                <w:sz w:val="20"/>
                <w:szCs w:val="20"/>
              </w:rPr>
            </w:pPr>
            <w:r w:rsidRPr="0051021A">
              <w:rPr>
                <w:rFonts w:ascii="Times New Roman" w:hAnsi="Times New Roman" w:cs="Times New Roman"/>
                <w:sz w:val="20"/>
                <w:szCs w:val="20"/>
              </w:rPr>
              <w:t>characteristics</w:t>
            </w:r>
          </w:p>
        </w:tc>
        <w:tc>
          <w:tcPr>
            <w:tcW w:w="1059"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6C86B62" w14:textId="5D6FE16C" w:rsidR="00E37574" w:rsidRPr="00E37574" w:rsidRDefault="00E37574" w:rsidP="00AD258F">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hAnsi="Times New Roman" w:cs="Times New Roman" w:hint="eastAsia"/>
                <w:sz w:val="20"/>
                <w:szCs w:val="20"/>
              </w:rPr>
            </w:pPr>
            <w:r w:rsidRPr="0051021A">
              <w:rPr>
                <w:rFonts w:ascii="Times New Roman" w:eastAsia="Times New Roman" w:hAnsi="Times New Roman" w:cs="Times New Roman"/>
                <w:sz w:val="20"/>
                <w:szCs w:val="20"/>
              </w:rPr>
              <w:t xml:space="preserve">EXD (n = </w:t>
            </w:r>
            <w:r>
              <w:rPr>
                <w:rFonts w:ascii="Times New Roman" w:hAnsi="Times New Roman" w:cs="Times New Roman" w:hint="eastAsia"/>
                <w:sz w:val="20"/>
                <w:szCs w:val="20"/>
              </w:rPr>
              <w:t>30)</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1CC82BF" w14:textId="51C483DA" w:rsidR="00E37574" w:rsidRPr="0051021A" w:rsidRDefault="00E37574" w:rsidP="00AD258F">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51021A">
              <w:rPr>
                <w:rFonts w:ascii="Times New Roman" w:eastAsia="Times New Roman" w:hAnsi="Times New Roman" w:cs="Times New Roman"/>
                <w:sz w:val="20"/>
                <w:szCs w:val="20"/>
              </w:rPr>
              <w:t xml:space="preserve">SED (n = </w:t>
            </w:r>
            <w:r>
              <w:rPr>
                <w:rFonts w:ascii="Times New Roman" w:hAnsi="Times New Roman" w:cs="Times New Roman" w:hint="eastAsia"/>
                <w:sz w:val="20"/>
                <w:szCs w:val="20"/>
              </w:rPr>
              <w:t>30</w:t>
            </w:r>
            <w:r w:rsidRPr="0051021A">
              <w:rPr>
                <w:rFonts w:ascii="Times New Roman" w:eastAsia="Times New Roman" w:hAnsi="Times New Roman" w:cs="Times New Roman"/>
                <w:sz w:val="20"/>
                <w:szCs w:val="20"/>
              </w:rPr>
              <w:t>)</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DC07B7B" w14:textId="77777777" w:rsidR="00E37574" w:rsidRPr="0051021A" w:rsidRDefault="00E37574" w:rsidP="00AD258F">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hAnsi="Times New Roman" w:cs="Times New Roman"/>
                <w:sz w:val="20"/>
                <w:szCs w:val="20"/>
              </w:rPr>
            </w:pPr>
            <w:r w:rsidRPr="0051021A">
              <w:rPr>
                <w:rFonts w:ascii="Times New Roman" w:hAnsi="Times New Roman" w:cs="Times New Roman"/>
                <w:sz w:val="20"/>
                <w:szCs w:val="20"/>
              </w:rPr>
              <w:t>t/</w:t>
            </w:r>
            <w:r w:rsidRPr="0051021A">
              <w:rPr>
                <w:rFonts w:ascii="Times New Roman" w:eastAsia="Times New Roman" w:hAnsi="Times New Roman" w:cs="Times New Roman"/>
                <w:sz w:val="20"/>
                <w:szCs w:val="20"/>
              </w:rPr>
              <w:t>χ²</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C4DE9F6" w14:textId="77777777" w:rsidR="00E37574" w:rsidRPr="0051021A" w:rsidRDefault="00E37574" w:rsidP="00AD258F">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i/>
                <w:sz w:val="20"/>
                <w:szCs w:val="20"/>
              </w:rPr>
            </w:pPr>
            <w:r w:rsidRPr="0051021A">
              <w:rPr>
                <w:rFonts w:ascii="Times New Roman" w:eastAsia="Times New Roman" w:hAnsi="Times New Roman" w:cs="Times New Roman"/>
                <w:i/>
                <w:sz w:val="20"/>
                <w:szCs w:val="20"/>
              </w:rPr>
              <w:t>P</w:t>
            </w:r>
          </w:p>
        </w:tc>
      </w:tr>
      <w:tr w:rsidR="00E37574" w:rsidRPr="0051021A" w14:paraId="7912DDFA" w14:textId="77777777" w:rsidTr="00E37574">
        <w:trPr>
          <w:trHeight w:val="485"/>
          <w:tblHeader/>
          <w:jc w:val="center"/>
        </w:trPr>
        <w:tc>
          <w:tcPr>
            <w:tcW w:w="1831"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56D6D2C" w14:textId="77777777" w:rsidR="00E37574" w:rsidRPr="0051021A" w:rsidRDefault="00E37574" w:rsidP="00AD258F">
            <w:pPr>
              <w:pBdr>
                <w:top w:val="none" w:sz="0" w:space="0" w:color="000000"/>
                <w:left w:val="none" w:sz="0" w:space="0" w:color="000000"/>
                <w:bottom w:val="none" w:sz="0" w:space="0" w:color="000000"/>
                <w:right w:val="none" w:sz="0" w:space="0" w:color="000000"/>
              </w:pBdr>
              <w:spacing w:after="0" w:line="360" w:lineRule="auto"/>
              <w:rPr>
                <w:rFonts w:ascii="Times New Roman" w:eastAsia="Times New Roman" w:hAnsi="Times New Roman" w:cs="Times New Roman"/>
                <w:sz w:val="20"/>
                <w:szCs w:val="20"/>
              </w:rPr>
            </w:pPr>
          </w:p>
        </w:tc>
        <w:tc>
          <w:tcPr>
            <w:tcW w:w="1059"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31E3590" w14:textId="77777777" w:rsidR="00E37574" w:rsidRPr="0051021A" w:rsidRDefault="00E37574" w:rsidP="00AD258F">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8F97C47" w14:textId="77777777" w:rsidR="00E37574" w:rsidRPr="0051021A" w:rsidRDefault="00E37574" w:rsidP="00AD258F">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62174A7" w14:textId="77777777" w:rsidR="00E37574" w:rsidRPr="0051021A" w:rsidRDefault="00E37574" w:rsidP="00AD258F">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C8518BC" w14:textId="77777777" w:rsidR="00E37574" w:rsidRPr="0051021A" w:rsidRDefault="00E37574" w:rsidP="00AD258F">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i/>
                <w:sz w:val="20"/>
                <w:szCs w:val="20"/>
              </w:rPr>
            </w:pPr>
          </w:p>
        </w:tc>
      </w:tr>
      <w:tr w:rsidR="009430DB" w:rsidRPr="0051021A" w14:paraId="2312EA81" w14:textId="77777777" w:rsidTr="00E37574">
        <w:trPr>
          <w:trHeight w:val="384"/>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ABF6C"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rPr>
                <w:rFonts w:ascii="Times New Roman" w:eastAsia="Times New Roman" w:hAnsi="Times New Roman" w:cs="Times New Roman"/>
                <w:sz w:val="20"/>
                <w:szCs w:val="20"/>
              </w:rPr>
            </w:pPr>
            <w:r w:rsidRPr="0051021A">
              <w:rPr>
                <w:rFonts w:ascii="Times New Roman" w:eastAsia="Times New Roman" w:hAnsi="Times New Roman" w:cs="Times New Roman"/>
                <w:sz w:val="20"/>
                <w:szCs w:val="20"/>
              </w:rPr>
              <w:t>Sex n (%)</w:t>
            </w:r>
          </w:p>
        </w:tc>
        <w:tc>
          <w:tcPr>
            <w:tcW w:w="10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35055"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D93FD"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312DA" w14:textId="58A0C7A9"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1"/>
                <w:szCs w:val="21"/>
              </w:rPr>
              <w:t>χ²=2.58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6E2AD" w14:textId="68CB994C"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1"/>
                <w:szCs w:val="21"/>
              </w:rPr>
              <w:t>0.108</w:t>
            </w:r>
          </w:p>
        </w:tc>
      </w:tr>
      <w:tr w:rsidR="009430DB" w:rsidRPr="0051021A" w14:paraId="7ED868C4" w14:textId="77777777" w:rsidTr="00E37574">
        <w:trPr>
          <w:trHeight w:val="375"/>
          <w:jc w:val="center"/>
        </w:trPr>
        <w:tc>
          <w:tcPr>
            <w:tcW w:w="183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7BB20AB"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0"/>
              <w:rPr>
                <w:rFonts w:ascii="Times New Roman" w:eastAsia="Times New Roman" w:hAnsi="Times New Roman" w:cs="Times New Roman"/>
                <w:sz w:val="20"/>
                <w:szCs w:val="20"/>
              </w:rPr>
            </w:pPr>
            <w:r w:rsidRPr="0051021A">
              <w:rPr>
                <w:rFonts w:ascii="Times New Roman" w:eastAsia="Times New Roman" w:hAnsi="Times New Roman" w:cs="Times New Roman"/>
                <w:sz w:val="20"/>
                <w:szCs w:val="20"/>
              </w:rPr>
              <w:t xml:space="preserve">  </w:t>
            </w:r>
            <w:r w:rsidRPr="0051021A">
              <w:rPr>
                <w:rFonts w:ascii="Times New Roman" w:hAnsi="Times New Roman" w:cs="Times New Roman"/>
                <w:sz w:val="20"/>
                <w:szCs w:val="20"/>
              </w:rPr>
              <w:t>Male</w:t>
            </w:r>
          </w:p>
        </w:tc>
        <w:tc>
          <w:tcPr>
            <w:tcW w:w="105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6322999" w14:textId="4E764D29"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1"/>
                <w:szCs w:val="21"/>
              </w:rPr>
              <w:t>14 (46.67)</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D72C3BA" w14:textId="26B2A22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1"/>
                <w:szCs w:val="21"/>
              </w:rPr>
              <w:t>8 (26.67)</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6CB74B0"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6484DAA"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p>
        </w:tc>
      </w:tr>
      <w:tr w:rsidR="009430DB" w:rsidRPr="0051021A" w14:paraId="0CEA97C0" w14:textId="77777777" w:rsidTr="00E37574">
        <w:trPr>
          <w:trHeight w:val="384"/>
          <w:jc w:val="center"/>
        </w:trPr>
        <w:tc>
          <w:tcPr>
            <w:tcW w:w="1831" w:type="pct"/>
            <w:shd w:val="clear" w:color="auto" w:fill="FFFFFF"/>
            <w:tcMar>
              <w:top w:w="0" w:type="dxa"/>
              <w:left w:w="0" w:type="dxa"/>
              <w:bottom w:w="0" w:type="dxa"/>
              <w:right w:w="0" w:type="dxa"/>
            </w:tcMar>
            <w:vAlign w:val="center"/>
          </w:tcPr>
          <w:p w14:paraId="4F382AA0"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0"/>
              <w:rPr>
                <w:rFonts w:ascii="Times New Roman" w:eastAsia="Times New Roman" w:hAnsi="Times New Roman" w:cs="Times New Roman"/>
                <w:sz w:val="20"/>
                <w:szCs w:val="20"/>
              </w:rPr>
            </w:pPr>
            <w:r w:rsidRPr="0051021A">
              <w:rPr>
                <w:rFonts w:ascii="Times New Roman" w:eastAsia="Times New Roman" w:hAnsi="Times New Roman" w:cs="Times New Roman"/>
                <w:sz w:val="20"/>
                <w:szCs w:val="20"/>
              </w:rPr>
              <w:t xml:space="preserve"> Female</w:t>
            </w:r>
          </w:p>
        </w:tc>
        <w:tc>
          <w:tcPr>
            <w:tcW w:w="1059" w:type="pct"/>
            <w:shd w:val="clear" w:color="auto" w:fill="FFFFFF"/>
            <w:tcMar>
              <w:top w:w="0" w:type="dxa"/>
              <w:left w:w="0" w:type="dxa"/>
              <w:bottom w:w="0" w:type="dxa"/>
              <w:right w:w="0" w:type="dxa"/>
            </w:tcMar>
            <w:vAlign w:val="center"/>
          </w:tcPr>
          <w:p w14:paraId="7274CE91" w14:textId="56E8B3E0"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1"/>
                <w:szCs w:val="21"/>
              </w:rPr>
              <w:t>16 (53.33)</w:t>
            </w:r>
          </w:p>
        </w:tc>
        <w:tc>
          <w:tcPr>
            <w:tcW w:w="0" w:type="auto"/>
            <w:shd w:val="clear" w:color="auto" w:fill="FFFFFF"/>
            <w:tcMar>
              <w:top w:w="0" w:type="dxa"/>
              <w:left w:w="0" w:type="dxa"/>
              <w:bottom w:w="0" w:type="dxa"/>
              <w:right w:w="0" w:type="dxa"/>
            </w:tcMar>
            <w:vAlign w:val="center"/>
          </w:tcPr>
          <w:p w14:paraId="06258D23" w14:textId="758CCFB1"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1"/>
                <w:szCs w:val="21"/>
              </w:rPr>
              <w:t>22 (73.33)</w:t>
            </w:r>
          </w:p>
        </w:tc>
        <w:tc>
          <w:tcPr>
            <w:tcW w:w="0" w:type="auto"/>
            <w:shd w:val="clear" w:color="auto" w:fill="FFFFFF"/>
            <w:tcMar>
              <w:top w:w="0" w:type="dxa"/>
              <w:left w:w="0" w:type="dxa"/>
              <w:bottom w:w="0" w:type="dxa"/>
              <w:right w:w="0" w:type="dxa"/>
            </w:tcMar>
            <w:vAlign w:val="center"/>
          </w:tcPr>
          <w:p w14:paraId="69A41FF3"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p>
        </w:tc>
        <w:tc>
          <w:tcPr>
            <w:tcW w:w="0" w:type="auto"/>
            <w:shd w:val="clear" w:color="auto" w:fill="FFFFFF"/>
            <w:tcMar>
              <w:top w:w="0" w:type="dxa"/>
              <w:left w:w="0" w:type="dxa"/>
              <w:bottom w:w="0" w:type="dxa"/>
              <w:right w:w="0" w:type="dxa"/>
            </w:tcMar>
            <w:vAlign w:val="center"/>
          </w:tcPr>
          <w:p w14:paraId="586A9BDF"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p>
        </w:tc>
      </w:tr>
      <w:tr w:rsidR="009430DB" w:rsidRPr="0051021A" w14:paraId="62FDB44A" w14:textId="77777777" w:rsidTr="00E37574">
        <w:trPr>
          <w:trHeight w:val="384"/>
          <w:jc w:val="center"/>
        </w:trPr>
        <w:tc>
          <w:tcPr>
            <w:tcW w:w="1831"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C5D25"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rPr>
                <w:rFonts w:ascii="Times New Roman" w:eastAsia="Times New Roman" w:hAnsi="Times New Roman" w:cs="Times New Roman"/>
                <w:sz w:val="20"/>
                <w:szCs w:val="20"/>
              </w:rPr>
            </w:pPr>
            <w:r w:rsidRPr="0051021A">
              <w:rPr>
                <w:rFonts w:ascii="Times New Roman" w:eastAsia="Times New Roman" w:hAnsi="Times New Roman" w:cs="Times New Roman"/>
                <w:sz w:val="20"/>
                <w:szCs w:val="20"/>
              </w:rPr>
              <w:t>Age(y)</w:t>
            </w:r>
          </w:p>
        </w:tc>
        <w:tc>
          <w:tcPr>
            <w:tcW w:w="1059"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2B968" w14:textId="4ED4BA3C"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1"/>
                <w:szCs w:val="21"/>
              </w:rPr>
              <w:t>20.33 ± 2.04</w:t>
            </w:r>
          </w:p>
        </w:tc>
        <w:tc>
          <w:tcPr>
            <w:tcW w:w="0" w:type="auto"/>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F78DD" w14:textId="6BFC99DA"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1"/>
                <w:szCs w:val="21"/>
              </w:rPr>
              <w:t>20.80 ± 2.07</w:t>
            </w:r>
          </w:p>
        </w:tc>
        <w:tc>
          <w:tcPr>
            <w:tcW w:w="0" w:type="auto"/>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C84F6" w14:textId="2FCE75D6"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1"/>
                <w:szCs w:val="21"/>
              </w:rPr>
              <w:t>t=-0.88</w:t>
            </w:r>
          </w:p>
        </w:tc>
        <w:tc>
          <w:tcPr>
            <w:tcW w:w="0" w:type="auto"/>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5A092" w14:textId="61003948"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1"/>
                <w:szCs w:val="21"/>
              </w:rPr>
              <w:t>0.383</w:t>
            </w:r>
          </w:p>
        </w:tc>
      </w:tr>
      <w:tr w:rsidR="009430DB" w:rsidRPr="009430DB" w14:paraId="4845B177" w14:textId="77777777" w:rsidTr="00E37574">
        <w:trPr>
          <w:trHeight w:val="350"/>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A5E03"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rPr>
                <w:rFonts w:ascii="Times New Roman" w:eastAsia="Times New Roman" w:hAnsi="Times New Roman" w:cs="Times New Roman"/>
                <w:sz w:val="20"/>
                <w:szCs w:val="20"/>
              </w:rPr>
            </w:pPr>
            <w:r w:rsidRPr="0051021A">
              <w:rPr>
                <w:rFonts w:ascii="Times New Roman" w:eastAsia="Times New Roman" w:hAnsi="Times New Roman" w:cs="Times New Roman"/>
                <w:sz w:val="20"/>
                <w:szCs w:val="20"/>
              </w:rPr>
              <w:t>Height (Cm)</w:t>
            </w:r>
          </w:p>
        </w:tc>
        <w:tc>
          <w:tcPr>
            <w:tcW w:w="10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FF191" w14:textId="4FA75B86"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173.96 ± 5.60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3445C" w14:textId="5714C815"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171.38 ± 4.37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23A7D" w14:textId="401D489E"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t=1.99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AA8AD" w14:textId="107C297B"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b/>
                <w:sz w:val="20"/>
                <w:szCs w:val="20"/>
              </w:rPr>
            </w:pPr>
            <w:r w:rsidRPr="009430DB">
              <w:rPr>
                <w:rFonts w:ascii="Times New Roman" w:eastAsia="Times New Roman" w:hAnsi="Times New Roman" w:cs="Times New Roman"/>
                <w:sz w:val="21"/>
                <w:szCs w:val="21"/>
              </w:rPr>
              <w:t>0.052</w:t>
            </w:r>
          </w:p>
        </w:tc>
      </w:tr>
      <w:tr w:rsidR="009430DB" w:rsidRPr="009430DB" w14:paraId="45AEFE85" w14:textId="77777777" w:rsidTr="00E37574">
        <w:trPr>
          <w:trHeight w:val="384"/>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5FA0C"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rPr>
                <w:rFonts w:ascii="Times New Roman" w:eastAsia="Times New Roman" w:hAnsi="Times New Roman" w:cs="Times New Roman"/>
                <w:sz w:val="20"/>
                <w:szCs w:val="20"/>
              </w:rPr>
            </w:pPr>
            <w:r w:rsidRPr="0051021A">
              <w:rPr>
                <w:rFonts w:ascii="Times New Roman" w:eastAsia="Times New Roman" w:hAnsi="Times New Roman" w:cs="Times New Roman"/>
                <w:sz w:val="20"/>
                <w:szCs w:val="20"/>
              </w:rPr>
              <w:t>Weight (Kg)</w:t>
            </w:r>
          </w:p>
        </w:tc>
        <w:tc>
          <w:tcPr>
            <w:tcW w:w="10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9622C" w14:textId="4A34BEC7"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67.37 ± 6.66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80BC0" w14:textId="4550ADF2"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65.87 ± 5.25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78F74" w14:textId="5506FFCB"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t=0.97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732A8" w14:textId="15AF1F16"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b/>
                <w:sz w:val="20"/>
                <w:szCs w:val="20"/>
              </w:rPr>
            </w:pPr>
            <w:r w:rsidRPr="009430DB">
              <w:rPr>
                <w:rFonts w:ascii="Times New Roman" w:eastAsia="Times New Roman" w:hAnsi="Times New Roman" w:cs="Times New Roman"/>
                <w:sz w:val="21"/>
                <w:szCs w:val="21"/>
              </w:rPr>
              <w:t>0.336</w:t>
            </w:r>
          </w:p>
        </w:tc>
      </w:tr>
      <w:tr w:rsidR="009430DB" w:rsidRPr="009430DB" w14:paraId="3EBE1460" w14:textId="77777777" w:rsidTr="00E37574">
        <w:trPr>
          <w:trHeight w:val="399"/>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70397"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rPr>
                <w:rFonts w:ascii="Times New Roman" w:eastAsia="Times New Roman" w:hAnsi="Times New Roman" w:cs="Times New Roman"/>
                <w:sz w:val="20"/>
                <w:szCs w:val="20"/>
              </w:rPr>
            </w:pPr>
            <w:r w:rsidRPr="0051021A">
              <w:rPr>
                <w:rFonts w:ascii="Times New Roman" w:eastAsia="Times New Roman" w:hAnsi="Times New Roman" w:cs="Times New Roman"/>
                <w:sz w:val="20"/>
                <w:szCs w:val="20"/>
              </w:rPr>
              <w:t>BMI</w:t>
            </w:r>
            <w:r w:rsidRPr="0051021A">
              <w:rPr>
                <w:rFonts w:ascii="Times New Roman" w:hAnsi="Times New Roman" w:cs="Times New Roman"/>
                <w:sz w:val="20"/>
                <w:szCs w:val="20"/>
              </w:rPr>
              <w:t xml:space="preserve"> </w:t>
            </w:r>
            <w:r w:rsidRPr="0051021A">
              <w:rPr>
                <w:rFonts w:ascii="Times New Roman" w:eastAsia="Times New Roman" w:hAnsi="Times New Roman" w:cs="Times New Roman"/>
                <w:sz w:val="20"/>
                <w:szCs w:val="20"/>
              </w:rPr>
              <w:t>(kg/m2)</w:t>
            </w:r>
          </w:p>
        </w:tc>
        <w:tc>
          <w:tcPr>
            <w:tcW w:w="10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1DFB3" w14:textId="43EB0795"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22.26 ± 1.94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F95CB" w14:textId="3E77E97E"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22.44 ± 1.79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25653" w14:textId="15CBF662"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t=-0.37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6963A" w14:textId="40C76A51"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0.709</w:t>
            </w:r>
          </w:p>
        </w:tc>
      </w:tr>
      <w:tr w:rsidR="009430DB" w:rsidRPr="009430DB" w14:paraId="2E3A721A" w14:textId="77777777" w:rsidTr="00E37574">
        <w:trPr>
          <w:trHeight w:val="375"/>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07088"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rPr>
                <w:rFonts w:ascii="Times New Roman" w:eastAsia="等线" w:hAnsi="Times New Roman" w:cs="Times New Roman"/>
                <w:sz w:val="20"/>
                <w:szCs w:val="20"/>
              </w:rPr>
            </w:pPr>
            <w:r w:rsidRPr="0051021A">
              <w:rPr>
                <w:rFonts w:ascii="Times New Roman" w:eastAsia="Times New Roman" w:hAnsi="Times New Roman" w:cs="Times New Roman"/>
                <w:sz w:val="20"/>
                <w:szCs w:val="20"/>
              </w:rPr>
              <w:t>VO</w:t>
            </w:r>
            <w:r w:rsidRPr="0051021A">
              <w:rPr>
                <w:rFonts w:ascii="Times New Roman" w:eastAsia="Times New Roman" w:hAnsi="Times New Roman" w:cs="Times New Roman"/>
                <w:sz w:val="20"/>
                <w:szCs w:val="20"/>
                <w:vertAlign w:val="subscript"/>
              </w:rPr>
              <w:t>2</w:t>
            </w:r>
            <w:r w:rsidRPr="0051021A">
              <w:rPr>
                <w:rFonts w:ascii="Times New Roman" w:hAnsi="Times New Roman" w:cs="Times New Roman"/>
                <w:sz w:val="20"/>
                <w:szCs w:val="20"/>
                <w:vertAlign w:val="subscript"/>
              </w:rPr>
              <w:t xml:space="preserve"> </w:t>
            </w:r>
            <w:r w:rsidRPr="0051021A">
              <w:rPr>
                <w:rFonts w:ascii="Times New Roman" w:eastAsia="Times New Roman" w:hAnsi="Times New Roman" w:cs="Times New Roman"/>
                <w:sz w:val="20"/>
                <w:szCs w:val="20"/>
              </w:rPr>
              <w:t>MAX</w:t>
            </w:r>
            <w:r w:rsidRPr="0051021A">
              <w:rPr>
                <w:rFonts w:ascii="Times New Roman" w:hAnsi="Times New Roman" w:cs="Times New Roman"/>
                <w:sz w:val="20"/>
                <w:szCs w:val="20"/>
              </w:rPr>
              <w:t xml:space="preserve"> </w:t>
            </w:r>
            <w:r w:rsidRPr="0051021A">
              <w:rPr>
                <w:rFonts w:ascii="Times New Roman" w:eastAsia="Times New Roman" w:hAnsi="Times New Roman" w:cs="Times New Roman"/>
                <w:sz w:val="20"/>
                <w:szCs w:val="20"/>
              </w:rPr>
              <w:t>(ml/Kg/Min)</w:t>
            </w:r>
          </w:p>
        </w:tc>
        <w:tc>
          <w:tcPr>
            <w:tcW w:w="10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05F2D" w14:textId="547066AB"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3.71 ± 0.93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00B61" w14:textId="100BB5E7"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2.28 ±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158DC" w14:textId="4D54D9A2"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t=7.17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ADAD9" w14:textId="3FFA7929"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b/>
                <w:sz w:val="20"/>
                <w:szCs w:val="20"/>
              </w:rPr>
            </w:pPr>
            <w:r w:rsidRPr="009430DB">
              <w:rPr>
                <w:rFonts w:ascii="Times New Roman" w:eastAsia="Times New Roman" w:hAnsi="Times New Roman" w:cs="Times New Roman"/>
                <w:b/>
                <w:sz w:val="21"/>
                <w:szCs w:val="21"/>
              </w:rPr>
              <w:t>&lt;.001</w:t>
            </w:r>
          </w:p>
        </w:tc>
      </w:tr>
      <w:tr w:rsidR="009430DB" w:rsidRPr="009430DB" w14:paraId="786786E3" w14:textId="77777777" w:rsidTr="00E37574">
        <w:trPr>
          <w:trHeight w:val="384"/>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81CED"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rPr>
                <w:rFonts w:ascii="Times New Roman" w:eastAsia="Times New Roman" w:hAnsi="Times New Roman" w:cs="Times New Roman"/>
                <w:sz w:val="20"/>
                <w:szCs w:val="20"/>
              </w:rPr>
            </w:pPr>
            <w:r w:rsidRPr="0051021A">
              <w:rPr>
                <w:rFonts w:ascii="Times New Roman" w:eastAsia="Times New Roman" w:hAnsi="Times New Roman" w:cs="Times New Roman"/>
                <w:sz w:val="20"/>
                <w:szCs w:val="20"/>
              </w:rPr>
              <w:t>VO</w:t>
            </w:r>
            <w:r w:rsidRPr="0051021A">
              <w:rPr>
                <w:rFonts w:ascii="Times New Roman" w:eastAsia="Times New Roman" w:hAnsi="Times New Roman" w:cs="Times New Roman"/>
                <w:sz w:val="20"/>
                <w:szCs w:val="20"/>
                <w:vertAlign w:val="subscript"/>
              </w:rPr>
              <w:t>2</w:t>
            </w:r>
            <w:r w:rsidRPr="0051021A">
              <w:rPr>
                <w:rFonts w:ascii="Times New Roman" w:hAnsi="Times New Roman" w:cs="Times New Roman"/>
                <w:sz w:val="20"/>
                <w:szCs w:val="20"/>
                <w:vertAlign w:val="subscript"/>
              </w:rPr>
              <w:t xml:space="preserve"> </w:t>
            </w:r>
            <w:r w:rsidRPr="0051021A">
              <w:rPr>
                <w:rFonts w:ascii="Times New Roman" w:eastAsia="Times New Roman" w:hAnsi="Times New Roman" w:cs="Times New Roman"/>
                <w:sz w:val="20"/>
                <w:szCs w:val="20"/>
              </w:rPr>
              <w:t>MAX (L/Min)</w:t>
            </w:r>
          </w:p>
        </w:tc>
        <w:tc>
          <w:tcPr>
            <w:tcW w:w="10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C9C3C" w14:textId="2E3D61F0"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46.67 ± 9.75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26091" w14:textId="38E8B0DA"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32.80 ± 4.48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F9269" w14:textId="06171F03"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t=7.08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0AA06" w14:textId="5F01E10D"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b/>
                <w:sz w:val="20"/>
                <w:szCs w:val="20"/>
              </w:rPr>
            </w:pPr>
            <w:r w:rsidRPr="009430DB">
              <w:rPr>
                <w:rFonts w:ascii="Times New Roman" w:eastAsia="Times New Roman" w:hAnsi="Times New Roman" w:cs="Times New Roman"/>
                <w:b/>
                <w:sz w:val="21"/>
                <w:szCs w:val="21"/>
              </w:rPr>
              <w:t>&lt;.001</w:t>
            </w:r>
          </w:p>
        </w:tc>
      </w:tr>
      <w:tr w:rsidR="009430DB" w:rsidRPr="009430DB" w14:paraId="526E8DB9" w14:textId="77777777" w:rsidTr="00E37574">
        <w:trPr>
          <w:trHeight w:val="437"/>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EA315"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rPr>
                <w:rFonts w:ascii="Times New Roman" w:eastAsia="等线" w:hAnsi="Times New Roman" w:cs="Times New Roman"/>
                <w:sz w:val="20"/>
                <w:szCs w:val="20"/>
              </w:rPr>
            </w:pPr>
            <w:r w:rsidRPr="0051021A">
              <w:rPr>
                <w:rFonts w:ascii="Times New Roman" w:eastAsia="Times New Roman" w:hAnsi="Times New Roman" w:cs="Times New Roman"/>
                <w:sz w:val="20"/>
                <w:szCs w:val="20"/>
              </w:rPr>
              <w:t>Carbohydrates intake (g/d)</w:t>
            </w:r>
          </w:p>
        </w:tc>
        <w:tc>
          <w:tcPr>
            <w:tcW w:w="10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8EABF" w14:textId="3D1DFA8F"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264.02 ± 26.60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290A7" w14:textId="2E980AD6"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253.01 ± 32.35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44CC1" w14:textId="6D88FC49"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t=1.44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16C24" w14:textId="2417F95B"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0.155</w:t>
            </w:r>
          </w:p>
        </w:tc>
      </w:tr>
      <w:tr w:rsidR="009430DB" w:rsidRPr="009430DB" w14:paraId="65CD5362" w14:textId="77777777" w:rsidTr="00E37574">
        <w:trPr>
          <w:trHeight w:val="384"/>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FDA94"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rPr>
                <w:rFonts w:ascii="Times New Roman" w:eastAsia="Times New Roman" w:hAnsi="Times New Roman" w:cs="Times New Roman"/>
                <w:sz w:val="20"/>
                <w:szCs w:val="20"/>
              </w:rPr>
            </w:pPr>
            <w:r w:rsidRPr="0051021A">
              <w:rPr>
                <w:rFonts w:ascii="Times New Roman" w:eastAsia="Times New Roman" w:hAnsi="Times New Roman" w:cs="Times New Roman"/>
                <w:sz w:val="20"/>
                <w:szCs w:val="20"/>
              </w:rPr>
              <w:t>Protein intake (g/d)</w:t>
            </w:r>
          </w:p>
        </w:tc>
        <w:tc>
          <w:tcPr>
            <w:tcW w:w="10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0DD15" w14:textId="3165472B"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73.90 ± 17.77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E5F2C" w14:textId="558B9A87"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67.92 ± 15.83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5EE15" w14:textId="04419232"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t=1.38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B5FF7" w14:textId="1DCD8259"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0.174</w:t>
            </w:r>
          </w:p>
        </w:tc>
      </w:tr>
      <w:tr w:rsidR="009430DB" w:rsidRPr="009430DB" w14:paraId="41FE048A" w14:textId="77777777" w:rsidTr="00E37574">
        <w:trPr>
          <w:trHeight w:val="382"/>
          <w:jc w:val="center"/>
        </w:trPr>
        <w:tc>
          <w:tcPr>
            <w:tcW w:w="183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104C07A"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rPr>
                <w:rFonts w:ascii="Times New Roman" w:eastAsia="等线" w:hAnsi="Times New Roman" w:cs="Times New Roman"/>
                <w:sz w:val="20"/>
                <w:szCs w:val="20"/>
              </w:rPr>
            </w:pPr>
            <w:r w:rsidRPr="0051021A">
              <w:rPr>
                <w:rFonts w:ascii="Times New Roman" w:eastAsia="Times New Roman" w:hAnsi="Times New Roman" w:cs="Times New Roman"/>
                <w:sz w:val="20"/>
                <w:szCs w:val="20"/>
              </w:rPr>
              <w:t>Fat intake (g/d)</w:t>
            </w:r>
          </w:p>
        </w:tc>
        <w:tc>
          <w:tcPr>
            <w:tcW w:w="105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0F20733" w14:textId="724E5FB3"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27.35 ± 4.61</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00B0146" w14:textId="5C79FEFA"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24.41 ± 4.66</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13CBAC9" w14:textId="223CC756"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t=2.45</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1D6A17D" w14:textId="7C6BDE35"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b/>
                <w:sz w:val="21"/>
                <w:szCs w:val="21"/>
              </w:rPr>
              <w:t>0.017</w:t>
            </w:r>
          </w:p>
        </w:tc>
      </w:tr>
      <w:tr w:rsidR="009430DB" w:rsidRPr="009430DB" w14:paraId="6334CFE0" w14:textId="77777777" w:rsidTr="00E37574">
        <w:trPr>
          <w:trHeight w:val="650"/>
          <w:jc w:val="center"/>
        </w:trPr>
        <w:tc>
          <w:tcPr>
            <w:tcW w:w="1831" w:type="pct"/>
            <w:tcBorders>
              <w:bottom w:val="single" w:sz="4" w:space="0" w:color="auto"/>
            </w:tcBorders>
            <w:shd w:val="clear" w:color="auto" w:fill="FFFFFF"/>
            <w:tcMar>
              <w:top w:w="0" w:type="dxa"/>
              <w:left w:w="0" w:type="dxa"/>
              <w:bottom w:w="0" w:type="dxa"/>
              <w:right w:w="0" w:type="dxa"/>
            </w:tcMar>
            <w:vAlign w:val="center"/>
          </w:tcPr>
          <w:p w14:paraId="4900EA97" w14:textId="77777777" w:rsidR="009430DB" w:rsidRPr="0051021A" w:rsidRDefault="009430DB" w:rsidP="009430DB">
            <w:pPr>
              <w:pBdr>
                <w:top w:val="none" w:sz="0" w:space="0" w:color="000000"/>
                <w:left w:val="none" w:sz="0" w:space="0" w:color="000000"/>
                <w:bottom w:val="none" w:sz="0" w:space="0" w:color="000000"/>
                <w:right w:val="none" w:sz="0" w:space="0" w:color="000000"/>
              </w:pBdr>
              <w:spacing w:after="0" w:line="360" w:lineRule="auto"/>
              <w:rPr>
                <w:rFonts w:ascii="Times New Roman" w:eastAsia="等线" w:hAnsi="Times New Roman" w:cs="Times New Roman"/>
                <w:sz w:val="20"/>
                <w:szCs w:val="20"/>
              </w:rPr>
            </w:pPr>
            <w:r w:rsidRPr="0051021A">
              <w:rPr>
                <w:rFonts w:ascii="Times New Roman" w:eastAsia="Times New Roman" w:hAnsi="Times New Roman" w:cs="Times New Roman"/>
                <w:sz w:val="20"/>
                <w:szCs w:val="20"/>
              </w:rPr>
              <w:t>Total energy intake (kcal/d)</w:t>
            </w:r>
          </w:p>
        </w:tc>
        <w:tc>
          <w:tcPr>
            <w:tcW w:w="1059" w:type="pct"/>
            <w:tcBorders>
              <w:bottom w:val="single" w:sz="4" w:space="0" w:color="auto"/>
            </w:tcBorders>
            <w:shd w:val="clear" w:color="auto" w:fill="FFFFFF"/>
            <w:tcMar>
              <w:top w:w="0" w:type="dxa"/>
              <w:left w:w="0" w:type="dxa"/>
              <w:bottom w:w="0" w:type="dxa"/>
              <w:right w:w="0" w:type="dxa"/>
            </w:tcMar>
            <w:vAlign w:val="center"/>
          </w:tcPr>
          <w:p w14:paraId="4D9841BE" w14:textId="0125EBB4"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1597.79 ± 153.71</w:t>
            </w:r>
          </w:p>
        </w:tc>
        <w:tc>
          <w:tcPr>
            <w:tcW w:w="0" w:type="auto"/>
            <w:tcBorders>
              <w:bottom w:val="single" w:sz="4" w:space="0" w:color="auto"/>
            </w:tcBorders>
            <w:shd w:val="clear" w:color="auto" w:fill="FFFFFF"/>
            <w:tcMar>
              <w:top w:w="0" w:type="dxa"/>
              <w:left w:w="0" w:type="dxa"/>
              <w:bottom w:w="0" w:type="dxa"/>
              <w:right w:w="0" w:type="dxa"/>
            </w:tcMar>
            <w:vAlign w:val="center"/>
          </w:tcPr>
          <w:p w14:paraId="651F006B" w14:textId="16053998"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1503.44 ± 194.63</w:t>
            </w:r>
          </w:p>
        </w:tc>
        <w:tc>
          <w:tcPr>
            <w:tcW w:w="0" w:type="auto"/>
            <w:tcBorders>
              <w:bottom w:val="single" w:sz="4" w:space="0" w:color="auto"/>
            </w:tcBorders>
            <w:shd w:val="clear" w:color="auto" w:fill="FFFFFF"/>
            <w:tcMar>
              <w:top w:w="0" w:type="dxa"/>
              <w:left w:w="0" w:type="dxa"/>
              <w:bottom w:w="0" w:type="dxa"/>
              <w:right w:w="0" w:type="dxa"/>
            </w:tcMar>
            <w:vAlign w:val="center"/>
          </w:tcPr>
          <w:p w14:paraId="71600660" w14:textId="665FCC64"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sz w:val="21"/>
                <w:szCs w:val="21"/>
              </w:rPr>
              <w:t>t=2.08</w:t>
            </w:r>
          </w:p>
        </w:tc>
        <w:tc>
          <w:tcPr>
            <w:tcW w:w="0" w:type="auto"/>
            <w:tcBorders>
              <w:bottom w:val="single" w:sz="4" w:space="0" w:color="auto"/>
            </w:tcBorders>
            <w:shd w:val="clear" w:color="auto" w:fill="FFFFFF"/>
            <w:tcMar>
              <w:top w:w="0" w:type="dxa"/>
              <w:left w:w="0" w:type="dxa"/>
              <w:bottom w:w="0" w:type="dxa"/>
              <w:right w:w="0" w:type="dxa"/>
            </w:tcMar>
            <w:vAlign w:val="center"/>
          </w:tcPr>
          <w:p w14:paraId="0BE1743C" w14:textId="68A6E0AC" w:rsidR="009430DB" w:rsidRPr="009430DB" w:rsidRDefault="009430DB" w:rsidP="009430DB">
            <w:pPr>
              <w:pBdr>
                <w:top w:val="none" w:sz="0" w:space="0" w:color="000000"/>
                <w:left w:val="none" w:sz="0" w:space="0" w:color="000000"/>
                <w:bottom w:val="none" w:sz="0" w:space="0" w:color="000000"/>
                <w:right w:val="none" w:sz="0" w:space="0" w:color="000000"/>
              </w:pBdr>
              <w:spacing w:after="0" w:line="360" w:lineRule="auto"/>
              <w:ind w:left="40" w:right="40"/>
              <w:jc w:val="center"/>
              <w:rPr>
                <w:rFonts w:ascii="Times New Roman" w:eastAsia="Times New Roman" w:hAnsi="Times New Roman" w:cs="Times New Roman"/>
                <w:sz w:val="20"/>
                <w:szCs w:val="20"/>
              </w:rPr>
            </w:pPr>
            <w:r w:rsidRPr="009430DB">
              <w:rPr>
                <w:rFonts w:ascii="Times New Roman" w:eastAsia="Times New Roman" w:hAnsi="Times New Roman" w:cs="Times New Roman"/>
                <w:b/>
                <w:sz w:val="21"/>
                <w:szCs w:val="21"/>
              </w:rPr>
              <w:t>0.042</w:t>
            </w:r>
          </w:p>
        </w:tc>
      </w:tr>
    </w:tbl>
    <w:p w14:paraId="7F883B42" w14:textId="77777777" w:rsidR="00AE7E49" w:rsidRDefault="00AE7E49" w:rsidP="00283682">
      <w:pPr>
        <w:jc w:val="both"/>
        <w:rPr>
          <w:rFonts w:ascii="Times New Roman" w:hAnsi="Times New Roman" w:cs="Times New Roman" w:hint="eastAsia"/>
          <w:sz w:val="24"/>
        </w:rPr>
      </w:pPr>
    </w:p>
    <w:p w14:paraId="48C0FA98" w14:textId="76227809" w:rsidR="00AE7E49" w:rsidRPr="00F349AC" w:rsidRDefault="00AE7E49" w:rsidP="00F349AC">
      <w:pPr>
        <w:jc w:val="both"/>
        <w:rPr>
          <w:rFonts w:ascii="Times New Roman" w:hAnsi="Times New Roman" w:cs="Times New Roman" w:hint="eastAsia"/>
          <w:sz w:val="24"/>
        </w:rPr>
      </w:pPr>
      <w:r w:rsidRPr="00283682">
        <w:rPr>
          <w:rFonts w:ascii="Times New Roman" w:hAnsi="Times New Roman" w:cs="Times New Roman"/>
          <w:b/>
          <w:bCs/>
          <w:sz w:val="24"/>
        </w:rPr>
        <w:lastRenderedPageBreak/>
        <w:t>Supplementary Figure S1</w:t>
      </w:r>
      <w:r>
        <w:rPr>
          <w:rFonts w:ascii="Times New Roman" w:hAnsi="Times New Roman" w:cs="Times New Roman" w:hint="eastAsia"/>
          <w:b/>
          <w:bCs/>
          <w:sz w:val="24"/>
        </w:rPr>
        <w:t xml:space="preserve">: </w:t>
      </w:r>
      <w:r w:rsidRPr="00283682">
        <w:rPr>
          <w:rFonts w:ascii="Times New Roman" w:hAnsi="Times New Roman" w:cs="Times New Roman"/>
          <w:sz w:val="24"/>
        </w:rPr>
        <w:t>Comparison of the Firmicutes-to-Bacteroidota (F/B) ratio between athletes and sedentary individuals</w:t>
      </w:r>
    </w:p>
    <w:p w14:paraId="09AF3F8A" w14:textId="5C2EC804" w:rsidR="004D33B3" w:rsidRDefault="00F349AC" w:rsidP="00AE7E49">
      <w:pPr>
        <w:jc w:val="center"/>
        <w:rPr>
          <w:noProof/>
        </w:rPr>
      </w:pPr>
      <w:r>
        <w:rPr>
          <w:noProof/>
        </w:rPr>
        <w:drawing>
          <wp:inline distT="0" distB="0" distL="0" distR="0" wp14:anchorId="09BC30E0" wp14:editId="368E2629">
            <wp:extent cx="7467600" cy="4158059"/>
            <wp:effectExtent l="0" t="0" r="0" b="0"/>
            <wp:docPr id="6505190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19028" name=""/>
                    <pic:cNvPicPr/>
                  </pic:nvPicPr>
                  <pic:blipFill>
                    <a:blip r:embed="rId8"/>
                    <a:stretch>
                      <a:fillRect/>
                    </a:stretch>
                  </pic:blipFill>
                  <pic:spPr>
                    <a:xfrm>
                      <a:off x="0" y="0"/>
                      <a:ext cx="7472485" cy="4160779"/>
                    </a:xfrm>
                    <a:prstGeom prst="rect">
                      <a:avLst/>
                    </a:prstGeom>
                  </pic:spPr>
                </pic:pic>
              </a:graphicData>
            </a:graphic>
          </wp:inline>
        </w:drawing>
      </w:r>
    </w:p>
    <w:p w14:paraId="42FE4AFF" w14:textId="4318E240" w:rsidR="00AE7E49" w:rsidRPr="00EA52AC" w:rsidRDefault="00F349AC" w:rsidP="00EA52AC">
      <w:pPr>
        <w:pStyle w:val="a9"/>
        <w:numPr>
          <w:ilvl w:val="0"/>
          <w:numId w:val="1"/>
        </w:numPr>
        <w:rPr>
          <w:rFonts w:ascii="Times New Roman" w:hAnsi="Times New Roman" w:cs="Times New Roman"/>
          <w:sz w:val="24"/>
        </w:rPr>
      </w:pPr>
      <w:r w:rsidRPr="00EA52AC">
        <w:rPr>
          <w:rFonts w:ascii="Times New Roman" w:hAnsi="Times New Roman" w:cs="Times New Roman"/>
          <w:sz w:val="24"/>
        </w:rPr>
        <w:t>Relative abundance of major bacterial phyla</w:t>
      </w:r>
      <w:r w:rsidR="00EA52AC">
        <w:rPr>
          <w:rFonts w:ascii="Times New Roman" w:hAnsi="Times New Roman" w:cs="Times New Roman" w:hint="eastAsia"/>
          <w:sz w:val="24"/>
        </w:rPr>
        <w:t xml:space="preserve">; </w:t>
      </w:r>
      <w:r w:rsidRPr="00EA52AC">
        <w:rPr>
          <w:rFonts w:ascii="Times New Roman" w:hAnsi="Times New Roman" w:cs="Times New Roman"/>
          <w:sz w:val="24"/>
        </w:rPr>
        <w:t>(B) Intergroup comparison of the Firmicutes/Bacteroidetes (F/B) ratio.</w:t>
      </w:r>
    </w:p>
    <w:p w14:paraId="3B498B79" w14:textId="77777777" w:rsidR="00EA52AC" w:rsidRPr="00EA52AC" w:rsidRDefault="00EA52AC" w:rsidP="00EA52AC">
      <w:pPr>
        <w:pStyle w:val="a9"/>
        <w:ind w:left="390"/>
        <w:rPr>
          <w:rFonts w:ascii="Times New Roman" w:hAnsi="Times New Roman" w:cs="Times New Roman" w:hint="eastAsia"/>
          <w:sz w:val="24"/>
        </w:rPr>
      </w:pPr>
    </w:p>
    <w:p w14:paraId="77D5A3DB" w14:textId="099C0F29" w:rsidR="00E11009" w:rsidRPr="00283682" w:rsidRDefault="00E11009" w:rsidP="00E11009">
      <w:pPr>
        <w:jc w:val="both"/>
        <w:rPr>
          <w:rFonts w:ascii="Times New Roman" w:hAnsi="Times New Roman" w:cs="Times New Roman"/>
        </w:rPr>
      </w:pPr>
      <w:r w:rsidRPr="00F262AD">
        <w:rPr>
          <w:rFonts w:ascii="Times New Roman" w:hAnsi="Times New Roman" w:cs="Times New Roman"/>
          <w:b/>
          <w:bCs/>
        </w:rPr>
        <w:lastRenderedPageBreak/>
        <w:t>Supplementary Figure S2</w:t>
      </w:r>
      <w:r w:rsidRPr="00F262AD">
        <w:rPr>
          <w:rFonts w:ascii="Times New Roman" w:hAnsi="Times New Roman" w:cs="Times New Roman" w:hint="eastAsia"/>
          <w:b/>
          <w:bCs/>
        </w:rPr>
        <w:t>:</w:t>
      </w:r>
      <w:r>
        <w:rPr>
          <w:rFonts w:ascii="Times New Roman" w:hAnsi="Times New Roman" w:cs="Times New Roman" w:hint="eastAsia"/>
        </w:rPr>
        <w:t xml:space="preserve"> </w:t>
      </w:r>
      <w:bookmarkStart w:id="1" w:name="OLE_LINK2"/>
      <w:r w:rsidRPr="00F262AD">
        <w:rPr>
          <w:rFonts w:ascii="Times New Roman" w:hAnsi="Times New Roman" w:cs="Times New Roman"/>
        </w:rPr>
        <w:t>Performance comparison of five machine learning models for discriminating athletes from sedentary individuals.</w:t>
      </w:r>
    </w:p>
    <w:bookmarkEnd w:id="1"/>
    <w:p w14:paraId="2279AB4E" w14:textId="2AA8FB26" w:rsidR="004D33B3" w:rsidRDefault="004D33B3" w:rsidP="00E11009">
      <w:pPr>
        <w:jc w:val="both"/>
        <w:rPr>
          <w:rFonts w:ascii="Times New Roman" w:hAnsi="Times New Roman" w:cs="Times New Roman" w:hint="eastAsia"/>
          <w:noProof/>
          <w:sz w:val="24"/>
        </w:rPr>
      </w:pPr>
      <w:r>
        <w:rPr>
          <w:noProof/>
        </w:rPr>
        <w:drawing>
          <wp:inline distT="0" distB="0" distL="0" distR="0" wp14:anchorId="01B646F8" wp14:editId="6A2BBAC5">
            <wp:extent cx="8863330" cy="3517265"/>
            <wp:effectExtent l="0" t="0" r="0" b="6985"/>
            <wp:docPr id="9144328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32805" name=""/>
                    <pic:cNvPicPr/>
                  </pic:nvPicPr>
                  <pic:blipFill>
                    <a:blip r:embed="rId9"/>
                    <a:stretch>
                      <a:fillRect/>
                    </a:stretch>
                  </pic:blipFill>
                  <pic:spPr>
                    <a:xfrm>
                      <a:off x="0" y="0"/>
                      <a:ext cx="8863330" cy="3517265"/>
                    </a:xfrm>
                    <a:prstGeom prst="rect">
                      <a:avLst/>
                    </a:prstGeom>
                  </pic:spPr>
                </pic:pic>
              </a:graphicData>
            </a:graphic>
          </wp:inline>
        </w:drawing>
      </w:r>
    </w:p>
    <w:p w14:paraId="0C0C3F80" w14:textId="77777777" w:rsidR="00AF5192" w:rsidRPr="00AF5192" w:rsidRDefault="00AF5192" w:rsidP="00AF5192">
      <w:pPr>
        <w:jc w:val="both"/>
        <w:rPr>
          <w:rFonts w:ascii="Times New Roman" w:hAnsi="Times New Roman" w:cs="Times New Roman"/>
          <w:sz w:val="24"/>
        </w:rPr>
      </w:pPr>
      <w:r w:rsidRPr="00AF5192">
        <w:rPr>
          <w:rFonts w:ascii="Times New Roman" w:hAnsi="Times New Roman" w:cs="Times New Roman"/>
          <w:b/>
          <w:bCs/>
          <w:sz w:val="24"/>
        </w:rPr>
        <w:t>(A)</w:t>
      </w:r>
      <w:r w:rsidRPr="00AF5192">
        <w:rPr>
          <w:rFonts w:ascii="Times New Roman" w:hAnsi="Times New Roman" w:cs="Times New Roman"/>
          <w:sz w:val="24"/>
        </w:rPr>
        <w:t xml:space="preserve"> Comparison of classification performance among five supervised machine learning algorithms, including Random Forest (RF), Support Vector Machine (SVM), Decision Tree (DT), K-Nearest Neighbors (KNN), and Logistic Regression (LR). Model performance was evaluated using accuracy, precision, recall, F1-score, specificity, and the area under the receiver operating characteristic curve (AUC).</w:t>
      </w:r>
    </w:p>
    <w:p w14:paraId="3EC2B14F" w14:textId="2FB7A3A4" w:rsidR="00283682" w:rsidRPr="004D33B3" w:rsidRDefault="00AF5192" w:rsidP="004D33B3">
      <w:pPr>
        <w:jc w:val="both"/>
        <w:rPr>
          <w:rFonts w:ascii="Times New Roman" w:hAnsi="Times New Roman" w:cs="Times New Roman" w:hint="eastAsia"/>
          <w:sz w:val="24"/>
        </w:rPr>
      </w:pPr>
      <w:r w:rsidRPr="00AF5192">
        <w:rPr>
          <w:rFonts w:ascii="Times New Roman" w:hAnsi="Times New Roman" w:cs="Times New Roman"/>
          <w:b/>
          <w:bCs/>
          <w:sz w:val="24"/>
        </w:rPr>
        <w:t>(B)</w:t>
      </w:r>
      <w:r w:rsidRPr="00AF5192">
        <w:rPr>
          <w:rFonts w:ascii="Times New Roman" w:hAnsi="Times New Roman" w:cs="Times New Roman"/>
          <w:sz w:val="24"/>
        </w:rPr>
        <w:t xml:space="preserve"> Receiver operating characteristic (ROC) curves of the five machine learning models. Among all classifiers, the Random Forest model achieved the highest classification performance and was therefore selected for subsequent feature selection and predictive analyses.</w:t>
      </w:r>
    </w:p>
    <w:sectPr w:rsidR="00283682" w:rsidRPr="004D33B3" w:rsidSect="00AE7E4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8EC59" w14:textId="77777777" w:rsidR="00712D73" w:rsidRDefault="00712D73" w:rsidP="004D33B3">
      <w:pPr>
        <w:spacing w:after="0" w:line="240" w:lineRule="auto"/>
        <w:rPr>
          <w:rFonts w:hint="eastAsia"/>
        </w:rPr>
      </w:pPr>
      <w:r>
        <w:separator/>
      </w:r>
    </w:p>
  </w:endnote>
  <w:endnote w:type="continuationSeparator" w:id="0">
    <w:p w14:paraId="31C38A12" w14:textId="77777777" w:rsidR="00712D73" w:rsidRDefault="00712D73" w:rsidP="004D33B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77839" w14:textId="77777777" w:rsidR="00712D73" w:rsidRDefault="00712D73" w:rsidP="004D33B3">
      <w:pPr>
        <w:spacing w:after="0" w:line="240" w:lineRule="auto"/>
        <w:rPr>
          <w:rFonts w:hint="eastAsia"/>
        </w:rPr>
      </w:pPr>
      <w:r>
        <w:separator/>
      </w:r>
    </w:p>
  </w:footnote>
  <w:footnote w:type="continuationSeparator" w:id="0">
    <w:p w14:paraId="3E5E0175" w14:textId="77777777" w:rsidR="00712D73" w:rsidRDefault="00712D73" w:rsidP="004D33B3">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343C6"/>
    <w:multiLevelType w:val="hybridMultilevel"/>
    <w:tmpl w:val="7F763D38"/>
    <w:lvl w:ilvl="0" w:tplc="BA7A8B04">
      <w:start w:val="1"/>
      <w:numFmt w:val="upperLetter"/>
      <w:lvlText w:val="(%1)"/>
      <w:lvlJc w:val="left"/>
      <w:pPr>
        <w:ind w:left="390" w:hanging="39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86646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97B"/>
    <w:rsid w:val="0000750F"/>
    <w:rsid w:val="001A6D44"/>
    <w:rsid w:val="00283682"/>
    <w:rsid w:val="0048304C"/>
    <w:rsid w:val="004D33B3"/>
    <w:rsid w:val="00532614"/>
    <w:rsid w:val="00712D73"/>
    <w:rsid w:val="00785B3F"/>
    <w:rsid w:val="00892DF1"/>
    <w:rsid w:val="009430DB"/>
    <w:rsid w:val="00A87974"/>
    <w:rsid w:val="00AE7E49"/>
    <w:rsid w:val="00AF5192"/>
    <w:rsid w:val="00C1797B"/>
    <w:rsid w:val="00E11009"/>
    <w:rsid w:val="00E37574"/>
    <w:rsid w:val="00EA52AC"/>
    <w:rsid w:val="00F262AD"/>
    <w:rsid w:val="00F34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9EA0A6"/>
  <w15:chartTrackingRefBased/>
  <w15:docId w15:val="{D5F05D69-159E-43AC-8813-F00FA3CF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614"/>
    <w:pPr>
      <w:widowControl w:val="0"/>
    </w:pPr>
  </w:style>
  <w:style w:type="paragraph" w:styleId="1">
    <w:name w:val="heading 1"/>
    <w:basedOn w:val="a"/>
    <w:next w:val="a"/>
    <w:link w:val="10"/>
    <w:uiPriority w:val="9"/>
    <w:qFormat/>
    <w:rsid w:val="00C1797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1797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1797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1797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1797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1797B"/>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1797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1797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1797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1797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1797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1797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1797B"/>
    <w:rPr>
      <w:rFonts w:cstheme="majorBidi"/>
      <w:color w:val="0F4761" w:themeColor="accent1" w:themeShade="BF"/>
      <w:sz w:val="28"/>
      <w:szCs w:val="28"/>
    </w:rPr>
  </w:style>
  <w:style w:type="character" w:customStyle="1" w:styleId="50">
    <w:name w:val="标题 5 字符"/>
    <w:basedOn w:val="a0"/>
    <w:link w:val="5"/>
    <w:uiPriority w:val="9"/>
    <w:semiHidden/>
    <w:rsid w:val="00C1797B"/>
    <w:rPr>
      <w:rFonts w:cstheme="majorBidi"/>
      <w:color w:val="0F4761" w:themeColor="accent1" w:themeShade="BF"/>
      <w:sz w:val="24"/>
    </w:rPr>
  </w:style>
  <w:style w:type="character" w:customStyle="1" w:styleId="60">
    <w:name w:val="标题 6 字符"/>
    <w:basedOn w:val="a0"/>
    <w:link w:val="6"/>
    <w:uiPriority w:val="9"/>
    <w:semiHidden/>
    <w:rsid w:val="00C1797B"/>
    <w:rPr>
      <w:rFonts w:cstheme="majorBidi"/>
      <w:b/>
      <w:bCs/>
      <w:color w:val="0F4761" w:themeColor="accent1" w:themeShade="BF"/>
    </w:rPr>
  </w:style>
  <w:style w:type="character" w:customStyle="1" w:styleId="70">
    <w:name w:val="标题 7 字符"/>
    <w:basedOn w:val="a0"/>
    <w:link w:val="7"/>
    <w:uiPriority w:val="9"/>
    <w:semiHidden/>
    <w:rsid w:val="00C1797B"/>
    <w:rPr>
      <w:rFonts w:cstheme="majorBidi"/>
      <w:b/>
      <w:bCs/>
      <w:color w:val="595959" w:themeColor="text1" w:themeTint="A6"/>
    </w:rPr>
  </w:style>
  <w:style w:type="character" w:customStyle="1" w:styleId="80">
    <w:name w:val="标题 8 字符"/>
    <w:basedOn w:val="a0"/>
    <w:link w:val="8"/>
    <w:uiPriority w:val="9"/>
    <w:semiHidden/>
    <w:rsid w:val="00C1797B"/>
    <w:rPr>
      <w:rFonts w:cstheme="majorBidi"/>
      <w:color w:val="595959" w:themeColor="text1" w:themeTint="A6"/>
    </w:rPr>
  </w:style>
  <w:style w:type="character" w:customStyle="1" w:styleId="90">
    <w:name w:val="标题 9 字符"/>
    <w:basedOn w:val="a0"/>
    <w:link w:val="9"/>
    <w:uiPriority w:val="9"/>
    <w:semiHidden/>
    <w:rsid w:val="00C1797B"/>
    <w:rPr>
      <w:rFonts w:eastAsiaTheme="majorEastAsia" w:cstheme="majorBidi"/>
      <w:color w:val="595959" w:themeColor="text1" w:themeTint="A6"/>
    </w:rPr>
  </w:style>
  <w:style w:type="paragraph" w:styleId="a3">
    <w:name w:val="Title"/>
    <w:basedOn w:val="a"/>
    <w:next w:val="a"/>
    <w:link w:val="a4"/>
    <w:uiPriority w:val="10"/>
    <w:qFormat/>
    <w:rsid w:val="00C1797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179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797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1797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1797B"/>
    <w:pPr>
      <w:spacing w:before="160"/>
      <w:jc w:val="center"/>
    </w:pPr>
    <w:rPr>
      <w:i/>
      <w:iCs/>
      <w:color w:val="404040" w:themeColor="text1" w:themeTint="BF"/>
    </w:rPr>
  </w:style>
  <w:style w:type="character" w:customStyle="1" w:styleId="a8">
    <w:name w:val="引用 字符"/>
    <w:basedOn w:val="a0"/>
    <w:link w:val="a7"/>
    <w:uiPriority w:val="29"/>
    <w:rsid w:val="00C1797B"/>
    <w:rPr>
      <w:i/>
      <w:iCs/>
      <w:color w:val="404040" w:themeColor="text1" w:themeTint="BF"/>
    </w:rPr>
  </w:style>
  <w:style w:type="paragraph" w:styleId="a9">
    <w:name w:val="List Paragraph"/>
    <w:basedOn w:val="a"/>
    <w:uiPriority w:val="34"/>
    <w:qFormat/>
    <w:rsid w:val="00C1797B"/>
    <w:pPr>
      <w:ind w:left="720"/>
      <w:contextualSpacing/>
    </w:pPr>
  </w:style>
  <w:style w:type="character" w:styleId="aa">
    <w:name w:val="Intense Emphasis"/>
    <w:basedOn w:val="a0"/>
    <w:uiPriority w:val="21"/>
    <w:qFormat/>
    <w:rsid w:val="00C1797B"/>
    <w:rPr>
      <w:i/>
      <w:iCs/>
      <w:color w:val="0F4761" w:themeColor="accent1" w:themeShade="BF"/>
    </w:rPr>
  </w:style>
  <w:style w:type="paragraph" w:styleId="ab">
    <w:name w:val="Intense Quote"/>
    <w:basedOn w:val="a"/>
    <w:next w:val="a"/>
    <w:link w:val="ac"/>
    <w:uiPriority w:val="30"/>
    <w:qFormat/>
    <w:rsid w:val="00C17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1797B"/>
    <w:rPr>
      <w:i/>
      <w:iCs/>
      <w:color w:val="0F4761" w:themeColor="accent1" w:themeShade="BF"/>
    </w:rPr>
  </w:style>
  <w:style w:type="character" w:styleId="ad">
    <w:name w:val="Intense Reference"/>
    <w:basedOn w:val="a0"/>
    <w:uiPriority w:val="32"/>
    <w:qFormat/>
    <w:rsid w:val="00C1797B"/>
    <w:rPr>
      <w:b/>
      <w:bCs/>
      <w:smallCaps/>
      <w:color w:val="0F4761" w:themeColor="accent1" w:themeShade="BF"/>
      <w:spacing w:val="5"/>
    </w:rPr>
  </w:style>
  <w:style w:type="character" w:styleId="ae">
    <w:name w:val="Hyperlink"/>
    <w:basedOn w:val="a0"/>
    <w:uiPriority w:val="99"/>
    <w:unhideWhenUsed/>
    <w:rsid w:val="00785B3F"/>
    <w:rPr>
      <w:color w:val="467886" w:themeColor="hyperlink"/>
      <w:u w:val="single"/>
    </w:rPr>
  </w:style>
  <w:style w:type="character" w:styleId="af">
    <w:name w:val="Unresolved Mention"/>
    <w:basedOn w:val="a0"/>
    <w:uiPriority w:val="99"/>
    <w:semiHidden/>
    <w:unhideWhenUsed/>
    <w:rsid w:val="00785B3F"/>
    <w:rPr>
      <w:color w:val="605E5C"/>
      <w:shd w:val="clear" w:color="auto" w:fill="E1DFDD"/>
    </w:rPr>
  </w:style>
  <w:style w:type="paragraph" w:styleId="af0">
    <w:name w:val="header"/>
    <w:basedOn w:val="a"/>
    <w:link w:val="af1"/>
    <w:uiPriority w:val="99"/>
    <w:unhideWhenUsed/>
    <w:rsid w:val="004D33B3"/>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4D33B3"/>
    <w:rPr>
      <w:sz w:val="18"/>
      <w:szCs w:val="18"/>
    </w:rPr>
  </w:style>
  <w:style w:type="paragraph" w:styleId="af2">
    <w:name w:val="footer"/>
    <w:basedOn w:val="a"/>
    <w:link w:val="af3"/>
    <w:uiPriority w:val="99"/>
    <w:unhideWhenUsed/>
    <w:rsid w:val="004D33B3"/>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4D33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BE921-A664-4279-A804-0F9B96D3B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1663</Words>
  <Characters>10694</Characters>
  <Application>Microsoft Office Word</Application>
  <DocSecurity>0</DocSecurity>
  <Lines>169</Lines>
  <Paragraphs>71</Paragraphs>
  <ScaleCrop>false</ScaleCrop>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jiahui jin</dc:creator>
  <cp:keywords/>
  <dc:description/>
  <cp:lastModifiedBy>jiahui jin</cp:lastModifiedBy>
  <cp:revision>11</cp:revision>
  <dcterms:created xsi:type="dcterms:W3CDTF">2026-07-02T10:17:00Z</dcterms:created>
  <dcterms:modified xsi:type="dcterms:W3CDTF">2026-07-03T09:01:00Z</dcterms:modified>
</cp:coreProperties>
</file>