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1E0CD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Materials</w:t>
      </w:r>
    </w:p>
    <w:p w14:paraId="0E720216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1. Distribution of Nocardia species</w:t>
      </w:r>
    </w:p>
    <w:tbl>
      <w:tblPr>
        <w:tblStyle w:val="2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28"/>
        <w:gridCol w:w="2349"/>
        <w:gridCol w:w="3247"/>
      </w:tblGrid>
      <w:tr w14:paraId="0D49C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C89EB4A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Nocardia species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384D26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Total (N=31)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2FBFDC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mNGS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positive (n)</w:t>
            </w:r>
          </w:p>
        </w:tc>
      </w:tr>
      <w:tr w14:paraId="481AE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5C2E8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farcinica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1B8F4D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7 (22.58)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147C5B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</w:p>
        </w:tc>
      </w:tr>
      <w:tr w14:paraId="7FCB5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E4823C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brasiliensis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CB299F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5 (16.13)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3ACC6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1E64C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36A2345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cyriacigeorgica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46CB0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 (12.90)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5348900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</w:tr>
      <w:tr w14:paraId="3BC78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1ED3301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gelsenkirkensis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9E8C15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 (12.90)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34B953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14:paraId="4179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0CEB680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abscessus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4599B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 (9.68)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ED5C828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14:paraId="7271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441E8C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otitidiscaviarum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158151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 (6.45)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6A1523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14:paraId="497AB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5FAB854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tenerifensis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8010A1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 (6.45)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9851D1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14:paraId="06F63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4B7FB54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N. georgiensis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EE55E2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 (3.23)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9940BCA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3692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8AE9FC1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Nocardia sp. (untyped)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B04643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 (9.68)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635332B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14:paraId="1E46F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9339F32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718336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31 (100.00)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BFCD625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18</w:t>
            </w:r>
          </w:p>
        </w:tc>
      </w:tr>
    </w:tbl>
    <w:p w14:paraId="409133A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F994651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00EDBB5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09E479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0120170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3572EA35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66043AF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57EF83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3BB006A3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F5F3C85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0899423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4998F23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Table 2. Sensitivity analysis using alternative delay thresholds</w:t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6"/>
        <w:gridCol w:w="2330"/>
        <w:gridCol w:w="3604"/>
        <w:gridCol w:w="1089"/>
      </w:tblGrid>
      <w:tr w14:paraId="0A811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0767D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Threshold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9D37D8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Delayed patients (n)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D28A3C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OR for mNGS non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use (95% CI)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A63E40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P value</w:t>
            </w:r>
          </w:p>
        </w:tc>
      </w:tr>
      <w:tr w14:paraId="41D99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A2F1DB6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≥14 days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110344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0A001B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0.87 (0.20–3.82)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770F5C5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0.85</w:t>
            </w:r>
          </w:p>
        </w:tc>
      </w:tr>
      <w:tr w14:paraId="291AA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7B2D37F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≥30 days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C10C0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042493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12.50 (1.90–83.60)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E0ED77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0.01</w:t>
            </w:r>
          </w:p>
        </w:tc>
      </w:tr>
      <w:tr w14:paraId="7762B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29AB203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≥60 days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F6103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519879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5.10 (0.45–57.30)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05CC910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0.20</w:t>
            </w:r>
          </w:p>
        </w:tc>
      </w:tr>
    </w:tbl>
    <w:p w14:paraId="3F4C5CE8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FE11778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E567516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D6060C9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53E3417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415BCA5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7225C6A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74D72EB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9290764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0D44DCB1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786871A4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A66F6C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0B0ACFA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31AF978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B034F31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CE1F07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2845D1E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4E64A1F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90B4AAC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7878C99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38A6684D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517E78A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2713ECF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Supplementary Table 3. Firth's penalized logistic regression for delayed diagnosis (≥30 days)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Sensitivity analysis adjusting for age</w:t>
      </w:r>
    </w:p>
    <w:tbl>
      <w:tblPr>
        <w:tblStyle w:val="2"/>
        <w:tblW w:w="902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99"/>
        <w:gridCol w:w="3120"/>
        <w:gridCol w:w="1305"/>
      </w:tblGrid>
      <w:tr w14:paraId="59CAB4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0DF69DA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Variable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0B242E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Adjusted OR (95% CI)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B8BE1D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P value</w:t>
            </w:r>
          </w:p>
        </w:tc>
      </w:tr>
      <w:tr w14:paraId="584021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ED7974F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mNGS not performed (vs. performed)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10B630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9.20 (1.20–70.90)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4ACD666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0.03</w:t>
            </w:r>
          </w:p>
        </w:tc>
      </w:tr>
      <w:tr w14:paraId="678549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6CB2150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Age (per 10 years)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F87F2B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1.10 (0.52–2.35)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A678B46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0.80</w:t>
            </w:r>
          </w:p>
        </w:tc>
      </w:tr>
    </w:tbl>
    <w:p w14:paraId="06A7CF3F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E08DF32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25A66"/>
    <w:rsid w:val="41F10B5B"/>
    <w:rsid w:val="584C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</Words>
  <Characters>899</Characters>
  <Lines>0</Lines>
  <Paragraphs>0</Paragraphs>
  <TotalTime>0</TotalTime>
  <ScaleCrop>false</ScaleCrop>
  <LinksUpToDate>false</LinksUpToDate>
  <CharactersWithSpaces>980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2026-05-05T09:32:00Z</dcterms:created>
  <dc:creator>xiaowu</dc:creator>
  <cp:lastModifiedBy>xiaowu wang</cp:lastModifiedBy>
  <dcterms:modified xsi:type="dcterms:W3CDTF">2026-07-17T09:10:48Z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eyJoZGlkIjoiMDhhYjk3YzdjNTMzYjU4NjFlODhjNTEwZjZkMGU2YmIiLCJ1c2VySWQiOiIyNTI2NzY1NjcifQ==</vt:lpwstr>
  </property>
  <property fmtid="{D5CDD505-2E9C-101B-9397-08002B2CF9AE}" pid="4" name="ICV">
    <vt:lpwstr>FE671922406E4951BE1391CA93C3D6F6_12</vt:lpwstr>
  </property>
</Properties>
</file>