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ECFD1E" w14:textId="64C0110A" w:rsidR="00F05264" w:rsidRDefault="006A5E2B" w:rsidP="006A5E2B">
      <w:pPr>
        <w:jc w:val="center"/>
        <w:rPr>
          <w:rFonts w:ascii="Arial" w:eastAsiaTheme="majorEastAsia" w:hAnsi="Arial" w:cs="Arial"/>
          <w:b/>
          <w:bCs/>
          <w:color w:val="000000" w:themeColor="text1"/>
          <w:sz w:val="24"/>
          <w:szCs w:val="24"/>
        </w:rPr>
      </w:pPr>
      <w:r w:rsidRPr="006A5E2B">
        <w:rPr>
          <w:rFonts w:ascii="Arial" w:eastAsiaTheme="majorEastAsia" w:hAnsi="Arial" w:cs="Arial"/>
          <w:b/>
          <w:bCs/>
          <w:color w:val="000000" w:themeColor="text1"/>
          <w:sz w:val="24"/>
          <w:szCs w:val="24"/>
        </w:rPr>
        <w:t>Supplementary</w:t>
      </w:r>
      <w:r>
        <w:rPr>
          <w:rFonts w:ascii="Arial" w:eastAsiaTheme="majorEastAsia" w:hAnsi="Arial" w:cs="Arial"/>
          <w:b/>
          <w:bCs/>
          <w:color w:val="000000" w:themeColor="text1"/>
          <w:sz w:val="24"/>
          <w:szCs w:val="24"/>
        </w:rPr>
        <w:t xml:space="preserve"> </w:t>
      </w:r>
      <w:r w:rsidRPr="006A5E2B">
        <w:rPr>
          <w:rFonts w:ascii="Arial" w:eastAsiaTheme="majorEastAsia" w:hAnsi="Arial" w:cs="Arial"/>
          <w:b/>
          <w:bCs/>
          <w:color w:val="000000" w:themeColor="text1"/>
          <w:sz w:val="24"/>
          <w:szCs w:val="24"/>
        </w:rPr>
        <w:t>Material</w:t>
      </w:r>
    </w:p>
    <w:p w14:paraId="61FA5C97" w14:textId="77777777" w:rsidR="006A5E2B" w:rsidRPr="00F05264" w:rsidRDefault="006A5E2B" w:rsidP="006A5E2B">
      <w:pPr>
        <w:jc w:val="center"/>
        <w:rPr>
          <w:rFonts w:ascii="Arial" w:hAnsi="Arial" w:cs="Arial"/>
        </w:rPr>
      </w:pPr>
    </w:p>
    <w:p w14:paraId="7A24DCB4" w14:textId="77777777" w:rsidR="008E48CE" w:rsidRPr="00B31AF3" w:rsidRDefault="008E48CE" w:rsidP="008E48CE">
      <w:pPr>
        <w:spacing w:line="360" w:lineRule="auto"/>
        <w:jc w:val="both"/>
        <w:rPr>
          <w:rFonts w:ascii="Arial" w:hAnsi="Arial" w:cs="Arial"/>
          <w:b/>
          <w:bCs/>
          <w:sz w:val="20"/>
          <w:szCs w:val="20"/>
          <w:lang w:val="en-GB"/>
        </w:rPr>
      </w:pPr>
      <w:r w:rsidRPr="00B31AF3">
        <w:rPr>
          <w:rFonts w:ascii="Arial" w:hAnsi="Arial" w:cs="Arial"/>
          <w:b/>
          <w:bCs/>
          <w:sz w:val="20"/>
          <w:szCs w:val="20"/>
          <w:lang w:val="en-GB"/>
        </w:rPr>
        <w:t xml:space="preserve">Ecological relevance of oral </w:t>
      </w:r>
      <w:r w:rsidRPr="00B31AF3">
        <w:rPr>
          <w:rFonts w:ascii="Arial" w:hAnsi="Arial" w:cs="Arial"/>
          <w:b/>
          <w:bCs/>
          <w:i/>
          <w:iCs/>
          <w:sz w:val="20"/>
          <w:szCs w:val="20"/>
          <w:lang w:val="en-GB"/>
        </w:rPr>
        <w:t>Staphylococcus</w:t>
      </w:r>
      <w:r w:rsidRPr="00B31AF3">
        <w:rPr>
          <w:rFonts w:ascii="Arial" w:hAnsi="Arial" w:cs="Arial"/>
          <w:b/>
          <w:bCs/>
          <w:sz w:val="20"/>
          <w:szCs w:val="20"/>
          <w:lang w:val="en-GB"/>
        </w:rPr>
        <w:t xml:space="preserve"> carriage in healthy adults</w:t>
      </w:r>
    </w:p>
    <w:p w14:paraId="7333D960" w14:textId="77777777" w:rsidR="008E48CE" w:rsidRPr="00B31AF3" w:rsidRDefault="008E48CE" w:rsidP="008E48CE">
      <w:pPr>
        <w:spacing w:line="360" w:lineRule="auto"/>
        <w:jc w:val="both"/>
        <w:rPr>
          <w:rFonts w:ascii="Arial" w:hAnsi="Arial" w:cs="Arial"/>
          <w:sz w:val="20"/>
          <w:szCs w:val="20"/>
          <w:lang w:val="en-GB"/>
        </w:rPr>
      </w:pPr>
    </w:p>
    <w:p w14:paraId="27273EF9" w14:textId="636B4290" w:rsidR="008E48CE" w:rsidRPr="00B31AF3" w:rsidRDefault="008E48CE" w:rsidP="008E48CE">
      <w:pPr>
        <w:spacing w:line="360" w:lineRule="auto"/>
        <w:jc w:val="both"/>
        <w:rPr>
          <w:rFonts w:ascii="Arial" w:hAnsi="Arial" w:cs="Arial"/>
          <w:color w:val="808080"/>
          <w:sz w:val="20"/>
          <w:szCs w:val="20"/>
          <w:lang w:val="pt-PT"/>
        </w:rPr>
      </w:pPr>
      <w:r w:rsidRPr="004C747C">
        <w:rPr>
          <w:rFonts w:ascii="Arial" w:hAnsi="Arial" w:cs="Arial"/>
          <w:sz w:val="20"/>
          <w:szCs w:val="20"/>
          <w:lang w:val="pt-PT"/>
        </w:rPr>
        <w:t>Maeva Fonseca</w:t>
      </w:r>
      <w:r w:rsidRPr="004C747C">
        <w:rPr>
          <w:rFonts w:ascii="Arial" w:hAnsi="Arial" w:cs="Arial"/>
          <w:sz w:val="20"/>
          <w:szCs w:val="20"/>
          <w:vertAlign w:val="superscript"/>
          <w:lang w:val="pt-PT"/>
        </w:rPr>
        <w:t>1</w:t>
      </w:r>
      <w:r w:rsidRPr="00B31AF3">
        <w:rPr>
          <w:rFonts w:ascii="Arial" w:hAnsi="Arial" w:cs="Arial"/>
          <w:sz w:val="20"/>
          <w:szCs w:val="20"/>
          <w:vertAlign w:val="superscript"/>
          <w:lang w:val="pt-PT"/>
        </w:rPr>
        <w:t>*</w:t>
      </w:r>
      <w:r w:rsidRPr="00B31AF3">
        <w:rPr>
          <w:rFonts w:ascii="Arial" w:hAnsi="Arial" w:cs="Arial"/>
          <w:sz w:val="20"/>
          <w:szCs w:val="20"/>
          <w:lang w:val="pt-PT"/>
        </w:rPr>
        <w:t>; Marta Sousa</w:t>
      </w:r>
      <w:r w:rsidRPr="00B31AF3">
        <w:rPr>
          <w:rFonts w:ascii="Arial" w:hAnsi="Arial" w:cs="Arial"/>
          <w:sz w:val="20"/>
          <w:szCs w:val="20"/>
          <w:vertAlign w:val="superscript"/>
          <w:lang w:val="pt-PT"/>
        </w:rPr>
        <w:t>1*</w:t>
      </w:r>
      <w:r w:rsidRPr="00B31AF3">
        <w:rPr>
          <w:rFonts w:ascii="Arial" w:hAnsi="Arial" w:cs="Arial"/>
          <w:sz w:val="20"/>
          <w:szCs w:val="20"/>
          <w:lang w:val="pt-PT"/>
        </w:rPr>
        <w:t>; Carla Campos</w:t>
      </w:r>
      <w:r w:rsidRPr="00B31AF3">
        <w:rPr>
          <w:rFonts w:ascii="Arial" w:hAnsi="Arial" w:cs="Arial"/>
          <w:sz w:val="20"/>
          <w:szCs w:val="20"/>
          <w:vertAlign w:val="superscript"/>
          <w:lang w:val="pt-PT"/>
        </w:rPr>
        <w:t>2,3</w:t>
      </w:r>
      <w:r w:rsidRPr="00B31AF3">
        <w:rPr>
          <w:rFonts w:ascii="Arial" w:hAnsi="Arial" w:cs="Arial"/>
          <w:sz w:val="20"/>
          <w:szCs w:val="20"/>
          <w:lang w:val="pt-PT"/>
        </w:rPr>
        <w:t>; Joana Campos</w:t>
      </w:r>
      <w:r w:rsidRPr="00B31AF3">
        <w:rPr>
          <w:rFonts w:ascii="Arial" w:hAnsi="Arial" w:cs="Arial"/>
          <w:sz w:val="20"/>
          <w:szCs w:val="20"/>
          <w:vertAlign w:val="superscript"/>
          <w:lang w:val="pt-PT"/>
        </w:rPr>
        <w:t>4</w:t>
      </w:r>
      <w:r w:rsidRPr="00B31AF3">
        <w:rPr>
          <w:rFonts w:ascii="Arial" w:hAnsi="Arial" w:cs="Arial"/>
          <w:sz w:val="20"/>
          <w:szCs w:val="20"/>
          <w:lang w:val="pt-PT"/>
        </w:rPr>
        <w:t>; Carolina F.F.A. Costa</w:t>
      </w:r>
      <w:r w:rsidRPr="00B31AF3">
        <w:rPr>
          <w:rFonts w:ascii="Arial" w:hAnsi="Arial" w:cs="Arial"/>
          <w:sz w:val="20"/>
          <w:szCs w:val="20"/>
          <w:vertAlign w:val="superscript"/>
          <w:lang w:val="pt-PT"/>
        </w:rPr>
        <w:t>5*</w:t>
      </w:r>
      <w:r w:rsidRPr="00B31AF3">
        <w:rPr>
          <w:rFonts w:ascii="Arial" w:hAnsi="Arial" w:cs="Arial"/>
          <w:sz w:val="20"/>
          <w:szCs w:val="20"/>
          <w:lang w:val="pt-PT"/>
        </w:rPr>
        <w:t>; Benedita Sampaio</w:t>
      </w:r>
      <w:r w:rsidR="00FC295A">
        <w:rPr>
          <w:rFonts w:ascii="Arial" w:hAnsi="Arial" w:cs="Arial"/>
          <w:sz w:val="20"/>
          <w:szCs w:val="20"/>
          <w:lang w:val="pt-PT"/>
        </w:rPr>
        <w:t>-</w:t>
      </w:r>
      <w:r w:rsidRPr="00B31AF3">
        <w:rPr>
          <w:rFonts w:ascii="Arial" w:hAnsi="Arial" w:cs="Arial"/>
          <w:sz w:val="20"/>
          <w:szCs w:val="20"/>
          <w:lang w:val="pt-PT"/>
        </w:rPr>
        <w:t>Maia</w:t>
      </w:r>
      <w:r w:rsidRPr="00B31AF3">
        <w:rPr>
          <w:rFonts w:ascii="Arial" w:hAnsi="Arial" w:cs="Arial"/>
          <w:sz w:val="20"/>
          <w:szCs w:val="20"/>
          <w:vertAlign w:val="superscript"/>
          <w:lang w:val="pt-PT"/>
        </w:rPr>
        <w:t>1,4*</w:t>
      </w:r>
    </w:p>
    <w:p w14:paraId="27A79D1E" w14:textId="77777777" w:rsidR="008E48CE" w:rsidRPr="004C747C" w:rsidRDefault="008E48CE" w:rsidP="008E48CE">
      <w:pPr>
        <w:spacing w:line="360" w:lineRule="auto"/>
        <w:jc w:val="both"/>
        <w:rPr>
          <w:rFonts w:ascii="Arial" w:hAnsi="Arial" w:cs="Arial"/>
          <w:color w:val="000000"/>
          <w:sz w:val="20"/>
          <w:szCs w:val="20"/>
          <w:vertAlign w:val="superscript"/>
          <w:lang w:val="pt-PT"/>
        </w:rPr>
      </w:pPr>
      <w:r w:rsidRPr="004C747C">
        <w:rPr>
          <w:rFonts w:ascii="Arial" w:hAnsi="Arial" w:cs="Arial"/>
          <w:sz w:val="20"/>
          <w:szCs w:val="20"/>
          <w:vertAlign w:val="superscript"/>
          <w:lang w:val="pt-PT"/>
        </w:rPr>
        <w:t>1</w:t>
      </w:r>
      <w:r w:rsidRPr="004C747C">
        <w:rPr>
          <w:rFonts w:ascii="Arial" w:hAnsi="Arial" w:cs="Arial"/>
          <w:sz w:val="20"/>
          <w:szCs w:val="20"/>
          <w:lang w:val="pt-PT"/>
        </w:rPr>
        <w:t>Faculdade de Medicina Dentária da Universidade do Porto, Porto, Portugal</w:t>
      </w:r>
      <w:r w:rsidRPr="004C747C">
        <w:rPr>
          <w:rFonts w:ascii="Arial" w:hAnsi="Arial" w:cs="Arial"/>
          <w:color w:val="000000"/>
          <w:sz w:val="20"/>
          <w:szCs w:val="20"/>
          <w:lang w:val="pt-PT"/>
        </w:rPr>
        <w:t>;</w:t>
      </w:r>
      <w:r w:rsidRPr="004C747C">
        <w:rPr>
          <w:rFonts w:ascii="Arial" w:hAnsi="Arial" w:cs="Arial"/>
          <w:color w:val="000000"/>
          <w:sz w:val="20"/>
          <w:szCs w:val="20"/>
          <w:vertAlign w:val="superscript"/>
          <w:lang w:val="pt-PT"/>
        </w:rPr>
        <w:t xml:space="preserve"> </w:t>
      </w:r>
    </w:p>
    <w:p w14:paraId="64434663" w14:textId="77777777" w:rsidR="008E48CE" w:rsidRPr="004C747C" w:rsidRDefault="008E48CE" w:rsidP="008E48CE">
      <w:pPr>
        <w:spacing w:line="360" w:lineRule="auto"/>
        <w:jc w:val="both"/>
        <w:rPr>
          <w:rFonts w:ascii="Arial" w:hAnsi="Arial" w:cs="Arial"/>
          <w:color w:val="000000"/>
          <w:sz w:val="20"/>
          <w:szCs w:val="20"/>
          <w:lang w:val="pt-PT"/>
        </w:rPr>
      </w:pPr>
      <w:r w:rsidRPr="004C747C">
        <w:rPr>
          <w:rFonts w:ascii="Arial" w:hAnsi="Arial" w:cs="Arial"/>
          <w:color w:val="000000"/>
          <w:sz w:val="20"/>
          <w:szCs w:val="20"/>
          <w:vertAlign w:val="superscript"/>
          <w:lang w:val="pt-PT"/>
        </w:rPr>
        <w:t>2</w:t>
      </w:r>
      <w:r w:rsidRPr="004C747C">
        <w:rPr>
          <w:rFonts w:ascii="Arial" w:hAnsi="Arial" w:cs="Arial"/>
          <w:color w:val="000000"/>
          <w:sz w:val="20"/>
          <w:szCs w:val="20"/>
          <w:lang w:val="pt-PT"/>
        </w:rPr>
        <w:t xml:space="preserve">Serviço de Patologia Clínica, Departamento de Patologia e Medicina Laboratorial, Instituto Português de Oncologia do Porto Francisco Gentil, Porto, Portugal; </w:t>
      </w:r>
    </w:p>
    <w:p w14:paraId="03F0308A" w14:textId="77777777" w:rsidR="008E48CE" w:rsidRPr="004C747C" w:rsidRDefault="008E48CE" w:rsidP="008E48CE">
      <w:pPr>
        <w:spacing w:line="360" w:lineRule="auto"/>
        <w:jc w:val="both"/>
        <w:rPr>
          <w:rFonts w:ascii="Arial" w:hAnsi="Arial" w:cs="Arial"/>
          <w:color w:val="000000"/>
          <w:sz w:val="20"/>
          <w:szCs w:val="20"/>
          <w:lang w:val="pt-PT"/>
        </w:rPr>
      </w:pPr>
      <w:r w:rsidRPr="004C747C">
        <w:rPr>
          <w:rFonts w:ascii="Arial" w:hAnsi="Arial" w:cs="Arial"/>
          <w:color w:val="000000"/>
          <w:sz w:val="20"/>
          <w:szCs w:val="20"/>
          <w:vertAlign w:val="superscript"/>
          <w:lang w:val="pt-PT"/>
        </w:rPr>
        <w:t>3</w:t>
      </w:r>
      <w:r w:rsidRPr="004C747C">
        <w:rPr>
          <w:rFonts w:ascii="Arial" w:hAnsi="Arial" w:cs="Arial"/>
          <w:color w:val="000000"/>
          <w:sz w:val="20"/>
          <w:szCs w:val="20"/>
          <w:lang w:val="pt-PT"/>
        </w:rPr>
        <w:t xml:space="preserve">Escola Superior de Saúde, Instituto Politécnico do Porto, Porto, Portugal; </w:t>
      </w:r>
    </w:p>
    <w:p w14:paraId="3082D92D" w14:textId="77777777" w:rsidR="008E48CE" w:rsidRPr="004C747C" w:rsidRDefault="008E48CE" w:rsidP="008E48CE">
      <w:pPr>
        <w:spacing w:line="360" w:lineRule="auto"/>
        <w:jc w:val="both"/>
        <w:rPr>
          <w:rFonts w:ascii="Arial" w:hAnsi="Arial" w:cs="Arial"/>
          <w:sz w:val="20"/>
          <w:szCs w:val="20"/>
          <w:lang w:val="pt-PT"/>
        </w:rPr>
      </w:pPr>
      <w:r w:rsidRPr="004C747C">
        <w:rPr>
          <w:rFonts w:ascii="Arial" w:hAnsi="Arial" w:cs="Arial"/>
          <w:sz w:val="20"/>
          <w:szCs w:val="20"/>
          <w:vertAlign w:val="superscript"/>
          <w:lang w:val="pt-PT"/>
        </w:rPr>
        <w:t>4</w:t>
      </w:r>
      <w:r w:rsidRPr="004C747C">
        <w:rPr>
          <w:rFonts w:ascii="Arial" w:hAnsi="Arial" w:cs="Arial"/>
          <w:sz w:val="20"/>
          <w:szCs w:val="20"/>
          <w:lang w:val="pt-PT"/>
        </w:rPr>
        <w:t>i3S - Instituto de Investigação e Inovação em Saúde, Universidade do Porto, 4200-135 Porto, Portugal;</w:t>
      </w:r>
    </w:p>
    <w:p w14:paraId="26D27249" w14:textId="77777777" w:rsidR="008E48CE" w:rsidRPr="004C747C" w:rsidRDefault="008E48CE" w:rsidP="008E48CE">
      <w:pPr>
        <w:spacing w:line="360" w:lineRule="auto"/>
        <w:jc w:val="both"/>
        <w:rPr>
          <w:rFonts w:ascii="Arial" w:hAnsi="Arial" w:cs="Arial"/>
          <w:color w:val="000000"/>
          <w:sz w:val="20"/>
          <w:szCs w:val="20"/>
          <w:lang w:val="en-GB"/>
        </w:rPr>
      </w:pPr>
      <w:r w:rsidRPr="004C747C">
        <w:rPr>
          <w:rFonts w:ascii="Arial" w:hAnsi="Arial" w:cs="Arial"/>
          <w:sz w:val="20"/>
          <w:szCs w:val="20"/>
          <w:vertAlign w:val="superscript"/>
          <w:lang w:val="en-GB"/>
        </w:rPr>
        <w:t>5</w:t>
      </w:r>
      <w:r w:rsidRPr="004C747C">
        <w:rPr>
          <w:rFonts w:ascii="Arial" w:hAnsi="Arial" w:cs="Arial"/>
          <w:sz w:val="20"/>
          <w:szCs w:val="20"/>
          <w:lang w:val="en-GB"/>
        </w:rPr>
        <w:t>Department of Pharmacology, University of Oxford, Oxford, UK</w:t>
      </w:r>
      <w:r w:rsidRPr="004C747C">
        <w:rPr>
          <w:rFonts w:ascii="Arial" w:hAnsi="Arial" w:cs="Arial"/>
          <w:sz w:val="20"/>
          <w:szCs w:val="20"/>
          <w:vertAlign w:val="superscript"/>
          <w:lang w:val="en-GB"/>
        </w:rPr>
        <w:t>.</w:t>
      </w:r>
    </w:p>
    <w:p w14:paraId="72771350" w14:textId="77777777" w:rsidR="008E48CE" w:rsidRPr="004C747C" w:rsidRDefault="008E48CE" w:rsidP="008E48CE">
      <w:pPr>
        <w:spacing w:line="360" w:lineRule="auto"/>
        <w:jc w:val="both"/>
        <w:rPr>
          <w:rFonts w:ascii="Arial" w:hAnsi="Arial" w:cs="Arial"/>
          <w:color w:val="000000"/>
          <w:sz w:val="20"/>
          <w:szCs w:val="20"/>
          <w:lang w:val="en-GB"/>
        </w:rPr>
      </w:pPr>
      <w:r w:rsidRPr="004C747C">
        <w:rPr>
          <w:rFonts w:ascii="Arial" w:hAnsi="Arial" w:cs="Arial"/>
          <w:color w:val="000000"/>
          <w:sz w:val="20"/>
          <w:szCs w:val="20"/>
          <w:lang w:val="en-GB"/>
        </w:rPr>
        <w:t>*Contributed equally</w:t>
      </w:r>
    </w:p>
    <w:p w14:paraId="5D2CD820" w14:textId="77777777" w:rsidR="008E48CE" w:rsidRPr="00B31AF3" w:rsidRDefault="008E48CE" w:rsidP="008E48CE">
      <w:pPr>
        <w:spacing w:line="360" w:lineRule="auto"/>
        <w:jc w:val="both"/>
        <w:rPr>
          <w:rFonts w:ascii="Arial" w:hAnsi="Arial" w:cs="Arial"/>
          <w:color w:val="000000"/>
          <w:sz w:val="15"/>
          <w:szCs w:val="15"/>
          <w:lang w:val="en-GB"/>
        </w:rPr>
      </w:pPr>
    </w:p>
    <w:p w14:paraId="1C6C2B67" w14:textId="77777777" w:rsidR="008E48CE" w:rsidRPr="00D86680" w:rsidRDefault="008E48CE" w:rsidP="008E48CE">
      <w:pPr>
        <w:spacing w:line="360" w:lineRule="auto"/>
        <w:jc w:val="both"/>
        <w:rPr>
          <w:rFonts w:ascii="Arial" w:hAnsi="Arial" w:cs="Arial"/>
          <w:sz w:val="20"/>
          <w:szCs w:val="20"/>
          <w:lang w:val="en-GB"/>
        </w:rPr>
      </w:pPr>
      <w:r w:rsidRPr="00D86680">
        <w:rPr>
          <w:rFonts w:ascii="Arial" w:hAnsi="Arial" w:cs="Arial"/>
          <w:sz w:val="20"/>
          <w:szCs w:val="20"/>
          <w:lang w:val="en-GB"/>
        </w:rPr>
        <w:t>Corresponding Author: Benedita Sampaio Maia, bmaia@fmd.up.pt</w:t>
      </w:r>
    </w:p>
    <w:p w14:paraId="6FD39486" w14:textId="77777777" w:rsidR="004A3C45" w:rsidRPr="00D86680" w:rsidRDefault="004A3C45" w:rsidP="008E48CE">
      <w:pPr>
        <w:spacing w:line="360" w:lineRule="auto"/>
        <w:jc w:val="both"/>
        <w:rPr>
          <w:rFonts w:ascii="Arial" w:hAnsi="Arial" w:cs="Arial"/>
          <w:sz w:val="20"/>
          <w:szCs w:val="20"/>
          <w:u w:val="single"/>
          <w:lang w:val="en-GB"/>
        </w:rPr>
      </w:pPr>
    </w:p>
    <w:p w14:paraId="4BF2EED5" w14:textId="712F9988" w:rsidR="004A3C45" w:rsidRPr="00D86680" w:rsidRDefault="004A3C45">
      <w:pPr>
        <w:rPr>
          <w:rFonts w:ascii="Arial" w:hAnsi="Arial" w:cs="Arial"/>
          <w:sz w:val="20"/>
          <w:szCs w:val="20"/>
          <w:u w:val="single"/>
          <w:lang w:val="en-GB"/>
        </w:rPr>
      </w:pPr>
      <w:r w:rsidRPr="00D86680">
        <w:rPr>
          <w:rFonts w:ascii="Arial" w:hAnsi="Arial" w:cs="Arial"/>
          <w:sz w:val="20"/>
          <w:szCs w:val="20"/>
          <w:u w:val="single"/>
          <w:lang w:val="en-GB"/>
        </w:rPr>
        <w:br w:type="page"/>
      </w:r>
    </w:p>
    <w:p w14:paraId="70412080" w14:textId="16ED78DC" w:rsidR="008E48CE" w:rsidRPr="00B31AF3" w:rsidRDefault="008E48CE" w:rsidP="008E48CE">
      <w:pPr>
        <w:spacing w:line="360" w:lineRule="auto"/>
        <w:jc w:val="both"/>
        <w:rPr>
          <w:rFonts w:ascii="Arial" w:hAnsi="Arial" w:cs="Arial"/>
          <w:b/>
          <w:bCs/>
          <w:sz w:val="20"/>
          <w:szCs w:val="20"/>
          <w:lang w:val="en-GB"/>
        </w:rPr>
      </w:pPr>
      <w:r>
        <w:rPr>
          <w:rFonts w:ascii="Arial" w:hAnsi="Arial" w:cs="Arial"/>
          <w:b/>
          <w:bCs/>
          <w:sz w:val="20"/>
          <w:szCs w:val="20"/>
          <w:lang w:val="en-GB"/>
        </w:rPr>
        <w:lastRenderedPageBreak/>
        <w:t xml:space="preserve">Detailed </w:t>
      </w:r>
      <w:r w:rsidRPr="00B31AF3">
        <w:rPr>
          <w:rFonts w:ascii="Arial" w:hAnsi="Arial" w:cs="Arial"/>
          <w:b/>
          <w:bCs/>
          <w:sz w:val="20"/>
          <w:szCs w:val="20"/>
          <w:lang w:val="en-GB"/>
        </w:rPr>
        <w:t>Materials and Methods</w:t>
      </w:r>
    </w:p>
    <w:p w14:paraId="0D88B7ED" w14:textId="77777777" w:rsidR="008E48CE" w:rsidRPr="00B31AF3" w:rsidRDefault="008E48CE" w:rsidP="008E48CE">
      <w:pPr>
        <w:spacing w:line="360" w:lineRule="auto"/>
        <w:jc w:val="both"/>
        <w:rPr>
          <w:rFonts w:ascii="Arial" w:hAnsi="Arial" w:cs="Arial"/>
          <w:sz w:val="20"/>
          <w:szCs w:val="20"/>
          <w:lang w:val="en-GB"/>
        </w:rPr>
      </w:pPr>
    </w:p>
    <w:p w14:paraId="5104C874" w14:textId="77777777" w:rsidR="008E48CE" w:rsidRPr="00B31AF3" w:rsidRDefault="008E48CE" w:rsidP="008E48CE">
      <w:pPr>
        <w:pStyle w:val="ListParagraph"/>
        <w:numPr>
          <w:ilvl w:val="0"/>
          <w:numId w:val="10"/>
        </w:numPr>
        <w:spacing w:after="0" w:line="360" w:lineRule="auto"/>
        <w:jc w:val="both"/>
        <w:rPr>
          <w:rFonts w:ascii="Arial" w:hAnsi="Arial" w:cs="Arial"/>
          <w:sz w:val="20"/>
          <w:szCs w:val="20"/>
          <w:lang w:val="en-GB"/>
        </w:rPr>
      </w:pPr>
      <w:r w:rsidRPr="00B31AF3">
        <w:rPr>
          <w:rFonts w:ascii="Arial" w:hAnsi="Arial" w:cs="Arial"/>
          <w:sz w:val="20"/>
          <w:szCs w:val="20"/>
          <w:lang w:val="en-GB"/>
        </w:rPr>
        <w:t>Population and Sample Collection</w:t>
      </w:r>
    </w:p>
    <w:p w14:paraId="7D82AB52" w14:textId="77777777" w:rsidR="00706E6F" w:rsidRDefault="00706E6F" w:rsidP="0057379C">
      <w:pPr>
        <w:spacing w:line="360" w:lineRule="auto"/>
        <w:jc w:val="both"/>
        <w:rPr>
          <w:rFonts w:ascii="Arial" w:hAnsi="Arial" w:cs="Arial"/>
          <w:sz w:val="20"/>
          <w:szCs w:val="20"/>
          <w:lang w:val="en-GB"/>
        </w:rPr>
      </w:pPr>
    </w:p>
    <w:p w14:paraId="0B3360A9" w14:textId="6F99E211" w:rsidR="00E130E7" w:rsidRDefault="00E130E7" w:rsidP="0057379C">
      <w:pPr>
        <w:spacing w:line="360" w:lineRule="auto"/>
        <w:jc w:val="both"/>
        <w:rPr>
          <w:rFonts w:ascii="Arial" w:hAnsi="Arial" w:cs="Arial"/>
          <w:sz w:val="20"/>
          <w:szCs w:val="20"/>
          <w:lang w:val="en-GB"/>
        </w:rPr>
      </w:pPr>
      <w:r w:rsidRPr="00E130E7">
        <w:rPr>
          <w:rFonts w:ascii="Arial" w:hAnsi="Arial" w:cs="Arial"/>
          <w:sz w:val="20"/>
          <w:szCs w:val="20"/>
          <w:lang w:val="en-GB"/>
        </w:rPr>
        <w:t>Students from the Integrated Master's Degree in Dental Medicine at FMDUP were invited to participate during the recruitment period. Participation was entirely voluntary, and the final study sample comprised 101 students.</w:t>
      </w:r>
      <w:r w:rsidRPr="00E130E7">
        <w:t xml:space="preserve"> </w:t>
      </w:r>
      <w:r>
        <w:t>T</w:t>
      </w:r>
      <w:r w:rsidRPr="00E130E7">
        <w:rPr>
          <w:rFonts w:ascii="Arial" w:hAnsi="Arial" w:cs="Arial"/>
          <w:sz w:val="20"/>
          <w:szCs w:val="20"/>
          <w:lang w:val="en-GB"/>
        </w:rPr>
        <w:t>he study size was determined by the number of eligible students who agreed to participate</w:t>
      </w:r>
      <w:r>
        <w:rPr>
          <w:rFonts w:ascii="Arial" w:hAnsi="Arial" w:cs="Arial"/>
          <w:sz w:val="20"/>
          <w:szCs w:val="20"/>
          <w:lang w:val="en-GB"/>
        </w:rPr>
        <w:t>.</w:t>
      </w:r>
    </w:p>
    <w:p w14:paraId="44DEA9E7" w14:textId="794E71EA" w:rsidR="00E130E7" w:rsidRDefault="0057379C" w:rsidP="0057379C">
      <w:pPr>
        <w:spacing w:line="360" w:lineRule="auto"/>
        <w:jc w:val="both"/>
        <w:rPr>
          <w:rFonts w:ascii="Arial" w:hAnsi="Arial" w:cs="Arial"/>
          <w:sz w:val="20"/>
          <w:szCs w:val="20"/>
          <w:lang w:val="en-GB"/>
        </w:rPr>
      </w:pPr>
      <w:r w:rsidRPr="0057379C">
        <w:rPr>
          <w:rFonts w:ascii="Arial" w:hAnsi="Arial" w:cs="Arial"/>
          <w:sz w:val="20"/>
          <w:szCs w:val="20"/>
          <w:lang w:val="en-GB"/>
        </w:rPr>
        <w:t xml:space="preserve">The study protocol was reviewed and approved by the FMDUP Ethics Committee (Research Project No. 19/2025), and written informed consent was obtained from all participants. </w:t>
      </w:r>
    </w:p>
    <w:p w14:paraId="129E7C2E" w14:textId="2F047E4F" w:rsidR="00E130E7" w:rsidRDefault="00E130E7" w:rsidP="0057379C">
      <w:pPr>
        <w:spacing w:line="360" w:lineRule="auto"/>
        <w:jc w:val="both"/>
        <w:rPr>
          <w:rFonts w:ascii="Arial" w:hAnsi="Arial" w:cs="Arial"/>
          <w:sz w:val="20"/>
          <w:szCs w:val="20"/>
          <w:lang w:val="en-GB"/>
        </w:rPr>
      </w:pPr>
      <w:r w:rsidRPr="00E130E7">
        <w:rPr>
          <w:rFonts w:ascii="Arial" w:hAnsi="Arial" w:cs="Arial"/>
          <w:sz w:val="20"/>
          <w:szCs w:val="20"/>
          <w:lang w:val="en-GB"/>
        </w:rPr>
        <w:t>Demographic and recent clinical history data were collected through a questionnaire, including age, sex, smoking habits, infections, and antibiotic or probiotic use during the previous 6 months. Participants reporting antibiotic use or infection within the previous 6 months were excluded to minimize potential disturbances of the oral microbiota.</w:t>
      </w:r>
    </w:p>
    <w:p w14:paraId="37220731" w14:textId="51751345" w:rsidR="00E130E7" w:rsidRDefault="00E130E7" w:rsidP="0057379C">
      <w:pPr>
        <w:spacing w:line="360" w:lineRule="auto"/>
        <w:jc w:val="both"/>
        <w:rPr>
          <w:rFonts w:ascii="Arial" w:hAnsi="Arial" w:cs="Arial"/>
          <w:sz w:val="20"/>
          <w:szCs w:val="20"/>
          <w:lang w:val="en-GB"/>
        </w:rPr>
      </w:pPr>
      <w:r w:rsidRPr="00E130E7">
        <w:rPr>
          <w:rFonts w:ascii="Arial" w:hAnsi="Arial" w:cs="Arial"/>
          <w:sz w:val="20"/>
          <w:szCs w:val="20"/>
          <w:lang w:val="en-GB"/>
        </w:rPr>
        <w:t>Oral health status was assessed clinically by two calibrated examiners and included gingival status, the presence of fixed prosthodontics, and the DMFT index (Decayed, Missing</w:t>
      </w:r>
      <w:r w:rsidR="00A82C11">
        <w:rPr>
          <w:rFonts w:ascii="Arial" w:hAnsi="Arial" w:cs="Arial"/>
          <w:sz w:val="20"/>
          <w:szCs w:val="20"/>
          <w:lang w:val="en-GB"/>
        </w:rPr>
        <w:t>,</w:t>
      </w:r>
      <w:r w:rsidRPr="00E130E7">
        <w:rPr>
          <w:rFonts w:ascii="Arial" w:hAnsi="Arial" w:cs="Arial"/>
          <w:sz w:val="20"/>
          <w:szCs w:val="20"/>
          <w:lang w:val="en-GB"/>
        </w:rPr>
        <w:t xml:space="preserve"> and Filled Teeth). For exploratory analyses, participants were categorized as caries-free (DMFT = 0) or having previous caries experience (DMFT &gt; 0).</w:t>
      </w:r>
    </w:p>
    <w:p w14:paraId="03BEFB10" w14:textId="4BCC6E40" w:rsidR="00E130E7" w:rsidRDefault="00E130E7" w:rsidP="0057379C">
      <w:pPr>
        <w:spacing w:line="360" w:lineRule="auto"/>
        <w:jc w:val="both"/>
        <w:rPr>
          <w:rFonts w:ascii="Arial" w:hAnsi="Arial" w:cs="Arial"/>
          <w:sz w:val="20"/>
          <w:szCs w:val="20"/>
          <w:lang w:val="en-GB"/>
        </w:rPr>
      </w:pPr>
      <w:r w:rsidRPr="00E130E7">
        <w:rPr>
          <w:rFonts w:ascii="Arial" w:hAnsi="Arial" w:cs="Arial"/>
          <w:sz w:val="20"/>
          <w:szCs w:val="20"/>
          <w:lang w:val="en-GB"/>
        </w:rPr>
        <w:t xml:space="preserve">The primary outcomes included oral and nasal </w:t>
      </w:r>
      <w:r w:rsidRPr="00A82C11">
        <w:rPr>
          <w:rFonts w:ascii="Arial" w:hAnsi="Arial" w:cs="Arial"/>
          <w:i/>
          <w:iCs/>
          <w:sz w:val="20"/>
          <w:szCs w:val="20"/>
          <w:lang w:val="en-GB"/>
        </w:rPr>
        <w:t>Staphylococcus</w:t>
      </w:r>
      <w:r w:rsidRPr="00E130E7">
        <w:rPr>
          <w:rFonts w:ascii="Arial" w:hAnsi="Arial" w:cs="Arial"/>
          <w:sz w:val="20"/>
          <w:szCs w:val="20"/>
          <w:lang w:val="en-GB"/>
        </w:rPr>
        <w:t xml:space="preserve"> carriage, species distribution, antimicrobial susceptibility profiles, multidrug resistance, and longitudinal strain persistence patterns. The DMFT index was explored as a potential predictor of </w:t>
      </w:r>
      <w:r w:rsidRPr="00E130E7">
        <w:rPr>
          <w:rFonts w:ascii="Arial" w:hAnsi="Arial" w:cs="Arial"/>
          <w:i/>
          <w:iCs/>
          <w:sz w:val="20"/>
          <w:szCs w:val="20"/>
          <w:lang w:val="en-GB"/>
        </w:rPr>
        <w:t>Staphylococcus</w:t>
      </w:r>
      <w:r w:rsidRPr="00E130E7">
        <w:rPr>
          <w:rFonts w:ascii="Arial" w:hAnsi="Arial" w:cs="Arial"/>
          <w:sz w:val="20"/>
          <w:szCs w:val="20"/>
          <w:lang w:val="en-GB"/>
        </w:rPr>
        <w:t xml:space="preserve"> colonization.</w:t>
      </w:r>
    </w:p>
    <w:p w14:paraId="1C58E575" w14:textId="1F2507AE" w:rsidR="008E48CE" w:rsidRDefault="00E130E7" w:rsidP="008E48CE">
      <w:pPr>
        <w:spacing w:line="360" w:lineRule="auto"/>
        <w:jc w:val="both"/>
        <w:rPr>
          <w:rFonts w:ascii="Arial" w:hAnsi="Arial" w:cs="Arial"/>
          <w:sz w:val="20"/>
          <w:szCs w:val="20"/>
          <w:lang w:val="en-GB"/>
        </w:rPr>
      </w:pPr>
      <w:r w:rsidRPr="00E130E7">
        <w:rPr>
          <w:rFonts w:ascii="Arial" w:hAnsi="Arial" w:cs="Arial"/>
          <w:sz w:val="20"/>
          <w:szCs w:val="20"/>
          <w:lang w:val="en-GB"/>
        </w:rPr>
        <w:t xml:space="preserve">Oral and nasal samples were collected once from all participants (n = 101) using sterile swabs. </w:t>
      </w:r>
      <w:r w:rsidR="00FA5BC2" w:rsidRPr="00FA5BC2">
        <w:rPr>
          <w:rFonts w:ascii="Arial" w:hAnsi="Arial" w:cs="Arial"/>
          <w:sz w:val="20"/>
          <w:szCs w:val="20"/>
          <w:lang w:val="en-GB"/>
        </w:rPr>
        <w:t xml:space="preserve">Questionnaire and clinical examination data were available for 93 </w:t>
      </w:r>
      <w:proofErr w:type="gramStart"/>
      <w:r w:rsidR="00FA5BC2" w:rsidRPr="00FA5BC2">
        <w:rPr>
          <w:rFonts w:ascii="Arial" w:hAnsi="Arial" w:cs="Arial"/>
          <w:sz w:val="20"/>
          <w:szCs w:val="20"/>
          <w:lang w:val="en-GB"/>
        </w:rPr>
        <w:t>participants</w:t>
      </w:r>
      <w:proofErr w:type="gramEnd"/>
      <w:r w:rsidR="00C56464">
        <w:rPr>
          <w:rFonts w:ascii="Arial" w:hAnsi="Arial" w:cs="Arial"/>
          <w:sz w:val="20"/>
          <w:szCs w:val="20"/>
          <w:lang w:val="en-GB"/>
        </w:rPr>
        <w:t xml:space="preserve"> and n</w:t>
      </w:r>
      <w:r w:rsidR="00C56464" w:rsidRPr="00C56464">
        <w:rPr>
          <w:rFonts w:ascii="Arial" w:hAnsi="Arial" w:cs="Arial"/>
          <w:sz w:val="20"/>
          <w:szCs w:val="20"/>
          <w:lang w:val="en-GB"/>
        </w:rPr>
        <w:t>o imputation of missing data was performed</w:t>
      </w:r>
      <w:r w:rsidR="00FA5BC2" w:rsidRPr="00FA5BC2">
        <w:rPr>
          <w:rFonts w:ascii="Arial" w:hAnsi="Arial" w:cs="Arial"/>
          <w:sz w:val="20"/>
          <w:szCs w:val="20"/>
          <w:lang w:val="en-GB"/>
        </w:rPr>
        <w:t>.</w:t>
      </w:r>
      <w:r w:rsidR="00FA5BC2">
        <w:rPr>
          <w:rFonts w:ascii="Arial" w:hAnsi="Arial" w:cs="Arial"/>
          <w:sz w:val="20"/>
          <w:szCs w:val="20"/>
          <w:lang w:val="en-GB"/>
        </w:rPr>
        <w:t xml:space="preserve"> </w:t>
      </w:r>
      <w:r w:rsidRPr="00E130E7">
        <w:rPr>
          <w:rFonts w:ascii="Arial" w:hAnsi="Arial" w:cs="Arial"/>
          <w:sz w:val="20"/>
          <w:szCs w:val="20"/>
          <w:lang w:val="en-GB"/>
        </w:rPr>
        <w:t>Additionally, oral samples were longitudinally collected at up to four time points from a subgroup of participants (n = 31) to explore colonization dynamics using strain typing by Fourier Transform Infrared Spectroscopy with Attenuated Total Reflectance (FTIR-ATR).</w:t>
      </w:r>
      <w:r w:rsidR="00A57CFE">
        <w:rPr>
          <w:rFonts w:ascii="Arial" w:hAnsi="Arial" w:cs="Arial"/>
          <w:sz w:val="20"/>
          <w:szCs w:val="20"/>
          <w:lang w:val="en-GB"/>
        </w:rPr>
        <w:t xml:space="preserve"> N</w:t>
      </w:r>
      <w:r w:rsidR="00A57CFE" w:rsidRPr="00A57CFE">
        <w:rPr>
          <w:rFonts w:ascii="Arial" w:hAnsi="Arial" w:cs="Arial"/>
          <w:sz w:val="20"/>
          <w:szCs w:val="20"/>
          <w:lang w:val="en-GB"/>
        </w:rPr>
        <w:t>o imputation procedures were applied for missed follow-up visits. Longitudinal analyses were based on the isolates available from each participant at the sampled time points.</w:t>
      </w:r>
      <w:r w:rsidR="00EE012B">
        <w:rPr>
          <w:rFonts w:ascii="Arial" w:hAnsi="Arial" w:cs="Arial"/>
          <w:sz w:val="20"/>
          <w:szCs w:val="20"/>
          <w:lang w:val="en-GB"/>
        </w:rPr>
        <w:t xml:space="preserve"> </w:t>
      </w:r>
      <w:r w:rsidR="00EE012B" w:rsidRPr="00EE012B">
        <w:rPr>
          <w:rFonts w:ascii="Arial" w:hAnsi="Arial" w:cs="Arial"/>
          <w:sz w:val="20"/>
          <w:szCs w:val="20"/>
          <w:lang w:val="en-GB"/>
        </w:rPr>
        <w:t>Reasons for missing questionnaire and clinical data were not systematically recorded.</w:t>
      </w:r>
    </w:p>
    <w:p w14:paraId="3D8B1E3D" w14:textId="77777777" w:rsidR="00E130E7" w:rsidRPr="00B31AF3" w:rsidRDefault="00E130E7" w:rsidP="008E48CE">
      <w:pPr>
        <w:spacing w:line="360" w:lineRule="auto"/>
        <w:jc w:val="both"/>
        <w:rPr>
          <w:rFonts w:ascii="Arial" w:hAnsi="Arial" w:cs="Arial"/>
          <w:sz w:val="20"/>
          <w:szCs w:val="20"/>
          <w:lang w:val="en-GB"/>
        </w:rPr>
      </w:pPr>
    </w:p>
    <w:p w14:paraId="19678BDA" w14:textId="77777777" w:rsidR="008E48CE" w:rsidRPr="00B31AF3" w:rsidRDefault="008E48CE" w:rsidP="008E48CE">
      <w:pPr>
        <w:pStyle w:val="ListParagraph"/>
        <w:numPr>
          <w:ilvl w:val="0"/>
          <w:numId w:val="10"/>
        </w:numPr>
        <w:spacing w:after="0" w:line="360" w:lineRule="auto"/>
        <w:jc w:val="both"/>
        <w:rPr>
          <w:rFonts w:ascii="Arial" w:hAnsi="Arial" w:cs="Arial"/>
          <w:sz w:val="20"/>
          <w:szCs w:val="20"/>
          <w:lang w:val="en-GB"/>
        </w:rPr>
      </w:pPr>
      <w:r w:rsidRPr="00B31AF3">
        <w:rPr>
          <w:rFonts w:ascii="Arial" w:hAnsi="Arial" w:cs="Arial"/>
          <w:sz w:val="20"/>
          <w:szCs w:val="20"/>
          <w:lang w:val="en-GB"/>
        </w:rPr>
        <w:t>Microbial Isolation and Identification</w:t>
      </w:r>
    </w:p>
    <w:p w14:paraId="346CF593" w14:textId="77777777" w:rsidR="008E48CE" w:rsidRPr="00B31AF3" w:rsidRDefault="008E48CE" w:rsidP="008E48CE">
      <w:pPr>
        <w:pStyle w:val="ListParagraph"/>
        <w:spacing w:line="360" w:lineRule="auto"/>
        <w:ind w:left="1080"/>
        <w:jc w:val="both"/>
        <w:rPr>
          <w:rFonts w:ascii="Arial" w:hAnsi="Arial" w:cs="Arial"/>
          <w:sz w:val="20"/>
          <w:szCs w:val="20"/>
          <w:lang w:val="en-GB"/>
        </w:rPr>
      </w:pPr>
    </w:p>
    <w:p w14:paraId="5315D7E7" w14:textId="77777777" w:rsidR="008E48CE" w:rsidRPr="00B31AF3" w:rsidRDefault="008E48CE" w:rsidP="008E48CE">
      <w:pPr>
        <w:spacing w:line="360" w:lineRule="auto"/>
        <w:jc w:val="both"/>
        <w:rPr>
          <w:rFonts w:ascii="Arial" w:hAnsi="Arial" w:cs="Arial"/>
          <w:sz w:val="20"/>
          <w:szCs w:val="20"/>
          <w:lang w:val="en-GB"/>
        </w:rPr>
      </w:pPr>
      <w:r w:rsidRPr="00B31AF3">
        <w:rPr>
          <w:rFonts w:ascii="Arial" w:hAnsi="Arial" w:cs="Arial"/>
          <w:sz w:val="20"/>
          <w:szCs w:val="20"/>
          <w:lang w:val="en-GB"/>
        </w:rPr>
        <w:t>The swabs were seeded on Mannitol Salt Agar (VWR Chemicals, Leuven, Belgium)</w:t>
      </w:r>
      <w:r w:rsidRPr="00B31AF3" w:rsidDel="00C65C25">
        <w:rPr>
          <w:rFonts w:ascii="Arial" w:hAnsi="Arial" w:cs="Arial"/>
          <w:sz w:val="20"/>
          <w:szCs w:val="20"/>
          <w:lang w:val="en-GB"/>
        </w:rPr>
        <w:t xml:space="preserve"> </w:t>
      </w:r>
      <w:r w:rsidRPr="00B31AF3">
        <w:rPr>
          <w:rFonts w:ascii="Arial" w:hAnsi="Arial" w:cs="Arial"/>
          <w:sz w:val="20"/>
          <w:szCs w:val="20"/>
          <w:lang w:val="en-GB"/>
        </w:rPr>
        <w:t xml:space="preserve">and incubated at 37ºC for 48 hours. Morphologically distinct colonies were </w:t>
      </w:r>
      <w:proofErr w:type="spellStart"/>
      <w:r w:rsidRPr="00B31AF3">
        <w:rPr>
          <w:rFonts w:ascii="Arial" w:hAnsi="Arial" w:cs="Arial"/>
          <w:sz w:val="20"/>
          <w:szCs w:val="20"/>
          <w:lang w:val="en-GB"/>
        </w:rPr>
        <w:t>subcultivated</w:t>
      </w:r>
      <w:proofErr w:type="spellEnd"/>
      <w:r w:rsidRPr="00B31AF3">
        <w:rPr>
          <w:rFonts w:ascii="Arial" w:hAnsi="Arial" w:cs="Arial"/>
          <w:sz w:val="20"/>
          <w:szCs w:val="20"/>
          <w:lang w:val="en-GB"/>
        </w:rPr>
        <w:t xml:space="preserve"> (3-6 per sample) for purity. The isolates were identified by MALDI-TOF MS mass spectrometry (Bruker </w:t>
      </w:r>
      <w:proofErr w:type="spellStart"/>
      <w:r w:rsidRPr="00B31AF3">
        <w:rPr>
          <w:rFonts w:ascii="Arial" w:hAnsi="Arial" w:cs="Arial"/>
          <w:sz w:val="20"/>
          <w:szCs w:val="20"/>
          <w:lang w:val="en-GB"/>
        </w:rPr>
        <w:t>Daltonics</w:t>
      </w:r>
      <w:proofErr w:type="spellEnd"/>
      <w:r w:rsidRPr="00B31AF3">
        <w:rPr>
          <w:rFonts w:ascii="Arial" w:hAnsi="Arial" w:cs="Arial"/>
          <w:sz w:val="20"/>
          <w:szCs w:val="20"/>
          <w:lang w:val="en-GB"/>
        </w:rPr>
        <w:t>, Bremen, Germany). Only identifications with a score ≥2.0 (representing identification to the species level) were considered.</w:t>
      </w:r>
    </w:p>
    <w:p w14:paraId="0808880C" w14:textId="77777777" w:rsidR="008E48CE" w:rsidRPr="00B31AF3" w:rsidRDefault="008E48CE" w:rsidP="008E48CE">
      <w:pPr>
        <w:spacing w:line="360" w:lineRule="auto"/>
        <w:jc w:val="both"/>
        <w:rPr>
          <w:rFonts w:ascii="Arial" w:hAnsi="Arial" w:cs="Arial"/>
          <w:sz w:val="20"/>
          <w:szCs w:val="20"/>
          <w:lang w:val="en-GB"/>
        </w:rPr>
      </w:pPr>
    </w:p>
    <w:p w14:paraId="4A57E0A4" w14:textId="77777777" w:rsidR="008E48CE" w:rsidRPr="00B31AF3" w:rsidRDefault="008E48CE" w:rsidP="008E48CE">
      <w:pPr>
        <w:pStyle w:val="ListParagraph"/>
        <w:numPr>
          <w:ilvl w:val="0"/>
          <w:numId w:val="10"/>
        </w:numPr>
        <w:spacing w:after="0" w:line="360" w:lineRule="auto"/>
        <w:jc w:val="both"/>
        <w:rPr>
          <w:rFonts w:ascii="Arial" w:hAnsi="Arial" w:cs="Arial"/>
          <w:sz w:val="20"/>
          <w:szCs w:val="20"/>
          <w:lang w:val="en-GB"/>
        </w:rPr>
      </w:pPr>
      <w:r w:rsidRPr="00B31AF3">
        <w:rPr>
          <w:rFonts w:ascii="Arial" w:hAnsi="Arial" w:cs="Arial"/>
          <w:sz w:val="20"/>
          <w:szCs w:val="20"/>
          <w:lang w:val="en-GB"/>
        </w:rPr>
        <w:t>Evaluation of Antimicrobial Susceptibility</w:t>
      </w:r>
    </w:p>
    <w:p w14:paraId="2851DAD5" w14:textId="77777777" w:rsidR="008E48CE" w:rsidRPr="00B31AF3" w:rsidRDefault="008E48CE" w:rsidP="008E48CE">
      <w:pPr>
        <w:spacing w:line="360" w:lineRule="auto"/>
        <w:jc w:val="both"/>
        <w:rPr>
          <w:rFonts w:ascii="Arial" w:hAnsi="Arial" w:cs="Arial"/>
          <w:sz w:val="20"/>
          <w:szCs w:val="20"/>
          <w:lang w:val="en-GB"/>
        </w:rPr>
      </w:pPr>
    </w:p>
    <w:p w14:paraId="58A6DFB2" w14:textId="6E788397" w:rsidR="00C528AF" w:rsidRDefault="008E48CE" w:rsidP="008E48CE">
      <w:pPr>
        <w:spacing w:line="360" w:lineRule="auto"/>
        <w:jc w:val="both"/>
        <w:rPr>
          <w:rFonts w:ascii="Arial" w:hAnsi="Arial" w:cs="Arial"/>
          <w:sz w:val="20"/>
          <w:szCs w:val="20"/>
          <w:lang w:val="en-GB"/>
        </w:rPr>
      </w:pPr>
      <w:r w:rsidRPr="00B31AF3">
        <w:rPr>
          <w:rFonts w:ascii="Arial" w:hAnsi="Arial" w:cs="Arial"/>
          <w:sz w:val="20"/>
          <w:szCs w:val="20"/>
          <w:lang w:val="en-GB"/>
        </w:rPr>
        <w:t>The antibiotic susceptibility profiles of the isolates were evaluated using the disc diffusion agar method on Mueller-Hinton Agar II (Alliance Bio Expertise, France) following the European Committee on Antimicrobial Susceptibility Testing (EUCAST, 2026)</w:t>
      </w:r>
      <w:r w:rsidRPr="00B31AF3">
        <w:rPr>
          <w:rFonts w:ascii="Arial" w:hAnsi="Arial" w:cs="Arial"/>
          <w:sz w:val="20"/>
          <w:szCs w:val="20"/>
          <w:lang w:val="en-GB"/>
        </w:rPr>
        <w:fldChar w:fldCharType="begin"/>
      </w:r>
      <w:r w:rsidR="006161F9">
        <w:rPr>
          <w:rFonts w:ascii="Arial" w:hAnsi="Arial" w:cs="Arial"/>
          <w:sz w:val="20"/>
          <w:szCs w:val="20"/>
          <w:lang w:val="en-GB"/>
        </w:rPr>
        <w:instrText xml:space="preserve"> ADDIN EN.CITE &lt;EndNote&gt;&lt;Cite&gt;&lt;Author&gt;European Committee on Antimicrobial Susceptibility Testing&lt;/Author&gt;&lt;Year&gt;2026&lt;/Year&gt;&lt;RecNum&gt;29&lt;/RecNum&gt;&lt;DisplayText&gt;[1]&lt;/DisplayText&gt;&lt;record&gt;&lt;rec-number&gt;29&lt;/rec-number&gt;&lt;foreign-keys&gt;&lt;key app="EN" db-id="5ps9sxt58rpxs9e50sfxsvekzefzfxvwxfdp" timestamp="1743685931"&gt;29&lt;/key&gt;&lt;/foreign-keys&gt;&lt;ref-type name="Web Page"&gt;12&lt;/ref-type&gt;&lt;contributors&gt;&lt;authors&gt;&lt;author&gt;European Committee on Antimicrobial Susceptibility Testing,&lt;/author&gt;&lt;/authors&gt;&lt;/contributors&gt;&lt;titles&gt;&lt;title&gt;Breakpoint tables for interpretation of MICs and zone diameters. Version 16.0&lt;/title&gt;&lt;/titles&gt;&lt;number&gt;2026&lt;/number&gt;&lt;dates&gt;&lt;year&gt;2026&lt;/year&gt;&lt;/dates&gt;&lt;publisher&gt;EUCAST&lt;/publisher&gt;&lt;urls&gt;&lt;related-urls&gt;&lt;url&gt;http://www.eucast.org.&lt;/url&gt;&lt;/related-urls&gt;&lt;/urls&gt;&lt;/record&gt;&lt;/Cite&gt;&lt;/EndNote&gt;</w:instrText>
      </w:r>
      <w:r w:rsidRPr="00B31AF3">
        <w:rPr>
          <w:rFonts w:ascii="Arial" w:hAnsi="Arial" w:cs="Arial"/>
          <w:sz w:val="20"/>
          <w:szCs w:val="20"/>
          <w:lang w:val="en-GB"/>
        </w:rPr>
        <w:fldChar w:fldCharType="separate"/>
      </w:r>
      <w:r w:rsidR="006161F9">
        <w:rPr>
          <w:rFonts w:ascii="Arial" w:hAnsi="Arial" w:cs="Arial"/>
          <w:noProof/>
          <w:sz w:val="20"/>
          <w:szCs w:val="20"/>
          <w:lang w:val="en-GB"/>
        </w:rPr>
        <w:t>[1]</w:t>
      </w:r>
      <w:r w:rsidRPr="00B31AF3">
        <w:rPr>
          <w:rFonts w:ascii="Arial" w:hAnsi="Arial" w:cs="Arial"/>
          <w:sz w:val="20"/>
          <w:szCs w:val="20"/>
          <w:lang w:val="en-GB"/>
        </w:rPr>
        <w:fldChar w:fldCharType="end"/>
      </w:r>
      <w:r w:rsidRPr="00B31AF3">
        <w:rPr>
          <w:rFonts w:ascii="Arial" w:hAnsi="Arial" w:cs="Arial"/>
          <w:sz w:val="20"/>
          <w:szCs w:val="20"/>
          <w:lang w:val="en-GB"/>
        </w:rPr>
        <w:t xml:space="preserve"> or, when not applicable, Clinical and Laboratory Standards Institute (CLSI, 2026) </w:t>
      </w:r>
      <w:r w:rsidRPr="00B31AF3">
        <w:rPr>
          <w:rFonts w:ascii="Arial" w:hAnsi="Arial" w:cs="Arial"/>
          <w:sz w:val="20"/>
          <w:szCs w:val="20"/>
          <w:lang w:val="en-GB"/>
        </w:rPr>
        <w:fldChar w:fldCharType="begin"/>
      </w:r>
      <w:r w:rsidR="006161F9">
        <w:rPr>
          <w:rFonts w:ascii="Arial" w:hAnsi="Arial" w:cs="Arial"/>
          <w:sz w:val="20"/>
          <w:szCs w:val="20"/>
          <w:lang w:val="en-GB"/>
        </w:rPr>
        <w:instrText xml:space="preserve"> ADDIN EN.CITE &lt;EndNote&gt;&lt;Cite&gt;&lt;Author&gt;Clinical and Laboratory Standards Institute&lt;/Author&gt;&lt;Year&gt;2026&lt;/Year&gt;&lt;RecNum&gt;30&lt;/RecNum&gt;&lt;DisplayText&gt;[2]&lt;/DisplayText&gt;&lt;record&gt;&lt;rec-number&gt;30&lt;/rec-number&gt;&lt;foreign-keys&gt;&lt;key app="EN" db-id="5ps9sxt58rpxs9e50sfxsvekzefzfxvwxfdp" timestamp="1743686191"&gt;30&lt;/key&gt;&lt;/foreign-keys&gt;&lt;ref-type name="Journal Article"&gt;17&lt;/ref-type&gt;&lt;contributors&gt;&lt;authors&gt;&lt;author&gt;Clinical and Laboratory Standards Institute,&lt;/author&gt;&lt;/authors&gt;&lt;/contributors&gt;&lt;titles&gt;&lt;title&gt;Performance Standards for Antimicrobial Susceptibility Testing. 36th ed. CLSI supplement M100.&lt;/title&gt;&lt;/titles&gt;&lt;dates&gt;&lt;year&gt;2026&lt;/year&gt;&lt;/dates&gt;&lt;urls&gt;&lt;/urls&gt;&lt;/record&gt;&lt;/Cite&gt;&lt;/EndNote&gt;</w:instrText>
      </w:r>
      <w:r w:rsidRPr="00B31AF3">
        <w:rPr>
          <w:rFonts w:ascii="Arial" w:hAnsi="Arial" w:cs="Arial"/>
          <w:sz w:val="20"/>
          <w:szCs w:val="20"/>
          <w:lang w:val="en-GB"/>
        </w:rPr>
        <w:fldChar w:fldCharType="separate"/>
      </w:r>
      <w:r w:rsidR="006161F9">
        <w:rPr>
          <w:rFonts w:ascii="Arial" w:hAnsi="Arial" w:cs="Arial"/>
          <w:noProof/>
          <w:sz w:val="20"/>
          <w:szCs w:val="20"/>
          <w:lang w:val="en-GB"/>
        </w:rPr>
        <w:t>[2]</w:t>
      </w:r>
      <w:r w:rsidRPr="00B31AF3">
        <w:rPr>
          <w:rFonts w:ascii="Arial" w:hAnsi="Arial" w:cs="Arial"/>
          <w:sz w:val="20"/>
          <w:szCs w:val="20"/>
          <w:lang w:val="en-GB"/>
        </w:rPr>
        <w:fldChar w:fldCharType="end"/>
      </w:r>
      <w:r w:rsidRPr="00B31AF3">
        <w:rPr>
          <w:rFonts w:ascii="Arial" w:hAnsi="Arial" w:cs="Arial"/>
          <w:sz w:val="20"/>
          <w:szCs w:val="20"/>
          <w:lang w:val="en-GB"/>
        </w:rPr>
        <w:t xml:space="preserve"> guidelines (</w:t>
      </w:r>
      <w:r>
        <w:rPr>
          <w:rFonts w:ascii="Arial" w:hAnsi="Arial" w:cs="Arial"/>
          <w:sz w:val="20"/>
          <w:szCs w:val="20"/>
          <w:lang w:val="en-GB"/>
        </w:rPr>
        <w:t>Appendix Table 1</w:t>
      </w:r>
      <w:r w:rsidRPr="00B31AF3">
        <w:rPr>
          <w:rFonts w:ascii="Arial" w:hAnsi="Arial" w:cs="Arial"/>
          <w:sz w:val="20"/>
          <w:szCs w:val="20"/>
          <w:lang w:val="en-GB"/>
        </w:rPr>
        <w:t>). The following nine antibiotics were tested: Amoxicillin (AMO, 10 µg); Cefoxitin (CXI, 30 µg); Chloramphenicol (CHL, 30 µg); Ciprofloxacin (CIP, 5 µg); Clindamycin (CLI, 2 µg); Erythromycin (ERY, 15 µg); Gentamicin (GEN, 10 µg); Tetracycline (TET, 30 µg); Trimethoprim + Sulfamethoxazole (TRS, 25 µg) (</w:t>
      </w:r>
      <w:proofErr w:type="spellStart"/>
      <w:r w:rsidRPr="00B31AF3">
        <w:rPr>
          <w:rFonts w:ascii="Arial" w:hAnsi="Arial" w:cs="Arial"/>
          <w:sz w:val="20"/>
          <w:szCs w:val="20"/>
          <w:lang w:val="en-GB"/>
        </w:rPr>
        <w:t>Liofilchem</w:t>
      </w:r>
      <w:proofErr w:type="spellEnd"/>
      <w:r w:rsidRPr="00B31AF3">
        <w:rPr>
          <w:rFonts w:ascii="Arial" w:hAnsi="Arial" w:cs="Arial"/>
          <w:sz w:val="20"/>
          <w:szCs w:val="20"/>
          <w:lang w:val="en-GB"/>
        </w:rPr>
        <w:t xml:space="preserve">, Italy) </w:t>
      </w:r>
      <w:r w:rsidRPr="00B31AF3">
        <w:rPr>
          <w:rFonts w:ascii="Arial" w:hAnsi="Arial" w:cs="Arial"/>
          <w:sz w:val="20"/>
          <w:szCs w:val="20"/>
          <w:lang w:val="en-GB"/>
        </w:rPr>
        <w:fldChar w:fldCharType="begin"/>
      </w:r>
      <w:r w:rsidR="006161F9">
        <w:rPr>
          <w:rFonts w:ascii="Arial" w:hAnsi="Arial" w:cs="Arial"/>
          <w:sz w:val="20"/>
          <w:szCs w:val="20"/>
          <w:lang w:val="en-GB"/>
        </w:rPr>
        <w:instrText xml:space="preserve"> ADDIN EN.CITE &lt;EndNote&gt;&lt;Cite&gt;&lt;Author&gt;European Committee on Antimicrobial Susceptibility Testing&lt;/Author&gt;&lt;Year&gt;2026&lt;/Year&gt;&lt;RecNum&gt;29&lt;/RecNum&gt;&lt;DisplayText&gt;[1, 2]&lt;/DisplayText&gt;&lt;record&gt;&lt;rec-number&gt;29&lt;/rec-number&gt;&lt;foreign-keys&gt;&lt;key app="EN" db-id="5ps9sxt58rpxs9e50sfxsvekzefzfxvwxfdp" timestamp="1743685931"&gt;29&lt;/key&gt;&lt;/foreign-keys&gt;&lt;ref-type name="Web Page"&gt;12&lt;/ref-type&gt;&lt;contributors&gt;&lt;authors&gt;&lt;author&gt;European Committee on Antimicrobial Susceptibility Testing,&lt;/author&gt;&lt;/authors&gt;&lt;/contributors&gt;&lt;titles&gt;&lt;title&gt;Breakpoint tables for interpretation of MICs and zone diameters. Version 16.0&lt;/title&gt;&lt;/titles&gt;&lt;number&gt;2026&lt;/number&gt;&lt;dates&gt;&lt;year&gt;2026&lt;/year&gt;&lt;/dates&gt;&lt;publisher&gt;EUCAST&lt;/publisher&gt;&lt;urls&gt;&lt;related-urls&gt;&lt;url&gt;http://www.eucast.org.&lt;/url&gt;&lt;/related-urls&gt;&lt;/urls&gt;&lt;/record&gt;&lt;/Cite&gt;&lt;Cite&gt;&lt;Author&gt;Clinical and Laboratory Standards Institute&lt;/Author&gt;&lt;Year&gt;2026&lt;/Year&gt;&lt;RecNum&gt;30&lt;/RecNum&gt;&lt;record&gt;&lt;rec-number&gt;30&lt;/rec-number&gt;&lt;foreign-keys&gt;&lt;key app="EN" db-id="5ps9sxt58rpxs9e50sfxsvekzefzfxvwxfdp" timestamp="1743686191"&gt;30&lt;/key&gt;&lt;/foreign-keys&gt;&lt;ref-type name="Journal Article"&gt;17&lt;/ref-type&gt;&lt;contributors&gt;&lt;authors&gt;&lt;author&gt;Clinical and Laboratory Standards Institute,&lt;/author&gt;&lt;/authors&gt;&lt;/contributors&gt;&lt;titles&gt;&lt;title&gt;Performance Standards for Antimicrobial Susceptibility Testing. 36th ed. CLSI supplement M100.&lt;/title&gt;&lt;/titles&gt;&lt;dates&gt;&lt;year&gt;2026&lt;/year&gt;&lt;/dates&gt;&lt;urls&gt;&lt;/urls&gt;&lt;/record&gt;&lt;/Cite&gt;&lt;/EndNote&gt;</w:instrText>
      </w:r>
      <w:r w:rsidRPr="00B31AF3">
        <w:rPr>
          <w:rFonts w:ascii="Arial" w:hAnsi="Arial" w:cs="Arial"/>
          <w:sz w:val="20"/>
          <w:szCs w:val="20"/>
          <w:lang w:val="en-GB"/>
        </w:rPr>
        <w:fldChar w:fldCharType="separate"/>
      </w:r>
      <w:r w:rsidR="006161F9">
        <w:rPr>
          <w:rFonts w:ascii="Arial" w:hAnsi="Arial" w:cs="Arial"/>
          <w:noProof/>
          <w:sz w:val="20"/>
          <w:szCs w:val="20"/>
          <w:lang w:val="en-GB"/>
        </w:rPr>
        <w:t>[1, 2]</w:t>
      </w:r>
      <w:r w:rsidRPr="00B31AF3">
        <w:rPr>
          <w:rFonts w:ascii="Arial" w:hAnsi="Arial" w:cs="Arial"/>
          <w:sz w:val="20"/>
          <w:szCs w:val="20"/>
          <w:lang w:val="en-GB"/>
        </w:rPr>
        <w:fldChar w:fldCharType="end"/>
      </w:r>
      <w:r w:rsidRPr="00B31AF3">
        <w:rPr>
          <w:rFonts w:ascii="Arial" w:hAnsi="Arial" w:cs="Arial"/>
          <w:sz w:val="20"/>
          <w:szCs w:val="20"/>
          <w:lang w:val="en-GB"/>
        </w:rPr>
        <w:t xml:space="preserve">. </w:t>
      </w:r>
      <w:r w:rsidR="00C528AF" w:rsidRPr="00B31AF3">
        <w:rPr>
          <w:rFonts w:ascii="Arial" w:hAnsi="Arial" w:cs="Arial"/>
          <w:i/>
          <w:iCs/>
          <w:sz w:val="20"/>
          <w:szCs w:val="20"/>
          <w:lang w:val="en-GB"/>
        </w:rPr>
        <w:t>Staphylococcus</w:t>
      </w:r>
      <w:r w:rsidR="00C528AF" w:rsidRPr="00B31AF3">
        <w:rPr>
          <w:rFonts w:ascii="Arial" w:hAnsi="Arial" w:cs="Arial"/>
          <w:sz w:val="20"/>
          <w:szCs w:val="20"/>
          <w:lang w:val="en-GB"/>
        </w:rPr>
        <w:t xml:space="preserve"> </w:t>
      </w:r>
      <w:r w:rsidR="00C528AF" w:rsidRPr="00B31AF3">
        <w:rPr>
          <w:rFonts w:ascii="Arial" w:hAnsi="Arial" w:cs="Arial"/>
          <w:i/>
          <w:iCs/>
          <w:sz w:val="20"/>
          <w:szCs w:val="20"/>
          <w:lang w:val="en-GB"/>
        </w:rPr>
        <w:t>aureus</w:t>
      </w:r>
      <w:r w:rsidR="00C528AF" w:rsidRPr="00B31AF3">
        <w:rPr>
          <w:rFonts w:ascii="Arial" w:hAnsi="Arial" w:cs="Arial"/>
          <w:sz w:val="20"/>
          <w:szCs w:val="20"/>
          <w:lang w:val="en-GB"/>
        </w:rPr>
        <w:t xml:space="preserve"> ATCC® 29213 was used as a quality control strain. </w:t>
      </w:r>
    </w:p>
    <w:p w14:paraId="10880D7C" w14:textId="5DAFD16B" w:rsidR="00C528AF" w:rsidRDefault="008E48CE" w:rsidP="008E48CE">
      <w:pPr>
        <w:spacing w:line="360" w:lineRule="auto"/>
        <w:jc w:val="both"/>
        <w:rPr>
          <w:rFonts w:ascii="Arial" w:hAnsi="Arial" w:cs="Arial"/>
          <w:sz w:val="20"/>
          <w:szCs w:val="20"/>
          <w:lang w:val="en-GB"/>
        </w:rPr>
      </w:pPr>
      <w:r w:rsidRPr="00D21967">
        <w:rPr>
          <w:rFonts w:ascii="Arial" w:hAnsi="Arial" w:cs="Arial"/>
          <w:sz w:val="20"/>
          <w:szCs w:val="20"/>
          <w:lang w:val="en-GB"/>
        </w:rPr>
        <w:t>Of note, recent guidelines do not define clinical breakpoints for amoxicillin; however, given its widespread prescription in dentistry, its evaluation was maintained in the present study using the reference values established by the 2020 CLSI.</w:t>
      </w:r>
      <w:r>
        <w:rPr>
          <w:rFonts w:ascii="Arial" w:hAnsi="Arial" w:cs="Arial"/>
          <w:sz w:val="20"/>
          <w:szCs w:val="20"/>
          <w:lang w:val="en-GB"/>
        </w:rPr>
        <w:t xml:space="preserve"> </w:t>
      </w:r>
      <w:r w:rsidR="00C528AF" w:rsidRPr="00C528AF">
        <w:rPr>
          <w:rFonts w:ascii="Arial" w:hAnsi="Arial" w:cs="Arial"/>
          <w:sz w:val="20"/>
          <w:szCs w:val="20"/>
          <w:lang w:val="en-GB"/>
        </w:rPr>
        <w:t xml:space="preserve">Similarly, because EUCAST provides chloramphenicol clinical breakpoints only for </w:t>
      </w:r>
      <w:r w:rsidR="00C528AF" w:rsidRPr="00C528AF">
        <w:rPr>
          <w:rFonts w:ascii="Arial" w:hAnsi="Arial" w:cs="Arial"/>
          <w:i/>
          <w:iCs/>
          <w:sz w:val="20"/>
          <w:szCs w:val="20"/>
          <w:lang w:val="en-GB"/>
        </w:rPr>
        <w:t>S. aureus</w:t>
      </w:r>
      <w:r w:rsidR="00C528AF" w:rsidRPr="00C528AF">
        <w:rPr>
          <w:rFonts w:ascii="Arial" w:hAnsi="Arial" w:cs="Arial"/>
          <w:sz w:val="20"/>
          <w:szCs w:val="20"/>
          <w:lang w:val="en-GB"/>
        </w:rPr>
        <w:t xml:space="preserve">, CLSI breakpoints were used for the remaining </w:t>
      </w:r>
      <w:r w:rsidR="00C528AF" w:rsidRPr="00C528AF">
        <w:rPr>
          <w:rFonts w:ascii="Arial" w:hAnsi="Arial" w:cs="Arial"/>
          <w:i/>
          <w:iCs/>
          <w:sz w:val="20"/>
          <w:szCs w:val="20"/>
          <w:lang w:val="en-GB"/>
        </w:rPr>
        <w:t>Staphylococcus</w:t>
      </w:r>
      <w:r w:rsidR="00C528AF" w:rsidRPr="00C528AF">
        <w:rPr>
          <w:rFonts w:ascii="Arial" w:hAnsi="Arial" w:cs="Arial"/>
          <w:sz w:val="20"/>
          <w:szCs w:val="20"/>
          <w:lang w:val="en-GB"/>
        </w:rPr>
        <w:t xml:space="preserve"> species.</w:t>
      </w:r>
      <w:r w:rsidR="00F526FB">
        <w:rPr>
          <w:rFonts w:ascii="Arial" w:hAnsi="Arial" w:cs="Arial"/>
          <w:sz w:val="20"/>
          <w:szCs w:val="20"/>
          <w:lang w:val="en-GB"/>
        </w:rPr>
        <w:t xml:space="preserve"> </w:t>
      </w:r>
      <w:proofErr w:type="spellStart"/>
      <w:r w:rsidRPr="00B31AF3">
        <w:rPr>
          <w:rFonts w:ascii="Arial" w:hAnsi="Arial" w:cs="Arial"/>
          <w:sz w:val="20"/>
          <w:szCs w:val="20"/>
          <w:lang w:val="en-GB"/>
        </w:rPr>
        <w:t>Quinupristin-Dalfopristin</w:t>
      </w:r>
      <w:proofErr w:type="spellEnd"/>
      <w:r w:rsidRPr="00B31AF3">
        <w:rPr>
          <w:rFonts w:ascii="Arial" w:hAnsi="Arial" w:cs="Arial"/>
          <w:sz w:val="20"/>
          <w:szCs w:val="20"/>
          <w:lang w:val="en-GB"/>
        </w:rPr>
        <w:t xml:space="preserve"> (QUD, 15 µg) was evaluated exclusively for </w:t>
      </w:r>
      <w:r w:rsidRPr="00F526FB">
        <w:rPr>
          <w:rFonts w:ascii="Arial" w:hAnsi="Arial" w:cs="Arial"/>
          <w:i/>
          <w:iCs/>
          <w:sz w:val="20"/>
          <w:szCs w:val="20"/>
          <w:lang w:val="en-GB"/>
        </w:rPr>
        <w:t>S. aureus</w:t>
      </w:r>
      <w:r w:rsidRPr="00B31AF3">
        <w:rPr>
          <w:rFonts w:ascii="Arial" w:hAnsi="Arial" w:cs="Arial"/>
          <w:sz w:val="20"/>
          <w:szCs w:val="20"/>
          <w:lang w:val="en-GB"/>
        </w:rPr>
        <w:t xml:space="preserve"> isolates</w:t>
      </w:r>
      <w:r>
        <w:rPr>
          <w:rFonts w:ascii="Arial" w:hAnsi="Arial" w:cs="Arial"/>
          <w:sz w:val="20"/>
          <w:szCs w:val="20"/>
          <w:lang w:val="en-GB"/>
        </w:rPr>
        <w:t xml:space="preserve"> </w:t>
      </w:r>
      <w:r w:rsidRPr="00B31AF3">
        <w:rPr>
          <w:rFonts w:ascii="Arial" w:hAnsi="Arial" w:cs="Arial"/>
          <w:sz w:val="20"/>
          <w:szCs w:val="20"/>
          <w:lang w:val="en-GB"/>
        </w:rPr>
        <w:fldChar w:fldCharType="begin"/>
      </w:r>
      <w:r w:rsidR="006161F9">
        <w:rPr>
          <w:rFonts w:ascii="Arial" w:hAnsi="Arial" w:cs="Arial"/>
          <w:sz w:val="20"/>
          <w:szCs w:val="20"/>
          <w:lang w:val="en-GB"/>
        </w:rPr>
        <w:instrText xml:space="preserve"> ADDIN EN.CITE &lt;EndNote&gt;&lt;Cite&gt;&lt;Author&gt;European Committee on Antimicrobial Susceptibility Testing&lt;/Author&gt;&lt;Year&gt;2026&lt;/Year&gt;&lt;RecNum&gt;29&lt;/RecNum&gt;&lt;DisplayText&gt;[1]&lt;/DisplayText&gt;&lt;record&gt;&lt;rec-number&gt;29&lt;/rec-number&gt;&lt;foreign-keys&gt;&lt;key app="EN" db-id="5ps9sxt58rpxs9e50sfxsvekzefzfxvwxfdp" timestamp="1743685931"&gt;29&lt;/key&gt;&lt;/foreign-keys&gt;&lt;ref-type name="Web Page"&gt;12&lt;/ref-type&gt;&lt;contributors&gt;&lt;authors&gt;&lt;author&gt;European Committee on Antimicrobial Susceptibility Testing,&lt;/author&gt;&lt;/authors&gt;&lt;/contributors&gt;&lt;titles&gt;&lt;title&gt;Breakpoint tables for interpretation of MICs and zone diameters. Version 16.0&lt;/title&gt;&lt;/titles&gt;&lt;number&gt;2026&lt;/number&gt;&lt;dates&gt;&lt;year&gt;2026&lt;/year&gt;&lt;/dates&gt;&lt;publisher&gt;EUCAST&lt;/publisher&gt;&lt;urls&gt;&lt;related-urls&gt;&lt;url&gt;http://www.eucast.org.&lt;/url&gt;&lt;/related-urls&gt;&lt;/urls&gt;&lt;/record&gt;&lt;/Cite&gt;&lt;/EndNote&gt;</w:instrText>
      </w:r>
      <w:r w:rsidRPr="00B31AF3">
        <w:rPr>
          <w:rFonts w:ascii="Arial" w:hAnsi="Arial" w:cs="Arial"/>
          <w:sz w:val="20"/>
          <w:szCs w:val="20"/>
          <w:lang w:val="en-GB"/>
        </w:rPr>
        <w:fldChar w:fldCharType="separate"/>
      </w:r>
      <w:r w:rsidR="006161F9">
        <w:rPr>
          <w:rFonts w:ascii="Arial" w:hAnsi="Arial" w:cs="Arial"/>
          <w:noProof/>
          <w:sz w:val="20"/>
          <w:szCs w:val="20"/>
          <w:lang w:val="en-GB"/>
        </w:rPr>
        <w:t>[1]</w:t>
      </w:r>
      <w:r w:rsidRPr="00B31AF3">
        <w:rPr>
          <w:rFonts w:ascii="Arial" w:hAnsi="Arial" w:cs="Arial"/>
          <w:sz w:val="20"/>
          <w:szCs w:val="20"/>
          <w:lang w:val="en-GB"/>
        </w:rPr>
        <w:fldChar w:fldCharType="end"/>
      </w:r>
      <w:r w:rsidRPr="00B31AF3">
        <w:rPr>
          <w:rFonts w:ascii="Arial" w:hAnsi="Arial" w:cs="Arial"/>
          <w:sz w:val="20"/>
          <w:szCs w:val="20"/>
          <w:lang w:val="en-GB"/>
        </w:rPr>
        <w:t>.</w:t>
      </w:r>
    </w:p>
    <w:p w14:paraId="18280103" w14:textId="70740C5C" w:rsidR="00C528AF" w:rsidRPr="00C528AF" w:rsidRDefault="00C528AF" w:rsidP="00C528AF">
      <w:pPr>
        <w:spacing w:line="360" w:lineRule="auto"/>
        <w:jc w:val="both"/>
        <w:rPr>
          <w:rFonts w:ascii="Arial" w:hAnsi="Arial" w:cs="Arial"/>
          <w:sz w:val="20"/>
          <w:szCs w:val="20"/>
          <w:lang w:val="en-GB"/>
        </w:rPr>
      </w:pPr>
      <w:r w:rsidRPr="00B31AF3">
        <w:rPr>
          <w:rFonts w:ascii="Arial" w:hAnsi="Arial" w:cs="Arial"/>
          <w:sz w:val="20"/>
          <w:szCs w:val="20"/>
          <w:lang w:val="en-GB"/>
        </w:rPr>
        <w:t>Isolates that showed resistance to at least one antibiotic were classified as resistant. Isolates that presented resistance to three or more antibiotic classes were classified as multidrug-resistant (MDR).</w:t>
      </w:r>
      <w:r>
        <w:rPr>
          <w:rFonts w:ascii="Arial" w:hAnsi="Arial" w:cs="Arial"/>
          <w:sz w:val="20"/>
          <w:szCs w:val="20"/>
          <w:lang w:val="en-GB"/>
        </w:rPr>
        <w:t xml:space="preserve"> </w:t>
      </w:r>
      <w:r w:rsidRPr="00C528AF">
        <w:rPr>
          <w:rFonts w:ascii="Arial" w:hAnsi="Arial" w:cs="Arial"/>
          <w:sz w:val="20"/>
          <w:szCs w:val="20"/>
          <w:lang w:val="en-GB"/>
        </w:rPr>
        <w:t xml:space="preserve">Amoxicillin was excluded from MDR classification because its assessment was exploratory. Erythromycin, clindamycin, and </w:t>
      </w:r>
      <w:proofErr w:type="spellStart"/>
      <w:r w:rsidRPr="00C528AF">
        <w:rPr>
          <w:rFonts w:ascii="Arial" w:hAnsi="Arial" w:cs="Arial"/>
          <w:sz w:val="20"/>
          <w:szCs w:val="20"/>
          <w:lang w:val="en-GB"/>
        </w:rPr>
        <w:t>quinupristin-dalfopristin</w:t>
      </w:r>
      <w:proofErr w:type="spellEnd"/>
      <w:r w:rsidRPr="00C528AF">
        <w:rPr>
          <w:rFonts w:ascii="Arial" w:hAnsi="Arial" w:cs="Arial"/>
          <w:sz w:val="20"/>
          <w:szCs w:val="20"/>
          <w:lang w:val="en-GB"/>
        </w:rPr>
        <w:t xml:space="preserve"> were considered as a single antimicrobial class for MDR classification; therefore, resistance to one or more of these agents counted as resistance to one class only. For resistance and MDR classification, isolates categorized as intermediate or susceptible under increased exposure were considered susceptible.</w:t>
      </w:r>
    </w:p>
    <w:p w14:paraId="64996B56" w14:textId="77777777" w:rsidR="00706E6F" w:rsidRPr="00B31AF3" w:rsidRDefault="00706E6F" w:rsidP="008E48CE">
      <w:pPr>
        <w:spacing w:line="360" w:lineRule="auto"/>
        <w:jc w:val="both"/>
        <w:rPr>
          <w:rFonts w:ascii="Arial" w:hAnsi="Arial" w:cs="Arial"/>
          <w:sz w:val="20"/>
          <w:szCs w:val="20"/>
          <w:lang w:val="en-GB"/>
        </w:rPr>
      </w:pPr>
    </w:p>
    <w:p w14:paraId="29CEEAFD" w14:textId="77777777" w:rsidR="008E48CE" w:rsidRPr="00B31AF3" w:rsidRDefault="008E48CE" w:rsidP="008E48CE">
      <w:pPr>
        <w:pStyle w:val="ListParagraph"/>
        <w:numPr>
          <w:ilvl w:val="0"/>
          <w:numId w:val="10"/>
        </w:numPr>
        <w:spacing w:after="0" w:line="360" w:lineRule="auto"/>
        <w:jc w:val="both"/>
        <w:rPr>
          <w:rFonts w:ascii="Arial" w:hAnsi="Arial" w:cs="Arial"/>
          <w:sz w:val="20"/>
          <w:szCs w:val="20"/>
          <w:lang w:val="en-GB"/>
        </w:rPr>
      </w:pPr>
      <w:r w:rsidRPr="00B31AF3">
        <w:rPr>
          <w:rFonts w:ascii="Arial" w:hAnsi="Arial" w:cs="Arial"/>
          <w:sz w:val="20"/>
          <w:szCs w:val="20"/>
          <w:lang w:val="en-GB"/>
        </w:rPr>
        <w:t xml:space="preserve"> Strain Typing by Infrared Spectroscopy</w:t>
      </w:r>
      <w:r w:rsidRPr="00B31AF3" w:rsidDel="00D709D7">
        <w:rPr>
          <w:rFonts w:ascii="Arial" w:hAnsi="Arial" w:cs="Arial"/>
          <w:sz w:val="20"/>
          <w:szCs w:val="20"/>
          <w:lang w:val="en-GB"/>
        </w:rPr>
        <w:t xml:space="preserve"> </w:t>
      </w:r>
    </w:p>
    <w:p w14:paraId="0219A71C" w14:textId="77777777" w:rsidR="008E48CE" w:rsidRPr="00B31AF3" w:rsidRDefault="008E48CE" w:rsidP="008E48CE">
      <w:pPr>
        <w:spacing w:line="360" w:lineRule="auto"/>
        <w:jc w:val="both"/>
        <w:rPr>
          <w:rFonts w:ascii="Arial" w:hAnsi="Arial" w:cs="Arial"/>
          <w:sz w:val="20"/>
          <w:szCs w:val="20"/>
          <w:highlight w:val="yellow"/>
          <w:lang w:val="en-GB"/>
        </w:rPr>
      </w:pPr>
    </w:p>
    <w:p w14:paraId="2D2C7D51" w14:textId="77777777" w:rsidR="008E48CE" w:rsidRPr="00B31AF3" w:rsidRDefault="008E48CE" w:rsidP="008E48CE">
      <w:pPr>
        <w:spacing w:line="360" w:lineRule="auto"/>
        <w:jc w:val="both"/>
        <w:rPr>
          <w:rFonts w:ascii="Arial" w:hAnsi="Arial" w:cs="Arial"/>
          <w:sz w:val="20"/>
          <w:szCs w:val="20"/>
          <w:lang w:val="en-GB"/>
        </w:rPr>
      </w:pPr>
      <w:r w:rsidRPr="00B31AF3">
        <w:rPr>
          <w:rFonts w:ascii="Arial" w:hAnsi="Arial" w:cs="Arial"/>
          <w:sz w:val="20"/>
          <w:szCs w:val="20"/>
          <w:lang w:val="en-GB"/>
        </w:rPr>
        <w:t xml:space="preserve">To assess strain relatedness, evaluate potential colonization persistence, and explore patterns of colonization over time, </w:t>
      </w:r>
      <w:r w:rsidRPr="00D21967">
        <w:rPr>
          <w:rFonts w:ascii="Arial" w:hAnsi="Arial" w:cs="Arial"/>
          <w:sz w:val="20"/>
          <w:szCs w:val="20"/>
          <w:lang w:val="en-GB"/>
        </w:rPr>
        <w:t>phenotypic</w:t>
      </w:r>
      <w:r>
        <w:rPr>
          <w:rFonts w:ascii="Arial" w:hAnsi="Arial" w:cs="Arial"/>
          <w:sz w:val="20"/>
          <w:szCs w:val="20"/>
          <w:lang w:val="en-GB"/>
        </w:rPr>
        <w:t xml:space="preserve"> </w:t>
      </w:r>
      <w:r w:rsidRPr="00B31AF3">
        <w:rPr>
          <w:rFonts w:ascii="Arial" w:hAnsi="Arial" w:cs="Arial"/>
          <w:sz w:val="20"/>
          <w:szCs w:val="20"/>
          <w:lang w:val="en-GB"/>
        </w:rPr>
        <w:t xml:space="preserve">strain typing was performed using the IR </w:t>
      </w:r>
      <w:proofErr w:type="spellStart"/>
      <w:r w:rsidRPr="00B31AF3">
        <w:rPr>
          <w:rFonts w:ascii="Arial" w:hAnsi="Arial" w:cs="Arial"/>
          <w:sz w:val="20"/>
          <w:szCs w:val="20"/>
          <w:lang w:val="en-GB"/>
        </w:rPr>
        <w:t>Biotyper</w:t>
      </w:r>
      <w:proofErr w:type="spellEnd"/>
      <w:r w:rsidRPr="00B31AF3">
        <w:rPr>
          <w:rFonts w:ascii="Arial" w:hAnsi="Arial" w:cs="Arial"/>
          <w:sz w:val="20"/>
          <w:szCs w:val="20"/>
          <w:lang w:val="en-GB"/>
        </w:rPr>
        <w:t xml:space="preserve">® system (Bruker </w:t>
      </w:r>
      <w:proofErr w:type="spellStart"/>
      <w:r w:rsidRPr="00B31AF3">
        <w:rPr>
          <w:rFonts w:ascii="Arial" w:hAnsi="Arial" w:cs="Arial"/>
          <w:sz w:val="20"/>
          <w:szCs w:val="20"/>
          <w:lang w:val="en-GB"/>
        </w:rPr>
        <w:t>Daltonics</w:t>
      </w:r>
      <w:proofErr w:type="spellEnd"/>
      <w:r w:rsidRPr="00B31AF3">
        <w:rPr>
          <w:rFonts w:ascii="Arial" w:hAnsi="Arial" w:cs="Arial"/>
          <w:sz w:val="20"/>
          <w:szCs w:val="20"/>
          <w:lang w:val="en-GB"/>
        </w:rPr>
        <w:t xml:space="preserve">, Bremen, Germany). This analysis focused on a subgroup of longitudinally monitored </w:t>
      </w:r>
      <w:r w:rsidRPr="004A3C45">
        <w:rPr>
          <w:rFonts w:ascii="Arial" w:hAnsi="Arial" w:cs="Arial"/>
          <w:color w:val="000000" w:themeColor="text1"/>
          <w:sz w:val="20"/>
          <w:szCs w:val="20"/>
          <w:lang w:val="en-GB"/>
        </w:rPr>
        <w:t xml:space="preserve">participants (n=31), with </w:t>
      </w:r>
      <w:r w:rsidRPr="00B31AF3">
        <w:rPr>
          <w:rFonts w:ascii="Arial" w:hAnsi="Arial" w:cs="Arial"/>
          <w:sz w:val="20"/>
          <w:szCs w:val="20"/>
          <w:lang w:val="en-GB"/>
        </w:rPr>
        <w:t xml:space="preserve">samples collected at four distinct time points: baseline (T0), 5 months later (T1), and at two additional follow-ups, 2 and 3 weeks later (T2 and T3). Typing was specifically applied to </w:t>
      </w:r>
      <w:r w:rsidRPr="00B31AF3">
        <w:rPr>
          <w:rFonts w:ascii="Arial" w:hAnsi="Arial" w:cs="Arial"/>
          <w:i/>
          <w:iCs/>
          <w:sz w:val="20"/>
          <w:szCs w:val="20"/>
          <w:lang w:val="en-GB"/>
        </w:rPr>
        <w:t>S. aureus</w:t>
      </w:r>
      <w:r w:rsidRPr="00B31AF3">
        <w:rPr>
          <w:rFonts w:ascii="Arial" w:hAnsi="Arial" w:cs="Arial"/>
          <w:sz w:val="20"/>
          <w:szCs w:val="20"/>
          <w:lang w:val="en-GB"/>
        </w:rPr>
        <w:t xml:space="preserve"> and </w:t>
      </w:r>
      <w:r w:rsidRPr="00B31AF3">
        <w:rPr>
          <w:rFonts w:ascii="Arial" w:hAnsi="Arial" w:cs="Arial"/>
          <w:i/>
          <w:iCs/>
          <w:sz w:val="20"/>
          <w:szCs w:val="20"/>
          <w:lang w:val="en-GB"/>
        </w:rPr>
        <w:t xml:space="preserve">S. </w:t>
      </w:r>
      <w:proofErr w:type="spellStart"/>
      <w:r w:rsidRPr="00B31AF3">
        <w:rPr>
          <w:rFonts w:ascii="Arial" w:hAnsi="Arial" w:cs="Arial"/>
          <w:i/>
          <w:iCs/>
          <w:sz w:val="20"/>
          <w:szCs w:val="20"/>
          <w:lang w:val="en-GB"/>
        </w:rPr>
        <w:t>warneri</w:t>
      </w:r>
      <w:proofErr w:type="spellEnd"/>
      <w:r w:rsidRPr="00B31AF3">
        <w:rPr>
          <w:rFonts w:ascii="Arial" w:hAnsi="Arial" w:cs="Arial"/>
          <w:sz w:val="20"/>
          <w:szCs w:val="20"/>
          <w:lang w:val="en-GB"/>
        </w:rPr>
        <w:t xml:space="preserve"> isolates from individuals in whom the same species was detected at two or more time points. This methodological approach enabled the identification of strain similarity patterns across time points, allowing inference of potential persistence (presence of highly similar strain profiles over time) or turnover (presence of distinct strain profiles). </w:t>
      </w:r>
    </w:p>
    <w:p w14:paraId="1ED06359" w14:textId="7E648B77" w:rsidR="008E48CE" w:rsidRPr="00B31AF3" w:rsidRDefault="008E48CE" w:rsidP="008E48CE">
      <w:pPr>
        <w:spacing w:line="360" w:lineRule="auto"/>
        <w:jc w:val="both"/>
        <w:rPr>
          <w:rFonts w:ascii="Arial" w:hAnsi="Arial" w:cs="Arial"/>
          <w:sz w:val="20"/>
          <w:szCs w:val="20"/>
          <w:lang w:val="en-GB"/>
        </w:rPr>
      </w:pPr>
      <w:r w:rsidRPr="00B31AF3">
        <w:rPr>
          <w:rFonts w:ascii="Arial" w:hAnsi="Arial" w:cs="Arial"/>
          <w:sz w:val="20"/>
          <w:szCs w:val="20"/>
          <w:lang w:val="en-GB"/>
        </w:rPr>
        <w:t>The laboratory procedure was carried out according to the manufacturer's instructions, following standardized cultivation using up to six replicates of the same isolate.</w:t>
      </w:r>
      <w:r w:rsidRPr="00B31AF3">
        <w:rPr>
          <w:rFonts w:ascii="Arial" w:hAnsi="Arial" w:cs="Arial"/>
          <w:strike/>
          <w:sz w:val="20"/>
          <w:szCs w:val="20"/>
          <w:lang w:val="en-GB"/>
        </w:rPr>
        <w:t xml:space="preserve"> </w:t>
      </w:r>
      <w:r w:rsidRPr="00B31AF3">
        <w:rPr>
          <w:rFonts w:ascii="Arial" w:hAnsi="Arial" w:cs="Arial"/>
          <w:sz w:val="20"/>
          <w:szCs w:val="20"/>
          <w:lang w:val="en-GB"/>
        </w:rPr>
        <w:t xml:space="preserve">Spectra were automatically acquired and quality-controlled by the software, and similarity between isolates was calculated using Euclidean distance based on the polysaccharide spectral region, which is commonly used for bacterial discrimination in FTIR-based analysis </w:t>
      </w:r>
      <w:r w:rsidRPr="00B31AF3">
        <w:rPr>
          <w:rFonts w:ascii="Arial" w:hAnsi="Arial" w:cs="Arial"/>
          <w:sz w:val="20"/>
          <w:szCs w:val="20"/>
          <w:lang w:val="en-GB"/>
        </w:rPr>
        <w:fldChar w:fldCharType="begin"/>
      </w:r>
      <w:r w:rsidR="006161F9">
        <w:rPr>
          <w:rFonts w:ascii="Arial" w:hAnsi="Arial" w:cs="Arial"/>
          <w:sz w:val="20"/>
          <w:szCs w:val="20"/>
          <w:lang w:val="en-GB"/>
        </w:rPr>
        <w:instrText xml:space="preserve"> ADDIN EN.CITE &lt;EndNote&gt;&lt;Cite&gt;&lt;Author&gt;Grunert&lt;/Author&gt;&lt;Year&gt;2013&lt;/Year&gt;&lt;RecNum&gt;120&lt;/RecNum&gt;&lt;DisplayText&gt;[3]&lt;/DisplayText&gt;&lt;record&gt;&lt;rec-number&gt;120&lt;/rec-number&gt;&lt;foreign-keys&gt;&lt;key app="EN" db-id="5ps9sxt58rpxs9e50sfxsvekzefzfxvwxfdp" timestamp="1779653861"&gt;120&lt;/key&gt;&lt;/foreign-keys&gt;&lt;ref-type name="Journal Article"&gt;17&lt;/ref-type&gt;&lt;contributors&gt;&lt;authors&gt;&lt;author&gt;Grunert, T.&lt;/author&gt;&lt;author&gt;Wenning, M.&lt;/author&gt;&lt;author&gt;Barbagelata, M. S.&lt;/author&gt;&lt;author&gt;Fricker, M.&lt;/author&gt;&lt;author&gt;Sordelli, D. O.&lt;/author&gt;&lt;author&gt;Buzzola, F. R.&lt;/author&gt;&lt;author&gt;Ehling-Schulz, M.&lt;/author&gt;&lt;/authors&gt;&lt;/contributors&gt;&lt;auth-address&gt;Functional Microbiology, Department of Pathobiology, University of Veterinary Medicine, Vienna, Austria.&lt;/auth-address&gt;&lt;titles&gt;&lt;title&gt;Rapid and reliable identification of Staphylococcus aureus capsular serotypes by means of artificial neural network-assisted Fourier transform infrared spectroscopy&lt;/title&gt;&lt;secondary-title&gt;J Clin Microbiol&lt;/secondary-title&gt;&lt;/titles&gt;&lt;periodical&gt;&lt;full-title&gt;J Clin Microbiol&lt;/full-title&gt;&lt;/periodical&gt;&lt;pages&gt;2261-6&lt;/pages&gt;&lt;volume&gt;51&lt;/volume&gt;&lt;number&gt;7&lt;/number&gt;&lt;edition&gt;20130508&lt;/edition&gt;&lt;keywords&gt;&lt;keyword&gt;Animals&lt;/keyword&gt;&lt;keyword&gt;Bacterial Capsules/*chemistry&lt;/keyword&gt;&lt;keyword&gt;Humans&lt;/keyword&gt;&lt;keyword&gt;*Neural Networks, Computer&lt;/keyword&gt;&lt;keyword&gt;Sensitivity and Specificity&lt;/keyword&gt;&lt;keyword&gt;Serotyping/methods&lt;/keyword&gt;&lt;keyword&gt;Spectroscopy, Fourier Transform Infrared/*methods&lt;/keyword&gt;&lt;keyword&gt;Staphylococcal Infections/microbiology&lt;/keyword&gt;&lt;keyword&gt;Staphylococcus aureus/*chemistry/*classification&lt;/keyword&gt;&lt;/keywords&gt;&lt;dates&gt;&lt;year&gt;2013&lt;/year&gt;&lt;pub-dates&gt;&lt;date&gt;Jul&lt;/date&gt;&lt;/pub-dates&gt;&lt;/dates&gt;&lt;isbn&gt;0095-1137 (Print)&amp;#xD;0095-1137&lt;/isbn&gt;&lt;accession-num&gt;23658268&lt;/accession-num&gt;&lt;urls&gt;&lt;/urls&gt;&lt;custom2&gt;PMC3697708&lt;/custom2&gt;&lt;electronic-resource-num&gt;10.1128/jcm.00581-13&lt;/electronic-resource-num&gt;&lt;remote-database-provider&gt;NLM&lt;/remote-database-provider&gt;&lt;language&gt;eng&lt;/language&gt;&lt;/record&gt;&lt;/Cite&gt;&lt;/EndNote&gt;</w:instrText>
      </w:r>
      <w:r w:rsidRPr="00B31AF3">
        <w:rPr>
          <w:rFonts w:ascii="Arial" w:hAnsi="Arial" w:cs="Arial"/>
          <w:sz w:val="20"/>
          <w:szCs w:val="20"/>
          <w:lang w:val="en-GB"/>
        </w:rPr>
        <w:fldChar w:fldCharType="separate"/>
      </w:r>
      <w:r w:rsidR="006161F9">
        <w:rPr>
          <w:rFonts w:ascii="Arial" w:hAnsi="Arial" w:cs="Arial"/>
          <w:noProof/>
          <w:sz w:val="20"/>
          <w:szCs w:val="20"/>
          <w:lang w:val="en-GB"/>
        </w:rPr>
        <w:t>[3]</w:t>
      </w:r>
      <w:r w:rsidRPr="00B31AF3">
        <w:rPr>
          <w:rFonts w:ascii="Arial" w:hAnsi="Arial" w:cs="Arial"/>
          <w:sz w:val="20"/>
          <w:szCs w:val="20"/>
          <w:lang w:val="en-GB"/>
        </w:rPr>
        <w:fldChar w:fldCharType="end"/>
      </w:r>
      <w:r w:rsidRPr="00B31AF3">
        <w:rPr>
          <w:rFonts w:ascii="Arial" w:hAnsi="Arial" w:cs="Arial"/>
          <w:sz w:val="20"/>
          <w:szCs w:val="20"/>
          <w:lang w:val="en-GB"/>
        </w:rPr>
        <w:t xml:space="preserve">. Hierarchical clustering was performed by IR </w:t>
      </w:r>
      <w:proofErr w:type="spellStart"/>
      <w:r w:rsidRPr="00B31AF3">
        <w:rPr>
          <w:rFonts w:ascii="Arial" w:hAnsi="Arial" w:cs="Arial"/>
          <w:sz w:val="20"/>
          <w:szCs w:val="20"/>
          <w:lang w:val="en-GB"/>
        </w:rPr>
        <w:t>Biotyper</w:t>
      </w:r>
      <w:proofErr w:type="spellEnd"/>
      <w:r w:rsidRPr="00B31AF3">
        <w:rPr>
          <w:rFonts w:ascii="Arial" w:hAnsi="Arial" w:cs="Arial"/>
          <w:sz w:val="20"/>
          <w:szCs w:val="20"/>
          <w:lang w:val="en-GB"/>
        </w:rPr>
        <w:t>® software using average linkage. Clustering cut-off values were determined from the dataset, based on intra-sample similarity patterns.</w:t>
      </w:r>
    </w:p>
    <w:p w14:paraId="3B800C6C" w14:textId="77777777" w:rsidR="008E48CE" w:rsidRPr="00B31AF3" w:rsidRDefault="008E48CE" w:rsidP="008E48CE">
      <w:pPr>
        <w:spacing w:line="360" w:lineRule="auto"/>
        <w:jc w:val="both"/>
        <w:rPr>
          <w:rFonts w:ascii="Arial" w:hAnsi="Arial" w:cs="Arial"/>
          <w:sz w:val="20"/>
          <w:szCs w:val="20"/>
          <w:lang w:val="en-GB"/>
        </w:rPr>
      </w:pPr>
    </w:p>
    <w:p w14:paraId="3A6962D4" w14:textId="77777777" w:rsidR="008E48CE" w:rsidRPr="00B31AF3" w:rsidRDefault="008E48CE" w:rsidP="008E48CE">
      <w:pPr>
        <w:spacing w:line="360" w:lineRule="auto"/>
        <w:ind w:left="284"/>
        <w:jc w:val="both"/>
        <w:rPr>
          <w:rFonts w:ascii="Arial" w:hAnsi="Arial" w:cs="Arial"/>
          <w:sz w:val="20"/>
          <w:szCs w:val="20"/>
          <w:lang w:val="en-GB"/>
        </w:rPr>
      </w:pPr>
      <w:r w:rsidRPr="00B31AF3">
        <w:rPr>
          <w:rFonts w:ascii="Arial" w:hAnsi="Arial" w:cs="Arial"/>
          <w:sz w:val="20"/>
          <w:szCs w:val="20"/>
          <w:lang w:val="en-GB"/>
        </w:rPr>
        <w:t>V.  Statistical analysis</w:t>
      </w:r>
      <w:r w:rsidRPr="00B31AF3" w:rsidDel="00D709D7">
        <w:rPr>
          <w:rFonts w:ascii="Arial" w:hAnsi="Arial" w:cs="Arial"/>
          <w:sz w:val="20"/>
          <w:szCs w:val="20"/>
          <w:lang w:val="en-GB"/>
        </w:rPr>
        <w:t xml:space="preserve"> </w:t>
      </w:r>
    </w:p>
    <w:p w14:paraId="78011F73" w14:textId="77777777" w:rsidR="008E48CE" w:rsidRPr="00B31AF3" w:rsidRDefault="008E48CE" w:rsidP="008E48CE">
      <w:pPr>
        <w:spacing w:line="360" w:lineRule="auto"/>
        <w:jc w:val="both"/>
        <w:rPr>
          <w:rFonts w:ascii="Arial" w:hAnsi="Arial" w:cs="Arial"/>
          <w:sz w:val="20"/>
          <w:szCs w:val="20"/>
          <w:highlight w:val="yellow"/>
          <w:lang w:val="en-GB"/>
        </w:rPr>
      </w:pPr>
    </w:p>
    <w:p w14:paraId="5E208712" w14:textId="77777777" w:rsidR="008E48CE" w:rsidRDefault="008E48CE" w:rsidP="008E48CE">
      <w:pPr>
        <w:spacing w:line="360" w:lineRule="auto"/>
        <w:jc w:val="both"/>
        <w:rPr>
          <w:rFonts w:ascii="Arial" w:hAnsi="Arial" w:cs="Arial"/>
          <w:sz w:val="20"/>
          <w:szCs w:val="20"/>
          <w:lang w:val="en-GB"/>
        </w:rPr>
      </w:pPr>
      <w:r w:rsidRPr="00B31AF3">
        <w:rPr>
          <w:rFonts w:ascii="Arial" w:hAnsi="Arial" w:cs="Arial"/>
          <w:sz w:val="20"/>
          <w:szCs w:val="20"/>
          <w:lang w:val="en-GB"/>
        </w:rPr>
        <w:t>Statistical Package for the Social Science (IBM® SPSS® Statistics, SPSS Inc, Chicago, IL, USA, version 29) was used for statistical analysis. The categorical variables were described through absolute or relative frequencies (%). Differences between groups for categorical variables were analysed using Fisher’s exact test, while the exact McNemar's test was used for paired comparisons. The continuous variables were reported as mean ± standard deviation (SD), and the Shapiro-Wilk test was used to assess normality. For continuous variables without normal distribution, the Mann-Whitney test was applied for mean comparison between two groups. Statistical significance was assumed when P values were less than 0.05.</w:t>
      </w:r>
    </w:p>
    <w:p w14:paraId="20EAA6F7" w14:textId="77777777" w:rsidR="008E48CE" w:rsidRDefault="008E48CE" w:rsidP="008E48CE">
      <w:pPr>
        <w:spacing w:line="360" w:lineRule="auto"/>
        <w:jc w:val="both"/>
        <w:rPr>
          <w:rFonts w:ascii="Arial" w:hAnsi="Arial" w:cs="Arial"/>
          <w:sz w:val="20"/>
          <w:szCs w:val="20"/>
          <w:lang w:val="en-GB"/>
        </w:rPr>
      </w:pPr>
    </w:p>
    <w:p w14:paraId="65141B02" w14:textId="77777777" w:rsidR="008E48CE" w:rsidRPr="00B31AF3" w:rsidRDefault="008E48CE" w:rsidP="008E48CE">
      <w:pPr>
        <w:spacing w:line="360" w:lineRule="auto"/>
        <w:jc w:val="both"/>
        <w:rPr>
          <w:rFonts w:ascii="Arial" w:hAnsi="Arial" w:cs="Arial"/>
          <w:sz w:val="20"/>
          <w:szCs w:val="20"/>
          <w:lang w:val="en-GB"/>
        </w:rPr>
      </w:pPr>
      <w:r w:rsidRPr="005E3D61">
        <w:rPr>
          <w:rFonts w:ascii="Arial" w:hAnsi="Arial" w:cs="Arial"/>
          <w:sz w:val="20"/>
          <w:szCs w:val="20"/>
          <w:lang w:val="en-GB"/>
        </w:rPr>
        <w:t>This study was conducted and reported in accordance with the STROBE guidelines.</w:t>
      </w:r>
    </w:p>
    <w:p w14:paraId="20C24393" w14:textId="77777777" w:rsidR="008E48CE" w:rsidRPr="008E48CE" w:rsidRDefault="008E48CE">
      <w:pPr>
        <w:rPr>
          <w:rFonts w:ascii="Arial" w:hAnsi="Arial" w:cs="Arial"/>
          <w:lang w:val="en-GB"/>
        </w:rPr>
      </w:pPr>
    </w:p>
    <w:p w14:paraId="62B7B147" w14:textId="24E56FF2" w:rsidR="004A3C45" w:rsidRPr="0071309E" w:rsidRDefault="00063442" w:rsidP="00FC295A">
      <w:pPr>
        <w:rPr>
          <w:rFonts w:ascii="Arial" w:hAnsi="Arial" w:cs="Arial"/>
          <w:b/>
          <w:bCs/>
          <w:sz w:val="20"/>
          <w:szCs w:val="20"/>
          <w:lang w:val="en-GB"/>
        </w:rPr>
      </w:pPr>
      <w:r w:rsidRPr="00F05264">
        <w:rPr>
          <w:rFonts w:ascii="Arial" w:hAnsi="Arial" w:cs="Arial"/>
        </w:rPr>
        <w:br w:type="page"/>
      </w:r>
      <w:r w:rsidR="00D05735" w:rsidRPr="00D05735">
        <w:rPr>
          <w:rFonts w:ascii="Arial" w:hAnsi="Arial" w:cs="Arial"/>
          <w:b/>
          <w:bCs/>
          <w:sz w:val="20"/>
          <w:szCs w:val="20"/>
          <w:lang w:val="en-GB"/>
        </w:rPr>
        <w:lastRenderedPageBreak/>
        <w:t>Supplementary</w:t>
      </w:r>
      <w:r w:rsidR="00D05735" w:rsidRPr="00B31AF3">
        <w:rPr>
          <w:rFonts w:ascii="Arial" w:hAnsi="Arial" w:cs="Arial"/>
          <w:b/>
          <w:bCs/>
          <w:sz w:val="20"/>
          <w:szCs w:val="20"/>
          <w:lang w:val="en-GB"/>
        </w:rPr>
        <w:t xml:space="preserve"> </w:t>
      </w:r>
      <w:r w:rsidR="00F526FB">
        <w:rPr>
          <w:rFonts w:ascii="Arial" w:hAnsi="Arial" w:cs="Arial"/>
          <w:b/>
          <w:bCs/>
          <w:sz w:val="20"/>
          <w:szCs w:val="20"/>
          <w:lang w:val="en-GB"/>
        </w:rPr>
        <w:t>Tables</w:t>
      </w:r>
    </w:p>
    <w:p w14:paraId="6CD6A929" w14:textId="7D84B353" w:rsidR="00F845E6" w:rsidRPr="00F05264" w:rsidRDefault="00D05735" w:rsidP="00F845E6">
      <w:pPr>
        <w:rPr>
          <w:rFonts w:ascii="Arial" w:hAnsi="Arial" w:cs="Arial"/>
        </w:rPr>
      </w:pPr>
      <w:r>
        <w:rPr>
          <w:rFonts w:ascii="Arial" w:hAnsi="Arial" w:cs="Arial"/>
          <w:sz w:val="20"/>
          <w:szCs w:val="20"/>
          <w:lang w:val="en-GB"/>
        </w:rPr>
        <w:t>Supplementary</w:t>
      </w:r>
      <w:r w:rsidRPr="00F05264">
        <w:rPr>
          <w:rFonts w:ascii="Arial" w:hAnsi="Arial" w:cs="Arial"/>
        </w:rPr>
        <w:t xml:space="preserve"> </w:t>
      </w:r>
      <w:r w:rsidR="00F845E6" w:rsidRPr="00F05264">
        <w:rPr>
          <w:rFonts w:ascii="Arial" w:hAnsi="Arial" w:cs="Arial"/>
        </w:rPr>
        <w:t xml:space="preserve">Table </w:t>
      </w:r>
      <w:r>
        <w:rPr>
          <w:rFonts w:ascii="Arial" w:hAnsi="Arial" w:cs="Arial"/>
        </w:rPr>
        <w:t>S</w:t>
      </w:r>
      <w:r w:rsidR="00C37400">
        <w:rPr>
          <w:rFonts w:ascii="Arial" w:hAnsi="Arial" w:cs="Arial"/>
        </w:rPr>
        <w:t>1</w:t>
      </w:r>
      <w:r w:rsidR="00F845E6" w:rsidRPr="00F05264">
        <w:rPr>
          <w:rFonts w:ascii="Arial" w:hAnsi="Arial" w:cs="Arial"/>
        </w:rPr>
        <w:t>: Clinical and demographic characterization of the studied population.</w:t>
      </w:r>
    </w:p>
    <w:tbl>
      <w:tblPr>
        <w:tblStyle w:val="TableGrid"/>
        <w:tblW w:w="0" w:type="auto"/>
        <w:tblLook w:val="04A0" w:firstRow="1" w:lastRow="0" w:firstColumn="1" w:lastColumn="0" w:noHBand="0" w:noVBand="1"/>
      </w:tblPr>
      <w:tblGrid>
        <w:gridCol w:w="4247"/>
        <w:gridCol w:w="4247"/>
      </w:tblGrid>
      <w:tr w:rsidR="00F845E6" w:rsidRPr="00F05264" w14:paraId="4D1AE68A" w14:textId="77777777" w:rsidTr="00706E6F">
        <w:tc>
          <w:tcPr>
            <w:tcW w:w="8494" w:type="dxa"/>
            <w:gridSpan w:val="2"/>
            <w:tcBorders>
              <w:top w:val="single" w:sz="4" w:space="0" w:color="auto"/>
              <w:left w:val="single" w:sz="4" w:space="0" w:color="FFFFFF"/>
              <w:right w:val="single" w:sz="4" w:space="0" w:color="FFFFFF"/>
            </w:tcBorders>
          </w:tcPr>
          <w:p w14:paraId="02247EA3" w14:textId="77777777" w:rsidR="00F845E6" w:rsidRPr="00F05264" w:rsidRDefault="00F845E6" w:rsidP="004D7FF5">
            <w:pPr>
              <w:spacing w:line="276" w:lineRule="auto"/>
              <w:jc w:val="center"/>
              <w:rPr>
                <w:rFonts w:ascii="Arial" w:hAnsi="Arial" w:cs="Arial"/>
                <w:b/>
                <w:bCs/>
                <w:sz w:val="21"/>
                <w:szCs w:val="21"/>
                <w:lang w:val="en-GB"/>
              </w:rPr>
            </w:pPr>
            <w:r w:rsidRPr="00F05264">
              <w:rPr>
                <w:rFonts w:ascii="Arial" w:hAnsi="Arial" w:cs="Arial"/>
                <w:b/>
                <w:bCs/>
                <w:sz w:val="21"/>
                <w:szCs w:val="21"/>
                <w:lang w:val="en-GB"/>
              </w:rPr>
              <w:t>Clinical and Demographic Factors</w:t>
            </w:r>
          </w:p>
        </w:tc>
      </w:tr>
      <w:tr w:rsidR="00F845E6" w:rsidRPr="00F05264" w14:paraId="48AADCF3" w14:textId="77777777" w:rsidTr="004D7FF5">
        <w:tc>
          <w:tcPr>
            <w:tcW w:w="4247" w:type="dxa"/>
            <w:tcBorders>
              <w:left w:val="single" w:sz="4" w:space="0" w:color="FFFFFF"/>
              <w:bottom w:val="single" w:sz="4" w:space="0" w:color="FFFFFF"/>
              <w:right w:val="single" w:sz="4" w:space="0" w:color="FFFFFF"/>
            </w:tcBorders>
          </w:tcPr>
          <w:p w14:paraId="1C0B263C" w14:textId="77777777" w:rsidR="00F845E6" w:rsidRPr="00F05264" w:rsidRDefault="00F845E6" w:rsidP="004D7FF5">
            <w:pPr>
              <w:spacing w:line="276" w:lineRule="auto"/>
              <w:rPr>
                <w:rFonts w:ascii="Arial" w:hAnsi="Arial" w:cs="Arial"/>
                <w:sz w:val="21"/>
                <w:szCs w:val="21"/>
                <w:lang w:val="en-GB"/>
              </w:rPr>
            </w:pPr>
            <w:r w:rsidRPr="00F05264">
              <w:rPr>
                <w:rFonts w:ascii="Arial" w:hAnsi="Arial" w:cs="Arial"/>
                <w:sz w:val="21"/>
                <w:szCs w:val="21"/>
                <w:lang w:val="en-GB"/>
              </w:rPr>
              <w:t>Sex</w:t>
            </w:r>
            <w:r w:rsidRPr="00F05264">
              <w:rPr>
                <w:rFonts w:ascii="Arial" w:hAnsi="Arial" w:cs="Arial"/>
                <w:sz w:val="18"/>
                <w:szCs w:val="18"/>
                <w:lang w:val="en-GB"/>
              </w:rPr>
              <w:t>, %</w:t>
            </w:r>
            <w:r w:rsidRPr="00F05264">
              <w:rPr>
                <w:rFonts w:ascii="Arial" w:hAnsi="Arial" w:cs="Arial"/>
                <w:sz w:val="21"/>
                <w:szCs w:val="21"/>
                <w:lang w:val="en-GB"/>
              </w:rPr>
              <w:t xml:space="preserve"> </w:t>
            </w:r>
            <w:r w:rsidRPr="00F05264">
              <w:rPr>
                <w:rFonts w:ascii="Arial" w:hAnsi="Arial" w:cs="Arial"/>
                <w:sz w:val="18"/>
                <w:szCs w:val="18"/>
                <w:lang w:val="en-GB"/>
              </w:rPr>
              <w:t>(female; male)</w:t>
            </w:r>
          </w:p>
        </w:tc>
        <w:tc>
          <w:tcPr>
            <w:tcW w:w="4247" w:type="dxa"/>
            <w:tcBorders>
              <w:left w:val="single" w:sz="4" w:space="0" w:color="FFFFFF"/>
              <w:bottom w:val="single" w:sz="4" w:space="0" w:color="FFFFFF"/>
              <w:right w:val="single" w:sz="4" w:space="0" w:color="FFFFFF"/>
            </w:tcBorders>
          </w:tcPr>
          <w:p w14:paraId="72C69E11" w14:textId="77777777" w:rsidR="00F845E6" w:rsidRPr="00F05264" w:rsidRDefault="00F845E6" w:rsidP="004D7FF5">
            <w:pPr>
              <w:spacing w:line="276" w:lineRule="auto"/>
              <w:jc w:val="center"/>
              <w:rPr>
                <w:rFonts w:ascii="Arial" w:hAnsi="Arial" w:cs="Arial"/>
                <w:sz w:val="21"/>
                <w:szCs w:val="21"/>
                <w:lang w:val="en-GB"/>
              </w:rPr>
            </w:pPr>
            <w:r w:rsidRPr="00F05264">
              <w:rPr>
                <w:rFonts w:ascii="Arial" w:hAnsi="Arial" w:cs="Arial"/>
                <w:sz w:val="21"/>
                <w:szCs w:val="21"/>
                <w:lang w:val="en-GB"/>
              </w:rPr>
              <w:t>81.52%; 18.68%</w:t>
            </w:r>
          </w:p>
        </w:tc>
      </w:tr>
      <w:tr w:rsidR="00F845E6" w:rsidRPr="00F05264" w14:paraId="5FD78F64" w14:textId="77777777" w:rsidTr="004D7FF5">
        <w:tc>
          <w:tcPr>
            <w:tcW w:w="4247" w:type="dxa"/>
            <w:tcBorders>
              <w:top w:val="single" w:sz="4" w:space="0" w:color="FFFFFF"/>
              <w:left w:val="single" w:sz="4" w:space="0" w:color="FFFFFF"/>
              <w:bottom w:val="single" w:sz="4" w:space="0" w:color="FFFFFF"/>
              <w:right w:val="single" w:sz="4" w:space="0" w:color="FFFFFF"/>
            </w:tcBorders>
          </w:tcPr>
          <w:p w14:paraId="5DEB29F9" w14:textId="77777777" w:rsidR="00F845E6" w:rsidRPr="00F05264" w:rsidRDefault="00F845E6" w:rsidP="004D7FF5">
            <w:pPr>
              <w:spacing w:line="276" w:lineRule="auto"/>
              <w:rPr>
                <w:rFonts w:ascii="Arial" w:hAnsi="Arial" w:cs="Arial"/>
                <w:sz w:val="21"/>
                <w:szCs w:val="21"/>
                <w:lang w:val="en-GB"/>
              </w:rPr>
            </w:pPr>
            <w:r w:rsidRPr="00F05264">
              <w:rPr>
                <w:rFonts w:ascii="Arial" w:hAnsi="Arial" w:cs="Arial"/>
                <w:sz w:val="21"/>
                <w:szCs w:val="21"/>
                <w:lang w:val="en-GB"/>
              </w:rPr>
              <w:t>Age</w:t>
            </w:r>
            <w:r w:rsidRPr="00F05264">
              <w:rPr>
                <w:rFonts w:ascii="Arial" w:hAnsi="Arial" w:cs="Arial"/>
                <w:sz w:val="18"/>
                <w:szCs w:val="18"/>
                <w:lang w:val="en-GB"/>
              </w:rPr>
              <w:t>, years</w:t>
            </w:r>
          </w:p>
        </w:tc>
        <w:tc>
          <w:tcPr>
            <w:tcW w:w="4247" w:type="dxa"/>
            <w:tcBorders>
              <w:top w:val="single" w:sz="4" w:space="0" w:color="FFFFFF"/>
              <w:left w:val="single" w:sz="4" w:space="0" w:color="FFFFFF"/>
              <w:bottom w:val="single" w:sz="4" w:space="0" w:color="FFFFFF"/>
              <w:right w:val="single" w:sz="4" w:space="0" w:color="FFFFFF"/>
            </w:tcBorders>
          </w:tcPr>
          <w:p w14:paraId="21B60B2D" w14:textId="77777777" w:rsidR="00F845E6" w:rsidRPr="00F05264" w:rsidRDefault="00F845E6" w:rsidP="004D7FF5">
            <w:pPr>
              <w:spacing w:line="276" w:lineRule="auto"/>
              <w:jc w:val="center"/>
              <w:rPr>
                <w:rFonts w:ascii="Arial" w:hAnsi="Arial" w:cs="Arial"/>
                <w:sz w:val="21"/>
                <w:szCs w:val="21"/>
                <w:lang w:val="en-GB"/>
              </w:rPr>
            </w:pPr>
            <w:r w:rsidRPr="00F05264">
              <w:rPr>
                <w:rFonts w:ascii="Arial" w:hAnsi="Arial" w:cs="Arial"/>
                <w:sz w:val="21"/>
                <w:szCs w:val="21"/>
                <w:lang w:val="en-GB"/>
              </w:rPr>
              <w:t>21.54 ± 2.63</w:t>
            </w:r>
          </w:p>
        </w:tc>
      </w:tr>
      <w:tr w:rsidR="00F845E6" w:rsidRPr="00F05264" w14:paraId="29101A87" w14:textId="77777777" w:rsidTr="004D7FF5">
        <w:tc>
          <w:tcPr>
            <w:tcW w:w="4247" w:type="dxa"/>
            <w:tcBorders>
              <w:top w:val="single" w:sz="4" w:space="0" w:color="FFFFFF"/>
              <w:left w:val="single" w:sz="4" w:space="0" w:color="FFFFFF"/>
              <w:bottom w:val="single" w:sz="4" w:space="0" w:color="FFFFFF"/>
              <w:right w:val="single" w:sz="4" w:space="0" w:color="FFFFFF"/>
            </w:tcBorders>
          </w:tcPr>
          <w:p w14:paraId="6BA4EB8F" w14:textId="77777777" w:rsidR="00F845E6" w:rsidRPr="00F05264" w:rsidRDefault="00F845E6" w:rsidP="004D7FF5">
            <w:pPr>
              <w:spacing w:line="276" w:lineRule="auto"/>
              <w:rPr>
                <w:rFonts w:ascii="Arial" w:hAnsi="Arial" w:cs="Arial"/>
                <w:sz w:val="21"/>
                <w:szCs w:val="21"/>
                <w:lang w:val="en-GB"/>
              </w:rPr>
            </w:pPr>
            <w:r w:rsidRPr="00F05264">
              <w:rPr>
                <w:rFonts w:ascii="Arial" w:hAnsi="Arial" w:cs="Arial"/>
                <w:sz w:val="21"/>
                <w:szCs w:val="21"/>
                <w:lang w:val="en-GB"/>
              </w:rPr>
              <w:t>Smoking habits</w:t>
            </w:r>
            <w:r w:rsidRPr="00F05264">
              <w:rPr>
                <w:rFonts w:ascii="Arial" w:hAnsi="Arial" w:cs="Arial"/>
                <w:sz w:val="18"/>
                <w:szCs w:val="18"/>
                <w:lang w:val="en-GB"/>
              </w:rPr>
              <w:t>, %</w:t>
            </w:r>
          </w:p>
        </w:tc>
        <w:tc>
          <w:tcPr>
            <w:tcW w:w="4247" w:type="dxa"/>
            <w:tcBorders>
              <w:top w:val="single" w:sz="4" w:space="0" w:color="FFFFFF"/>
              <w:left w:val="single" w:sz="4" w:space="0" w:color="FFFFFF"/>
              <w:bottom w:val="single" w:sz="4" w:space="0" w:color="FFFFFF"/>
              <w:right w:val="single" w:sz="4" w:space="0" w:color="FFFFFF"/>
            </w:tcBorders>
          </w:tcPr>
          <w:p w14:paraId="30EDACEF" w14:textId="77777777" w:rsidR="00F845E6" w:rsidRPr="00F05264" w:rsidRDefault="00F845E6" w:rsidP="004D7FF5">
            <w:pPr>
              <w:spacing w:line="276" w:lineRule="auto"/>
              <w:jc w:val="center"/>
              <w:rPr>
                <w:rFonts w:ascii="Arial" w:hAnsi="Arial" w:cs="Arial"/>
                <w:sz w:val="21"/>
                <w:szCs w:val="21"/>
                <w:lang w:val="en-GB"/>
              </w:rPr>
            </w:pPr>
            <w:r w:rsidRPr="00F05264">
              <w:rPr>
                <w:rFonts w:ascii="Arial" w:hAnsi="Arial" w:cs="Arial"/>
                <w:sz w:val="21"/>
                <w:szCs w:val="21"/>
                <w:lang w:val="en-GB"/>
              </w:rPr>
              <w:t>4.35%</w:t>
            </w:r>
          </w:p>
        </w:tc>
      </w:tr>
      <w:tr w:rsidR="00F845E6" w:rsidRPr="00F05264" w14:paraId="01860C14" w14:textId="77777777" w:rsidTr="004D7FF5">
        <w:tc>
          <w:tcPr>
            <w:tcW w:w="4247" w:type="dxa"/>
            <w:tcBorders>
              <w:top w:val="single" w:sz="4" w:space="0" w:color="FFFFFF"/>
              <w:left w:val="single" w:sz="4" w:space="0" w:color="FFFFFF"/>
              <w:bottom w:val="single" w:sz="4" w:space="0" w:color="FFFFFF"/>
              <w:right w:val="single" w:sz="4" w:space="0" w:color="FFFFFF"/>
            </w:tcBorders>
          </w:tcPr>
          <w:p w14:paraId="69D66E61" w14:textId="77777777" w:rsidR="00F845E6" w:rsidRPr="00F05264" w:rsidRDefault="00F845E6" w:rsidP="004D7FF5">
            <w:pPr>
              <w:spacing w:line="276" w:lineRule="auto"/>
              <w:rPr>
                <w:rFonts w:ascii="Arial" w:hAnsi="Arial" w:cs="Arial"/>
                <w:sz w:val="21"/>
                <w:szCs w:val="21"/>
                <w:lang w:val="en-GB"/>
              </w:rPr>
            </w:pPr>
            <w:r w:rsidRPr="00F05264">
              <w:rPr>
                <w:rFonts w:ascii="Arial" w:hAnsi="Arial" w:cs="Arial"/>
                <w:sz w:val="21"/>
                <w:szCs w:val="21"/>
                <w:lang w:val="en-GB"/>
              </w:rPr>
              <w:t>Prosthesis</w:t>
            </w:r>
            <w:r w:rsidRPr="00F05264">
              <w:rPr>
                <w:rFonts w:ascii="Arial" w:hAnsi="Arial" w:cs="Arial"/>
                <w:sz w:val="18"/>
                <w:szCs w:val="18"/>
                <w:lang w:val="en-GB"/>
              </w:rPr>
              <w:t>, %</w:t>
            </w:r>
          </w:p>
        </w:tc>
        <w:tc>
          <w:tcPr>
            <w:tcW w:w="4247" w:type="dxa"/>
            <w:tcBorders>
              <w:top w:val="single" w:sz="4" w:space="0" w:color="FFFFFF"/>
              <w:left w:val="single" w:sz="4" w:space="0" w:color="FFFFFF"/>
              <w:bottom w:val="single" w:sz="4" w:space="0" w:color="FFFFFF"/>
              <w:right w:val="single" w:sz="4" w:space="0" w:color="FFFFFF"/>
            </w:tcBorders>
          </w:tcPr>
          <w:p w14:paraId="62556810" w14:textId="77777777" w:rsidR="00F845E6" w:rsidRPr="00F05264" w:rsidRDefault="00F845E6" w:rsidP="004D7FF5">
            <w:pPr>
              <w:spacing w:line="276" w:lineRule="auto"/>
              <w:jc w:val="center"/>
              <w:rPr>
                <w:rFonts w:ascii="Arial" w:hAnsi="Arial" w:cs="Arial"/>
                <w:sz w:val="21"/>
                <w:szCs w:val="21"/>
                <w:lang w:val="en-GB"/>
              </w:rPr>
            </w:pPr>
            <w:r w:rsidRPr="00F05264">
              <w:rPr>
                <w:rFonts w:ascii="Arial" w:hAnsi="Arial" w:cs="Arial"/>
                <w:sz w:val="21"/>
                <w:szCs w:val="21"/>
                <w:lang w:val="en-GB"/>
              </w:rPr>
              <w:t>3.26%</w:t>
            </w:r>
          </w:p>
        </w:tc>
      </w:tr>
      <w:tr w:rsidR="00F845E6" w:rsidRPr="00F05264" w14:paraId="79016153" w14:textId="77777777" w:rsidTr="004D7FF5">
        <w:tc>
          <w:tcPr>
            <w:tcW w:w="4247" w:type="dxa"/>
            <w:tcBorders>
              <w:top w:val="single" w:sz="4" w:space="0" w:color="FFFFFF"/>
              <w:left w:val="single" w:sz="4" w:space="0" w:color="FFFFFF"/>
              <w:bottom w:val="single" w:sz="4" w:space="0" w:color="FFFFFF"/>
              <w:right w:val="single" w:sz="4" w:space="0" w:color="FFFFFF"/>
            </w:tcBorders>
          </w:tcPr>
          <w:p w14:paraId="0E89FBB7" w14:textId="77777777" w:rsidR="00F845E6" w:rsidRPr="00F05264" w:rsidRDefault="00F845E6" w:rsidP="004D7FF5">
            <w:pPr>
              <w:spacing w:line="276" w:lineRule="auto"/>
              <w:rPr>
                <w:rFonts w:ascii="Arial" w:hAnsi="Arial" w:cs="Arial"/>
                <w:sz w:val="21"/>
                <w:szCs w:val="21"/>
                <w:lang w:val="en-GB"/>
              </w:rPr>
            </w:pPr>
            <w:r w:rsidRPr="00F05264">
              <w:rPr>
                <w:rFonts w:ascii="Arial" w:hAnsi="Arial" w:cs="Arial"/>
                <w:sz w:val="21"/>
                <w:szCs w:val="21"/>
                <w:lang w:val="en-GB"/>
              </w:rPr>
              <w:t>Gingivitis</w:t>
            </w:r>
            <w:r w:rsidRPr="00F05264">
              <w:rPr>
                <w:rFonts w:ascii="Arial" w:hAnsi="Arial" w:cs="Arial"/>
                <w:sz w:val="18"/>
                <w:szCs w:val="18"/>
                <w:lang w:val="en-GB"/>
              </w:rPr>
              <w:t>, %</w:t>
            </w:r>
          </w:p>
        </w:tc>
        <w:tc>
          <w:tcPr>
            <w:tcW w:w="4247" w:type="dxa"/>
            <w:tcBorders>
              <w:top w:val="single" w:sz="4" w:space="0" w:color="FFFFFF"/>
              <w:left w:val="single" w:sz="4" w:space="0" w:color="FFFFFF"/>
              <w:bottom w:val="single" w:sz="4" w:space="0" w:color="FFFFFF"/>
              <w:right w:val="single" w:sz="4" w:space="0" w:color="FFFFFF"/>
            </w:tcBorders>
          </w:tcPr>
          <w:p w14:paraId="5E8A418B" w14:textId="77777777" w:rsidR="00F845E6" w:rsidRPr="00F05264" w:rsidRDefault="00F845E6" w:rsidP="004D7FF5">
            <w:pPr>
              <w:spacing w:line="276" w:lineRule="auto"/>
              <w:jc w:val="center"/>
              <w:rPr>
                <w:rFonts w:ascii="Arial" w:hAnsi="Arial" w:cs="Arial"/>
                <w:sz w:val="21"/>
                <w:szCs w:val="21"/>
                <w:lang w:val="en-GB"/>
              </w:rPr>
            </w:pPr>
            <w:r w:rsidRPr="00F05264">
              <w:rPr>
                <w:rFonts w:ascii="Arial" w:hAnsi="Arial" w:cs="Arial"/>
                <w:sz w:val="21"/>
                <w:szCs w:val="21"/>
                <w:lang w:val="en-GB"/>
              </w:rPr>
              <w:t>4.35%</w:t>
            </w:r>
          </w:p>
        </w:tc>
      </w:tr>
      <w:tr w:rsidR="00F845E6" w:rsidRPr="00F05264" w14:paraId="15120CBD" w14:textId="77777777" w:rsidTr="004D7FF5">
        <w:tc>
          <w:tcPr>
            <w:tcW w:w="4247" w:type="dxa"/>
            <w:tcBorders>
              <w:top w:val="single" w:sz="4" w:space="0" w:color="FFFFFF"/>
              <w:left w:val="single" w:sz="4" w:space="0" w:color="FFFFFF"/>
              <w:right w:val="single" w:sz="4" w:space="0" w:color="FFFFFF"/>
            </w:tcBorders>
          </w:tcPr>
          <w:p w14:paraId="44FF9DFF" w14:textId="77777777" w:rsidR="00F845E6" w:rsidRPr="00F05264" w:rsidRDefault="00F845E6" w:rsidP="004D7FF5">
            <w:pPr>
              <w:spacing w:line="276" w:lineRule="auto"/>
              <w:rPr>
                <w:rFonts w:ascii="Arial" w:hAnsi="Arial" w:cs="Arial"/>
                <w:sz w:val="21"/>
                <w:szCs w:val="21"/>
                <w:lang w:val="en-GB"/>
              </w:rPr>
            </w:pPr>
            <w:r w:rsidRPr="00F05264">
              <w:rPr>
                <w:rFonts w:ascii="Arial" w:hAnsi="Arial" w:cs="Arial"/>
                <w:sz w:val="21"/>
                <w:szCs w:val="21"/>
                <w:lang w:val="en-GB"/>
              </w:rPr>
              <w:t>DMFT</w:t>
            </w:r>
          </w:p>
        </w:tc>
        <w:tc>
          <w:tcPr>
            <w:tcW w:w="4247" w:type="dxa"/>
            <w:tcBorders>
              <w:top w:val="single" w:sz="4" w:space="0" w:color="FFFFFF"/>
              <w:left w:val="single" w:sz="4" w:space="0" w:color="FFFFFF"/>
              <w:right w:val="single" w:sz="4" w:space="0" w:color="FFFFFF"/>
            </w:tcBorders>
          </w:tcPr>
          <w:p w14:paraId="1D5D083F" w14:textId="77777777" w:rsidR="00F845E6" w:rsidRPr="00F05264" w:rsidRDefault="00F845E6" w:rsidP="004D7FF5">
            <w:pPr>
              <w:spacing w:line="276" w:lineRule="auto"/>
              <w:jc w:val="center"/>
              <w:rPr>
                <w:rFonts w:ascii="Arial" w:hAnsi="Arial" w:cs="Arial"/>
                <w:sz w:val="21"/>
                <w:szCs w:val="21"/>
                <w:lang w:val="en-GB"/>
              </w:rPr>
            </w:pPr>
            <w:r w:rsidRPr="00F05264">
              <w:rPr>
                <w:rFonts w:ascii="Arial" w:hAnsi="Arial" w:cs="Arial"/>
                <w:sz w:val="21"/>
                <w:szCs w:val="21"/>
                <w:lang w:val="en-GB"/>
              </w:rPr>
              <w:t>2.60 ± 2.62</w:t>
            </w:r>
          </w:p>
        </w:tc>
      </w:tr>
    </w:tbl>
    <w:p w14:paraId="65E3FC58" w14:textId="77777777" w:rsidR="00F845E6" w:rsidRPr="00F05264" w:rsidRDefault="00F845E6" w:rsidP="00F845E6">
      <w:pPr>
        <w:rPr>
          <w:rFonts w:ascii="Arial" w:hAnsi="Arial" w:cs="Arial"/>
        </w:rPr>
      </w:pPr>
      <w:r w:rsidRPr="00F05264">
        <w:rPr>
          <w:rFonts w:ascii="Arial" w:hAnsi="Arial" w:cs="Arial"/>
          <w:sz w:val="18"/>
        </w:rPr>
        <w:t>Results are shown in prevalence (%) or as mean ± standard deviation (SD). DMFT: decayed, missing, and filled teeth index.</w:t>
      </w:r>
    </w:p>
    <w:p w14:paraId="13DBA85D" w14:textId="77777777" w:rsidR="00F845E6" w:rsidRDefault="00F845E6">
      <w:pPr>
        <w:rPr>
          <w:rFonts w:ascii="Arial" w:hAnsi="Arial" w:cs="Arial"/>
        </w:rPr>
      </w:pPr>
    </w:p>
    <w:p w14:paraId="76863C56" w14:textId="4910F51B" w:rsidR="00943DFF" w:rsidRPr="00F05264" w:rsidRDefault="00D05735">
      <w:pPr>
        <w:rPr>
          <w:rFonts w:ascii="Arial" w:hAnsi="Arial" w:cs="Arial"/>
        </w:rPr>
      </w:pPr>
      <w:r>
        <w:rPr>
          <w:rFonts w:ascii="Arial" w:hAnsi="Arial" w:cs="Arial"/>
          <w:sz w:val="20"/>
          <w:szCs w:val="20"/>
          <w:lang w:val="en-GB"/>
        </w:rPr>
        <w:t>Supplementary</w:t>
      </w:r>
      <w:r w:rsidRPr="00F05264">
        <w:rPr>
          <w:rFonts w:ascii="Arial" w:hAnsi="Arial" w:cs="Arial"/>
        </w:rPr>
        <w:t xml:space="preserve"> </w:t>
      </w:r>
      <w:r w:rsidR="00063442" w:rsidRPr="00F05264">
        <w:rPr>
          <w:rFonts w:ascii="Arial" w:hAnsi="Arial" w:cs="Arial"/>
        </w:rPr>
        <w:t xml:space="preserve">Table </w:t>
      </w:r>
      <w:r>
        <w:rPr>
          <w:rFonts w:ascii="Arial" w:hAnsi="Arial" w:cs="Arial"/>
        </w:rPr>
        <w:t>S</w:t>
      </w:r>
      <w:r w:rsidR="00C37400">
        <w:rPr>
          <w:rFonts w:ascii="Arial" w:hAnsi="Arial" w:cs="Arial"/>
        </w:rPr>
        <w:t>2</w:t>
      </w:r>
      <w:r w:rsidR="00063442" w:rsidRPr="00F05264">
        <w:rPr>
          <w:rFonts w:ascii="Arial" w:hAnsi="Arial" w:cs="Arial"/>
        </w:rPr>
        <w:t xml:space="preserve">: Distribution of </w:t>
      </w:r>
      <w:r w:rsidR="00063442" w:rsidRPr="00F05264">
        <w:rPr>
          <w:rFonts w:ascii="Arial" w:hAnsi="Arial" w:cs="Arial"/>
          <w:i/>
          <w:iCs/>
        </w:rPr>
        <w:t>Staphylococcus</w:t>
      </w:r>
      <w:r w:rsidR="00063442" w:rsidRPr="00F05264">
        <w:rPr>
          <w:rFonts w:ascii="Arial" w:hAnsi="Arial" w:cs="Arial"/>
        </w:rPr>
        <w:t xml:space="preserve"> species among isolates obtained from oral and nasal cavity samples.</w:t>
      </w:r>
    </w:p>
    <w:tbl>
      <w:tblPr>
        <w:tblW w:w="0" w:type="auto"/>
        <w:tblCellMar>
          <w:left w:w="70" w:type="dxa"/>
          <w:right w:w="70" w:type="dxa"/>
        </w:tblCellMar>
        <w:tblLook w:val="04A0" w:firstRow="1" w:lastRow="0" w:firstColumn="1" w:lastColumn="0" w:noHBand="0" w:noVBand="1"/>
      </w:tblPr>
      <w:tblGrid>
        <w:gridCol w:w="3250"/>
        <w:gridCol w:w="474"/>
        <w:gridCol w:w="794"/>
        <w:gridCol w:w="160"/>
        <w:gridCol w:w="474"/>
        <w:gridCol w:w="794"/>
        <w:gridCol w:w="160"/>
        <w:gridCol w:w="474"/>
        <w:gridCol w:w="794"/>
      </w:tblGrid>
      <w:tr w:rsidR="00BA376C" w:rsidRPr="00F05264" w14:paraId="3EF06409" w14:textId="77777777" w:rsidTr="00706E6F">
        <w:trPr>
          <w:trHeight w:val="320"/>
        </w:trPr>
        <w:tc>
          <w:tcPr>
            <w:tcW w:w="3250" w:type="dxa"/>
            <w:vMerge w:val="restart"/>
            <w:tcBorders>
              <w:top w:val="single" w:sz="4" w:space="0" w:color="auto"/>
              <w:left w:val="nil"/>
              <w:bottom w:val="double" w:sz="6" w:space="0" w:color="000000"/>
              <w:right w:val="nil"/>
            </w:tcBorders>
            <w:noWrap/>
            <w:vAlign w:val="center"/>
            <w:hideMark/>
          </w:tcPr>
          <w:p w14:paraId="4A1E9F13" w14:textId="77777777" w:rsidR="00BA376C" w:rsidRPr="00F05264" w:rsidRDefault="00BA376C" w:rsidP="009E50CF">
            <w:pPr>
              <w:rPr>
                <w:rFonts w:ascii="Arial" w:hAnsi="Arial" w:cs="Arial"/>
                <w:b/>
                <w:bCs/>
                <w:color w:val="000000"/>
                <w:lang w:val="en-GB"/>
              </w:rPr>
            </w:pPr>
            <w:r w:rsidRPr="00F05264">
              <w:rPr>
                <w:rFonts w:ascii="Arial" w:hAnsi="Arial" w:cs="Arial"/>
                <w:b/>
                <w:bCs/>
                <w:i/>
                <w:iCs/>
                <w:color w:val="000000"/>
                <w:lang w:val="en-GB"/>
              </w:rPr>
              <w:t>Staphylococcus</w:t>
            </w:r>
            <w:r w:rsidRPr="00F05264">
              <w:rPr>
                <w:rFonts w:ascii="Arial" w:hAnsi="Arial" w:cs="Arial"/>
                <w:b/>
                <w:bCs/>
                <w:color w:val="000000"/>
                <w:lang w:val="en-GB"/>
              </w:rPr>
              <w:t xml:space="preserve"> species</w:t>
            </w:r>
          </w:p>
        </w:tc>
        <w:tc>
          <w:tcPr>
            <w:tcW w:w="1267" w:type="dxa"/>
            <w:gridSpan w:val="2"/>
            <w:tcBorders>
              <w:top w:val="single" w:sz="4" w:space="0" w:color="auto"/>
              <w:left w:val="nil"/>
              <w:bottom w:val="single" w:sz="4" w:space="0" w:color="auto"/>
              <w:right w:val="nil"/>
            </w:tcBorders>
            <w:noWrap/>
            <w:vAlign w:val="center"/>
            <w:hideMark/>
          </w:tcPr>
          <w:p w14:paraId="13C96CD4" w14:textId="77777777" w:rsidR="00BA376C" w:rsidRPr="00F05264" w:rsidRDefault="00BA376C" w:rsidP="009E50CF">
            <w:pPr>
              <w:jc w:val="center"/>
              <w:rPr>
                <w:rFonts w:ascii="Arial" w:hAnsi="Arial" w:cs="Arial"/>
                <w:b/>
                <w:bCs/>
                <w:color w:val="000000"/>
                <w:lang w:val="en-GB"/>
              </w:rPr>
            </w:pPr>
            <w:r w:rsidRPr="00F05264">
              <w:rPr>
                <w:rFonts w:ascii="Arial" w:hAnsi="Arial" w:cs="Arial"/>
                <w:b/>
                <w:bCs/>
                <w:color w:val="000000"/>
                <w:lang w:val="en-GB"/>
              </w:rPr>
              <w:t>Total</w:t>
            </w:r>
          </w:p>
        </w:tc>
        <w:tc>
          <w:tcPr>
            <w:tcW w:w="160" w:type="dxa"/>
            <w:tcBorders>
              <w:top w:val="single" w:sz="4" w:space="0" w:color="auto"/>
              <w:left w:val="nil"/>
              <w:bottom w:val="single" w:sz="4" w:space="0" w:color="auto"/>
              <w:right w:val="nil"/>
            </w:tcBorders>
            <w:noWrap/>
            <w:vAlign w:val="center"/>
            <w:hideMark/>
          </w:tcPr>
          <w:p w14:paraId="3160BB16" w14:textId="77777777" w:rsidR="00BA376C" w:rsidRPr="00F05264" w:rsidRDefault="00BA376C" w:rsidP="009E50CF">
            <w:pPr>
              <w:jc w:val="center"/>
              <w:rPr>
                <w:rFonts w:ascii="Arial" w:hAnsi="Arial" w:cs="Arial"/>
                <w:b/>
                <w:bCs/>
                <w:color w:val="000000"/>
                <w:lang w:val="en-GB"/>
              </w:rPr>
            </w:pPr>
          </w:p>
        </w:tc>
        <w:tc>
          <w:tcPr>
            <w:tcW w:w="1156" w:type="dxa"/>
            <w:gridSpan w:val="2"/>
            <w:tcBorders>
              <w:top w:val="single" w:sz="4" w:space="0" w:color="auto"/>
              <w:left w:val="nil"/>
              <w:bottom w:val="single" w:sz="4" w:space="0" w:color="auto"/>
              <w:right w:val="nil"/>
            </w:tcBorders>
            <w:noWrap/>
            <w:vAlign w:val="center"/>
            <w:hideMark/>
          </w:tcPr>
          <w:p w14:paraId="66F60C10" w14:textId="77777777" w:rsidR="00BA376C" w:rsidRPr="00F05264" w:rsidRDefault="00BA376C" w:rsidP="009E50CF">
            <w:pPr>
              <w:jc w:val="center"/>
              <w:rPr>
                <w:rFonts w:ascii="Arial" w:hAnsi="Arial" w:cs="Arial"/>
                <w:b/>
                <w:bCs/>
                <w:color w:val="000000"/>
                <w:lang w:val="en-GB"/>
              </w:rPr>
            </w:pPr>
            <w:r w:rsidRPr="00F05264">
              <w:rPr>
                <w:rFonts w:ascii="Arial" w:hAnsi="Arial" w:cs="Arial"/>
                <w:b/>
                <w:bCs/>
                <w:color w:val="000000"/>
                <w:lang w:val="en-GB"/>
              </w:rPr>
              <w:t>Oral</w:t>
            </w:r>
          </w:p>
        </w:tc>
        <w:tc>
          <w:tcPr>
            <w:tcW w:w="160" w:type="dxa"/>
            <w:tcBorders>
              <w:top w:val="single" w:sz="4" w:space="0" w:color="auto"/>
              <w:left w:val="nil"/>
              <w:bottom w:val="single" w:sz="4" w:space="0" w:color="auto"/>
              <w:right w:val="nil"/>
            </w:tcBorders>
            <w:noWrap/>
            <w:vAlign w:val="center"/>
            <w:hideMark/>
          </w:tcPr>
          <w:p w14:paraId="0839B030" w14:textId="77777777" w:rsidR="00BA376C" w:rsidRPr="00F05264" w:rsidRDefault="00BA376C" w:rsidP="009E50CF">
            <w:pPr>
              <w:jc w:val="center"/>
              <w:rPr>
                <w:rFonts w:ascii="Arial" w:hAnsi="Arial" w:cs="Arial"/>
                <w:b/>
                <w:bCs/>
                <w:color w:val="000000"/>
                <w:lang w:val="en-GB"/>
              </w:rPr>
            </w:pPr>
          </w:p>
        </w:tc>
        <w:tc>
          <w:tcPr>
            <w:tcW w:w="1156" w:type="dxa"/>
            <w:gridSpan w:val="2"/>
            <w:tcBorders>
              <w:top w:val="single" w:sz="4" w:space="0" w:color="auto"/>
              <w:left w:val="nil"/>
              <w:bottom w:val="single" w:sz="4" w:space="0" w:color="auto"/>
              <w:right w:val="nil"/>
            </w:tcBorders>
            <w:noWrap/>
            <w:vAlign w:val="center"/>
            <w:hideMark/>
          </w:tcPr>
          <w:p w14:paraId="2828C3E8" w14:textId="77777777" w:rsidR="00BA376C" w:rsidRPr="00F05264" w:rsidRDefault="00BA376C" w:rsidP="009E50CF">
            <w:pPr>
              <w:jc w:val="center"/>
              <w:rPr>
                <w:rFonts w:ascii="Arial" w:hAnsi="Arial" w:cs="Arial"/>
                <w:b/>
                <w:bCs/>
                <w:color w:val="000000"/>
                <w:lang w:val="en-GB"/>
              </w:rPr>
            </w:pPr>
            <w:r w:rsidRPr="00F05264">
              <w:rPr>
                <w:rFonts w:ascii="Arial" w:hAnsi="Arial" w:cs="Arial"/>
                <w:b/>
                <w:bCs/>
                <w:color w:val="000000"/>
                <w:lang w:val="en-GB"/>
              </w:rPr>
              <w:t>Nasal</w:t>
            </w:r>
          </w:p>
        </w:tc>
      </w:tr>
      <w:tr w:rsidR="00BA376C" w:rsidRPr="00F05264" w14:paraId="0523966E" w14:textId="77777777" w:rsidTr="009E50CF">
        <w:trPr>
          <w:trHeight w:val="400"/>
        </w:trPr>
        <w:tc>
          <w:tcPr>
            <w:tcW w:w="3250" w:type="dxa"/>
            <w:vMerge/>
            <w:tcBorders>
              <w:top w:val="single" w:sz="4" w:space="0" w:color="auto"/>
              <w:left w:val="nil"/>
              <w:bottom w:val="double" w:sz="6" w:space="0" w:color="000000"/>
              <w:right w:val="nil"/>
            </w:tcBorders>
            <w:vAlign w:val="center"/>
            <w:hideMark/>
          </w:tcPr>
          <w:p w14:paraId="273A956C" w14:textId="77777777" w:rsidR="00BA376C" w:rsidRPr="00F05264" w:rsidRDefault="00BA376C" w:rsidP="009E50CF">
            <w:pPr>
              <w:rPr>
                <w:rFonts w:ascii="Arial" w:hAnsi="Arial" w:cs="Arial"/>
                <w:b/>
                <w:bCs/>
                <w:color w:val="000000"/>
                <w:lang w:val="en-GB"/>
              </w:rPr>
            </w:pPr>
          </w:p>
        </w:tc>
        <w:tc>
          <w:tcPr>
            <w:tcW w:w="473" w:type="dxa"/>
            <w:tcBorders>
              <w:top w:val="nil"/>
              <w:left w:val="nil"/>
              <w:bottom w:val="double" w:sz="6" w:space="0" w:color="auto"/>
              <w:right w:val="nil"/>
            </w:tcBorders>
            <w:noWrap/>
            <w:vAlign w:val="center"/>
            <w:hideMark/>
          </w:tcPr>
          <w:p w14:paraId="0D831625" w14:textId="77777777" w:rsidR="00BA376C" w:rsidRPr="00F05264" w:rsidRDefault="00BA376C" w:rsidP="009E50CF">
            <w:pPr>
              <w:jc w:val="center"/>
              <w:rPr>
                <w:rFonts w:ascii="Arial" w:hAnsi="Arial" w:cs="Arial"/>
                <w:b/>
                <w:bCs/>
                <w:color w:val="000000"/>
                <w:lang w:val="en-GB"/>
              </w:rPr>
            </w:pPr>
            <w:r w:rsidRPr="00F05264">
              <w:rPr>
                <w:rFonts w:ascii="Arial" w:hAnsi="Arial" w:cs="Arial"/>
                <w:b/>
                <w:bCs/>
                <w:color w:val="000000"/>
                <w:lang w:val="en-GB"/>
              </w:rPr>
              <w:t>n</w:t>
            </w:r>
          </w:p>
        </w:tc>
        <w:tc>
          <w:tcPr>
            <w:tcW w:w="794" w:type="dxa"/>
            <w:tcBorders>
              <w:top w:val="nil"/>
              <w:left w:val="nil"/>
              <w:bottom w:val="double" w:sz="6" w:space="0" w:color="auto"/>
              <w:right w:val="nil"/>
            </w:tcBorders>
            <w:noWrap/>
            <w:vAlign w:val="center"/>
            <w:hideMark/>
          </w:tcPr>
          <w:p w14:paraId="78F54EF9" w14:textId="77777777" w:rsidR="00BA376C" w:rsidRPr="00F05264" w:rsidRDefault="00BA376C" w:rsidP="009E50CF">
            <w:pPr>
              <w:jc w:val="center"/>
              <w:rPr>
                <w:rFonts w:ascii="Arial" w:hAnsi="Arial" w:cs="Arial"/>
                <w:b/>
                <w:bCs/>
                <w:color w:val="000000"/>
                <w:lang w:val="en-GB"/>
              </w:rPr>
            </w:pPr>
            <w:r w:rsidRPr="00F05264">
              <w:rPr>
                <w:rFonts w:ascii="Arial" w:hAnsi="Arial" w:cs="Arial"/>
                <w:b/>
                <w:bCs/>
                <w:color w:val="000000"/>
                <w:lang w:val="en-GB"/>
              </w:rPr>
              <w:t>%</w:t>
            </w:r>
          </w:p>
        </w:tc>
        <w:tc>
          <w:tcPr>
            <w:tcW w:w="160" w:type="dxa"/>
            <w:tcBorders>
              <w:top w:val="nil"/>
              <w:left w:val="nil"/>
              <w:bottom w:val="double" w:sz="6" w:space="0" w:color="auto"/>
              <w:right w:val="nil"/>
            </w:tcBorders>
            <w:noWrap/>
            <w:vAlign w:val="center"/>
            <w:hideMark/>
          </w:tcPr>
          <w:p w14:paraId="75E395DF" w14:textId="77777777" w:rsidR="00BA376C" w:rsidRPr="00F05264" w:rsidRDefault="00BA376C" w:rsidP="009E50CF">
            <w:pPr>
              <w:jc w:val="center"/>
              <w:rPr>
                <w:rFonts w:ascii="Arial" w:hAnsi="Arial" w:cs="Arial"/>
                <w:b/>
                <w:bCs/>
                <w:color w:val="000000"/>
                <w:lang w:val="en-GB"/>
              </w:rPr>
            </w:pPr>
          </w:p>
        </w:tc>
        <w:tc>
          <w:tcPr>
            <w:tcW w:w="362" w:type="dxa"/>
            <w:tcBorders>
              <w:top w:val="nil"/>
              <w:left w:val="nil"/>
              <w:bottom w:val="double" w:sz="6" w:space="0" w:color="auto"/>
              <w:right w:val="nil"/>
            </w:tcBorders>
            <w:noWrap/>
            <w:vAlign w:val="center"/>
            <w:hideMark/>
          </w:tcPr>
          <w:p w14:paraId="36F9901C" w14:textId="77777777" w:rsidR="00BA376C" w:rsidRPr="00F05264" w:rsidRDefault="00BA376C" w:rsidP="009E50CF">
            <w:pPr>
              <w:jc w:val="center"/>
              <w:rPr>
                <w:rFonts w:ascii="Arial" w:hAnsi="Arial" w:cs="Arial"/>
                <w:b/>
                <w:bCs/>
                <w:color w:val="000000"/>
                <w:lang w:val="en-GB"/>
              </w:rPr>
            </w:pPr>
            <w:r w:rsidRPr="00F05264">
              <w:rPr>
                <w:rFonts w:ascii="Arial" w:hAnsi="Arial" w:cs="Arial"/>
                <w:b/>
                <w:bCs/>
                <w:color w:val="000000"/>
                <w:lang w:val="en-GB"/>
              </w:rPr>
              <w:t>n</w:t>
            </w:r>
          </w:p>
        </w:tc>
        <w:tc>
          <w:tcPr>
            <w:tcW w:w="794" w:type="dxa"/>
            <w:tcBorders>
              <w:top w:val="nil"/>
              <w:left w:val="nil"/>
              <w:bottom w:val="double" w:sz="6" w:space="0" w:color="auto"/>
              <w:right w:val="nil"/>
            </w:tcBorders>
            <w:noWrap/>
            <w:vAlign w:val="center"/>
            <w:hideMark/>
          </w:tcPr>
          <w:p w14:paraId="1F1A6501" w14:textId="77777777" w:rsidR="00BA376C" w:rsidRPr="00F05264" w:rsidRDefault="00BA376C" w:rsidP="009E50CF">
            <w:pPr>
              <w:jc w:val="center"/>
              <w:rPr>
                <w:rFonts w:ascii="Arial" w:hAnsi="Arial" w:cs="Arial"/>
                <w:b/>
                <w:bCs/>
                <w:color w:val="000000"/>
                <w:lang w:val="en-GB"/>
              </w:rPr>
            </w:pPr>
            <w:r w:rsidRPr="00F05264">
              <w:rPr>
                <w:rFonts w:ascii="Arial" w:hAnsi="Arial" w:cs="Arial"/>
                <w:b/>
                <w:bCs/>
                <w:color w:val="000000"/>
                <w:lang w:val="en-GB"/>
              </w:rPr>
              <w:t>%</w:t>
            </w:r>
          </w:p>
        </w:tc>
        <w:tc>
          <w:tcPr>
            <w:tcW w:w="160" w:type="dxa"/>
            <w:tcBorders>
              <w:top w:val="nil"/>
              <w:left w:val="nil"/>
              <w:bottom w:val="double" w:sz="6" w:space="0" w:color="auto"/>
              <w:right w:val="nil"/>
            </w:tcBorders>
            <w:noWrap/>
            <w:vAlign w:val="center"/>
            <w:hideMark/>
          </w:tcPr>
          <w:p w14:paraId="52A1A13E" w14:textId="77777777" w:rsidR="00BA376C" w:rsidRPr="00F05264" w:rsidRDefault="00BA376C" w:rsidP="009E50CF">
            <w:pPr>
              <w:jc w:val="center"/>
              <w:rPr>
                <w:rFonts w:ascii="Arial" w:hAnsi="Arial" w:cs="Arial"/>
                <w:b/>
                <w:bCs/>
                <w:color w:val="000000"/>
                <w:lang w:val="en-GB"/>
              </w:rPr>
            </w:pPr>
          </w:p>
        </w:tc>
        <w:tc>
          <w:tcPr>
            <w:tcW w:w="362" w:type="dxa"/>
            <w:tcBorders>
              <w:top w:val="nil"/>
              <w:left w:val="nil"/>
              <w:bottom w:val="double" w:sz="6" w:space="0" w:color="auto"/>
              <w:right w:val="nil"/>
            </w:tcBorders>
            <w:noWrap/>
            <w:vAlign w:val="center"/>
            <w:hideMark/>
          </w:tcPr>
          <w:p w14:paraId="1DB3A51C" w14:textId="77777777" w:rsidR="00BA376C" w:rsidRPr="00F05264" w:rsidRDefault="00BA376C" w:rsidP="009E50CF">
            <w:pPr>
              <w:jc w:val="center"/>
              <w:rPr>
                <w:rFonts w:ascii="Arial" w:hAnsi="Arial" w:cs="Arial"/>
                <w:b/>
                <w:bCs/>
                <w:color w:val="000000"/>
                <w:lang w:val="en-GB"/>
              </w:rPr>
            </w:pPr>
            <w:r w:rsidRPr="00F05264">
              <w:rPr>
                <w:rFonts w:ascii="Arial" w:hAnsi="Arial" w:cs="Arial"/>
                <w:b/>
                <w:bCs/>
                <w:color w:val="000000"/>
                <w:lang w:val="en-GB"/>
              </w:rPr>
              <w:t>n</w:t>
            </w:r>
          </w:p>
        </w:tc>
        <w:tc>
          <w:tcPr>
            <w:tcW w:w="794" w:type="dxa"/>
            <w:tcBorders>
              <w:top w:val="nil"/>
              <w:left w:val="nil"/>
              <w:bottom w:val="double" w:sz="6" w:space="0" w:color="auto"/>
              <w:right w:val="nil"/>
            </w:tcBorders>
            <w:noWrap/>
            <w:vAlign w:val="center"/>
            <w:hideMark/>
          </w:tcPr>
          <w:p w14:paraId="0FD1F7FE" w14:textId="77777777" w:rsidR="00BA376C" w:rsidRPr="00F05264" w:rsidRDefault="00BA376C" w:rsidP="009E50CF">
            <w:pPr>
              <w:jc w:val="center"/>
              <w:rPr>
                <w:rFonts w:ascii="Arial" w:hAnsi="Arial" w:cs="Arial"/>
                <w:b/>
                <w:bCs/>
                <w:color w:val="000000"/>
                <w:lang w:val="en-GB"/>
              </w:rPr>
            </w:pPr>
            <w:r w:rsidRPr="00F05264">
              <w:rPr>
                <w:rFonts w:ascii="Arial" w:hAnsi="Arial" w:cs="Arial"/>
                <w:b/>
                <w:bCs/>
                <w:color w:val="000000"/>
                <w:lang w:val="en-GB"/>
              </w:rPr>
              <w:t>%</w:t>
            </w:r>
          </w:p>
        </w:tc>
      </w:tr>
      <w:tr w:rsidR="00BA376C" w:rsidRPr="00F05264" w14:paraId="0780600E" w14:textId="77777777" w:rsidTr="009E50CF">
        <w:trPr>
          <w:trHeight w:val="322"/>
        </w:trPr>
        <w:tc>
          <w:tcPr>
            <w:tcW w:w="3250" w:type="dxa"/>
            <w:tcBorders>
              <w:top w:val="nil"/>
              <w:left w:val="nil"/>
              <w:bottom w:val="nil"/>
              <w:right w:val="nil"/>
            </w:tcBorders>
            <w:noWrap/>
            <w:vAlign w:val="center"/>
          </w:tcPr>
          <w:p w14:paraId="414EB48E"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Total isolates</w:t>
            </w:r>
          </w:p>
        </w:tc>
        <w:tc>
          <w:tcPr>
            <w:tcW w:w="473" w:type="dxa"/>
            <w:tcBorders>
              <w:top w:val="nil"/>
              <w:left w:val="nil"/>
              <w:bottom w:val="nil"/>
              <w:right w:val="nil"/>
            </w:tcBorders>
            <w:noWrap/>
            <w:vAlign w:val="center"/>
          </w:tcPr>
          <w:p w14:paraId="03718714"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364</w:t>
            </w:r>
          </w:p>
        </w:tc>
        <w:tc>
          <w:tcPr>
            <w:tcW w:w="794" w:type="dxa"/>
            <w:tcBorders>
              <w:top w:val="nil"/>
              <w:left w:val="nil"/>
              <w:bottom w:val="nil"/>
              <w:right w:val="nil"/>
            </w:tcBorders>
            <w:noWrap/>
            <w:vAlign w:val="center"/>
          </w:tcPr>
          <w:p w14:paraId="3557B56D"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100%</w:t>
            </w:r>
          </w:p>
        </w:tc>
        <w:tc>
          <w:tcPr>
            <w:tcW w:w="160" w:type="dxa"/>
            <w:tcBorders>
              <w:top w:val="nil"/>
              <w:left w:val="nil"/>
              <w:bottom w:val="nil"/>
              <w:right w:val="nil"/>
            </w:tcBorders>
            <w:noWrap/>
            <w:vAlign w:val="center"/>
          </w:tcPr>
          <w:p w14:paraId="00D7E20E"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tcPr>
          <w:p w14:paraId="7507E330"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161</w:t>
            </w:r>
          </w:p>
        </w:tc>
        <w:tc>
          <w:tcPr>
            <w:tcW w:w="794" w:type="dxa"/>
            <w:tcBorders>
              <w:top w:val="nil"/>
              <w:left w:val="nil"/>
              <w:bottom w:val="nil"/>
              <w:right w:val="nil"/>
            </w:tcBorders>
            <w:noWrap/>
            <w:vAlign w:val="center"/>
          </w:tcPr>
          <w:p w14:paraId="4AA399CE"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100%</w:t>
            </w:r>
          </w:p>
        </w:tc>
        <w:tc>
          <w:tcPr>
            <w:tcW w:w="160" w:type="dxa"/>
            <w:tcBorders>
              <w:top w:val="nil"/>
              <w:left w:val="nil"/>
              <w:bottom w:val="nil"/>
              <w:right w:val="nil"/>
            </w:tcBorders>
            <w:noWrap/>
            <w:vAlign w:val="center"/>
          </w:tcPr>
          <w:p w14:paraId="01505253"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tcPr>
          <w:p w14:paraId="0172EF81"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203</w:t>
            </w:r>
          </w:p>
        </w:tc>
        <w:tc>
          <w:tcPr>
            <w:tcW w:w="794" w:type="dxa"/>
            <w:tcBorders>
              <w:top w:val="nil"/>
              <w:left w:val="nil"/>
              <w:bottom w:val="nil"/>
              <w:right w:val="nil"/>
            </w:tcBorders>
            <w:noWrap/>
            <w:vAlign w:val="center"/>
          </w:tcPr>
          <w:p w14:paraId="315AE7EE"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100%</w:t>
            </w:r>
          </w:p>
        </w:tc>
      </w:tr>
      <w:tr w:rsidR="00BA376C" w:rsidRPr="00F05264" w14:paraId="364F682E" w14:textId="77777777" w:rsidTr="009E50CF">
        <w:trPr>
          <w:trHeight w:val="322"/>
        </w:trPr>
        <w:tc>
          <w:tcPr>
            <w:tcW w:w="3250" w:type="dxa"/>
            <w:tcBorders>
              <w:top w:val="nil"/>
              <w:left w:val="nil"/>
              <w:bottom w:val="nil"/>
              <w:right w:val="nil"/>
            </w:tcBorders>
            <w:noWrap/>
            <w:vAlign w:val="center"/>
            <w:hideMark/>
          </w:tcPr>
          <w:p w14:paraId="62F1A1F5"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Staphylococcus aureus</w:t>
            </w:r>
          </w:p>
        </w:tc>
        <w:tc>
          <w:tcPr>
            <w:tcW w:w="473" w:type="dxa"/>
            <w:tcBorders>
              <w:top w:val="nil"/>
              <w:left w:val="nil"/>
              <w:bottom w:val="nil"/>
              <w:right w:val="nil"/>
            </w:tcBorders>
            <w:noWrap/>
            <w:vAlign w:val="center"/>
            <w:hideMark/>
          </w:tcPr>
          <w:p w14:paraId="6ADF2448"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51</w:t>
            </w:r>
          </w:p>
        </w:tc>
        <w:tc>
          <w:tcPr>
            <w:tcW w:w="794" w:type="dxa"/>
            <w:tcBorders>
              <w:top w:val="nil"/>
              <w:left w:val="nil"/>
              <w:bottom w:val="nil"/>
              <w:right w:val="nil"/>
            </w:tcBorders>
            <w:noWrap/>
            <w:vAlign w:val="center"/>
            <w:hideMark/>
          </w:tcPr>
          <w:p w14:paraId="0D7FD273"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14.0%</w:t>
            </w:r>
          </w:p>
        </w:tc>
        <w:tc>
          <w:tcPr>
            <w:tcW w:w="160" w:type="dxa"/>
            <w:tcBorders>
              <w:top w:val="nil"/>
              <w:left w:val="nil"/>
              <w:bottom w:val="nil"/>
              <w:right w:val="nil"/>
            </w:tcBorders>
            <w:noWrap/>
            <w:vAlign w:val="center"/>
            <w:hideMark/>
          </w:tcPr>
          <w:p w14:paraId="7BB935A7"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0B4C4A7F"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24</w:t>
            </w:r>
          </w:p>
        </w:tc>
        <w:tc>
          <w:tcPr>
            <w:tcW w:w="794" w:type="dxa"/>
            <w:tcBorders>
              <w:top w:val="nil"/>
              <w:left w:val="nil"/>
              <w:bottom w:val="nil"/>
              <w:right w:val="nil"/>
            </w:tcBorders>
            <w:noWrap/>
            <w:vAlign w:val="center"/>
            <w:hideMark/>
          </w:tcPr>
          <w:p w14:paraId="08D2A329"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14.9</w:t>
            </w:r>
          </w:p>
        </w:tc>
        <w:tc>
          <w:tcPr>
            <w:tcW w:w="160" w:type="dxa"/>
            <w:tcBorders>
              <w:top w:val="nil"/>
              <w:left w:val="nil"/>
              <w:bottom w:val="nil"/>
              <w:right w:val="nil"/>
            </w:tcBorders>
            <w:noWrap/>
            <w:vAlign w:val="center"/>
            <w:hideMark/>
          </w:tcPr>
          <w:p w14:paraId="13CA1824"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4B0CD20D"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27</w:t>
            </w:r>
          </w:p>
        </w:tc>
        <w:tc>
          <w:tcPr>
            <w:tcW w:w="794" w:type="dxa"/>
            <w:tcBorders>
              <w:top w:val="nil"/>
              <w:left w:val="nil"/>
              <w:bottom w:val="nil"/>
              <w:right w:val="nil"/>
            </w:tcBorders>
            <w:noWrap/>
            <w:vAlign w:val="center"/>
            <w:hideMark/>
          </w:tcPr>
          <w:p w14:paraId="45E326AC"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13.3%</w:t>
            </w:r>
          </w:p>
        </w:tc>
      </w:tr>
      <w:tr w:rsidR="00BA376C" w:rsidRPr="00F05264" w14:paraId="50C5D160" w14:textId="77777777" w:rsidTr="009E50CF">
        <w:trPr>
          <w:trHeight w:val="322"/>
        </w:trPr>
        <w:tc>
          <w:tcPr>
            <w:tcW w:w="3250" w:type="dxa"/>
            <w:tcBorders>
              <w:top w:val="nil"/>
              <w:left w:val="nil"/>
              <w:bottom w:val="nil"/>
              <w:right w:val="nil"/>
            </w:tcBorders>
            <w:noWrap/>
            <w:vAlign w:val="center"/>
            <w:hideMark/>
          </w:tcPr>
          <w:p w14:paraId="1F5C826E"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Staphylococcus capitis</w:t>
            </w:r>
          </w:p>
        </w:tc>
        <w:tc>
          <w:tcPr>
            <w:tcW w:w="473" w:type="dxa"/>
            <w:tcBorders>
              <w:top w:val="nil"/>
              <w:left w:val="nil"/>
              <w:bottom w:val="nil"/>
              <w:right w:val="nil"/>
            </w:tcBorders>
            <w:noWrap/>
            <w:vAlign w:val="center"/>
            <w:hideMark/>
          </w:tcPr>
          <w:p w14:paraId="3B048802"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29</w:t>
            </w:r>
          </w:p>
        </w:tc>
        <w:tc>
          <w:tcPr>
            <w:tcW w:w="794" w:type="dxa"/>
            <w:tcBorders>
              <w:top w:val="nil"/>
              <w:left w:val="nil"/>
              <w:bottom w:val="nil"/>
              <w:right w:val="nil"/>
            </w:tcBorders>
            <w:noWrap/>
            <w:vAlign w:val="center"/>
            <w:hideMark/>
          </w:tcPr>
          <w:p w14:paraId="37E28A98"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8.0%</w:t>
            </w:r>
          </w:p>
        </w:tc>
        <w:tc>
          <w:tcPr>
            <w:tcW w:w="160" w:type="dxa"/>
            <w:tcBorders>
              <w:top w:val="nil"/>
              <w:left w:val="nil"/>
              <w:bottom w:val="nil"/>
              <w:right w:val="nil"/>
            </w:tcBorders>
            <w:noWrap/>
            <w:vAlign w:val="center"/>
            <w:hideMark/>
          </w:tcPr>
          <w:p w14:paraId="08EBC935"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58929D84"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7</w:t>
            </w:r>
          </w:p>
        </w:tc>
        <w:tc>
          <w:tcPr>
            <w:tcW w:w="794" w:type="dxa"/>
            <w:tcBorders>
              <w:top w:val="nil"/>
              <w:left w:val="nil"/>
              <w:bottom w:val="nil"/>
              <w:right w:val="nil"/>
            </w:tcBorders>
            <w:noWrap/>
            <w:vAlign w:val="center"/>
            <w:hideMark/>
          </w:tcPr>
          <w:p w14:paraId="0BB1B1B0"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4.4%</w:t>
            </w:r>
          </w:p>
        </w:tc>
        <w:tc>
          <w:tcPr>
            <w:tcW w:w="160" w:type="dxa"/>
            <w:tcBorders>
              <w:top w:val="nil"/>
              <w:left w:val="nil"/>
              <w:bottom w:val="nil"/>
              <w:right w:val="nil"/>
            </w:tcBorders>
            <w:noWrap/>
            <w:vAlign w:val="center"/>
            <w:hideMark/>
          </w:tcPr>
          <w:p w14:paraId="3AFA7385"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352E9334"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22</w:t>
            </w:r>
          </w:p>
        </w:tc>
        <w:tc>
          <w:tcPr>
            <w:tcW w:w="794" w:type="dxa"/>
            <w:tcBorders>
              <w:top w:val="nil"/>
              <w:left w:val="nil"/>
              <w:bottom w:val="nil"/>
              <w:right w:val="nil"/>
            </w:tcBorders>
            <w:noWrap/>
            <w:vAlign w:val="center"/>
            <w:hideMark/>
          </w:tcPr>
          <w:p w14:paraId="56D1FC38"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10.8%</w:t>
            </w:r>
          </w:p>
        </w:tc>
      </w:tr>
      <w:tr w:rsidR="00BA376C" w:rsidRPr="00F05264" w14:paraId="14D735B5" w14:textId="77777777" w:rsidTr="009E50CF">
        <w:trPr>
          <w:trHeight w:val="322"/>
        </w:trPr>
        <w:tc>
          <w:tcPr>
            <w:tcW w:w="3250" w:type="dxa"/>
            <w:tcBorders>
              <w:top w:val="nil"/>
              <w:left w:val="nil"/>
              <w:bottom w:val="nil"/>
              <w:right w:val="nil"/>
            </w:tcBorders>
            <w:noWrap/>
            <w:vAlign w:val="center"/>
            <w:hideMark/>
          </w:tcPr>
          <w:p w14:paraId="4FFE3255"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 xml:space="preserve">Staphylococcus </w:t>
            </w:r>
            <w:proofErr w:type="spellStart"/>
            <w:r w:rsidRPr="00F05264">
              <w:rPr>
                <w:rFonts w:ascii="Arial" w:hAnsi="Arial" w:cs="Arial"/>
                <w:i/>
                <w:iCs/>
                <w:color w:val="000000"/>
                <w:sz w:val="20"/>
                <w:szCs w:val="20"/>
                <w:lang w:val="en-GB"/>
              </w:rPr>
              <w:t>cohnii</w:t>
            </w:r>
            <w:proofErr w:type="spellEnd"/>
          </w:p>
        </w:tc>
        <w:tc>
          <w:tcPr>
            <w:tcW w:w="473" w:type="dxa"/>
            <w:tcBorders>
              <w:top w:val="nil"/>
              <w:left w:val="nil"/>
              <w:bottom w:val="nil"/>
              <w:right w:val="nil"/>
            </w:tcBorders>
            <w:noWrap/>
            <w:vAlign w:val="center"/>
            <w:hideMark/>
          </w:tcPr>
          <w:p w14:paraId="65DDB447"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2</w:t>
            </w:r>
          </w:p>
        </w:tc>
        <w:tc>
          <w:tcPr>
            <w:tcW w:w="794" w:type="dxa"/>
            <w:tcBorders>
              <w:top w:val="nil"/>
              <w:left w:val="nil"/>
              <w:bottom w:val="nil"/>
              <w:right w:val="nil"/>
            </w:tcBorders>
            <w:noWrap/>
            <w:vAlign w:val="center"/>
            <w:hideMark/>
          </w:tcPr>
          <w:p w14:paraId="0559F9FD"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0.6%</w:t>
            </w:r>
          </w:p>
        </w:tc>
        <w:tc>
          <w:tcPr>
            <w:tcW w:w="160" w:type="dxa"/>
            <w:tcBorders>
              <w:top w:val="nil"/>
              <w:left w:val="nil"/>
              <w:bottom w:val="nil"/>
              <w:right w:val="nil"/>
            </w:tcBorders>
            <w:noWrap/>
            <w:vAlign w:val="center"/>
            <w:hideMark/>
          </w:tcPr>
          <w:p w14:paraId="67D80B7E"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663DBD88"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w:t>
            </w:r>
          </w:p>
        </w:tc>
        <w:tc>
          <w:tcPr>
            <w:tcW w:w="794" w:type="dxa"/>
            <w:tcBorders>
              <w:top w:val="nil"/>
              <w:left w:val="nil"/>
              <w:bottom w:val="nil"/>
              <w:right w:val="nil"/>
            </w:tcBorders>
            <w:noWrap/>
            <w:vAlign w:val="center"/>
            <w:hideMark/>
          </w:tcPr>
          <w:p w14:paraId="699D05A9"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0.6%</w:t>
            </w:r>
          </w:p>
        </w:tc>
        <w:tc>
          <w:tcPr>
            <w:tcW w:w="160" w:type="dxa"/>
            <w:tcBorders>
              <w:top w:val="nil"/>
              <w:left w:val="nil"/>
              <w:bottom w:val="nil"/>
              <w:right w:val="nil"/>
            </w:tcBorders>
            <w:noWrap/>
            <w:vAlign w:val="center"/>
            <w:hideMark/>
          </w:tcPr>
          <w:p w14:paraId="47EF1CE1"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3B33C093"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w:t>
            </w:r>
          </w:p>
        </w:tc>
        <w:tc>
          <w:tcPr>
            <w:tcW w:w="794" w:type="dxa"/>
            <w:tcBorders>
              <w:top w:val="nil"/>
              <w:left w:val="nil"/>
              <w:bottom w:val="nil"/>
              <w:right w:val="nil"/>
            </w:tcBorders>
            <w:noWrap/>
            <w:vAlign w:val="center"/>
            <w:hideMark/>
          </w:tcPr>
          <w:p w14:paraId="4B6FA344"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0.5%</w:t>
            </w:r>
          </w:p>
        </w:tc>
      </w:tr>
      <w:tr w:rsidR="00BA376C" w:rsidRPr="00F05264" w14:paraId="51FB2EE1" w14:textId="77777777" w:rsidTr="009E50CF">
        <w:trPr>
          <w:trHeight w:val="322"/>
        </w:trPr>
        <w:tc>
          <w:tcPr>
            <w:tcW w:w="3250" w:type="dxa"/>
            <w:tcBorders>
              <w:top w:val="nil"/>
              <w:left w:val="nil"/>
              <w:bottom w:val="nil"/>
              <w:right w:val="nil"/>
            </w:tcBorders>
            <w:noWrap/>
            <w:vAlign w:val="center"/>
            <w:hideMark/>
          </w:tcPr>
          <w:p w14:paraId="1F34179B"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Staphylococcus carnosus group</w:t>
            </w:r>
          </w:p>
        </w:tc>
        <w:tc>
          <w:tcPr>
            <w:tcW w:w="473" w:type="dxa"/>
            <w:tcBorders>
              <w:top w:val="nil"/>
              <w:left w:val="nil"/>
              <w:bottom w:val="nil"/>
              <w:right w:val="nil"/>
            </w:tcBorders>
            <w:noWrap/>
            <w:vAlign w:val="center"/>
            <w:hideMark/>
          </w:tcPr>
          <w:p w14:paraId="2C7A474A"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w:t>
            </w:r>
          </w:p>
        </w:tc>
        <w:tc>
          <w:tcPr>
            <w:tcW w:w="794" w:type="dxa"/>
            <w:tcBorders>
              <w:top w:val="nil"/>
              <w:left w:val="nil"/>
              <w:bottom w:val="nil"/>
              <w:right w:val="nil"/>
            </w:tcBorders>
            <w:noWrap/>
            <w:vAlign w:val="center"/>
            <w:hideMark/>
          </w:tcPr>
          <w:p w14:paraId="6A0D9B47"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0.3%</w:t>
            </w:r>
          </w:p>
        </w:tc>
        <w:tc>
          <w:tcPr>
            <w:tcW w:w="160" w:type="dxa"/>
            <w:tcBorders>
              <w:top w:val="nil"/>
              <w:left w:val="nil"/>
              <w:bottom w:val="nil"/>
              <w:right w:val="nil"/>
            </w:tcBorders>
            <w:noWrap/>
            <w:vAlign w:val="center"/>
            <w:hideMark/>
          </w:tcPr>
          <w:p w14:paraId="270AD1E1"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65226B78"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w:t>
            </w:r>
          </w:p>
        </w:tc>
        <w:tc>
          <w:tcPr>
            <w:tcW w:w="794" w:type="dxa"/>
            <w:tcBorders>
              <w:top w:val="nil"/>
              <w:left w:val="nil"/>
              <w:bottom w:val="nil"/>
              <w:right w:val="nil"/>
            </w:tcBorders>
            <w:noWrap/>
            <w:vAlign w:val="center"/>
            <w:hideMark/>
          </w:tcPr>
          <w:p w14:paraId="7481C66A"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0.6%</w:t>
            </w:r>
          </w:p>
        </w:tc>
        <w:tc>
          <w:tcPr>
            <w:tcW w:w="160" w:type="dxa"/>
            <w:tcBorders>
              <w:top w:val="nil"/>
              <w:left w:val="nil"/>
              <w:bottom w:val="nil"/>
              <w:right w:val="nil"/>
            </w:tcBorders>
            <w:noWrap/>
            <w:vAlign w:val="center"/>
            <w:hideMark/>
          </w:tcPr>
          <w:p w14:paraId="31A5B8F6"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3DB570C9"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w:t>
            </w:r>
          </w:p>
        </w:tc>
        <w:tc>
          <w:tcPr>
            <w:tcW w:w="794" w:type="dxa"/>
            <w:tcBorders>
              <w:top w:val="nil"/>
              <w:left w:val="nil"/>
              <w:bottom w:val="nil"/>
              <w:right w:val="nil"/>
            </w:tcBorders>
            <w:noWrap/>
            <w:vAlign w:val="center"/>
            <w:hideMark/>
          </w:tcPr>
          <w:p w14:paraId="74B4AA6E"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0.0%</w:t>
            </w:r>
          </w:p>
        </w:tc>
      </w:tr>
      <w:tr w:rsidR="00BA376C" w:rsidRPr="00F05264" w14:paraId="4E928749" w14:textId="77777777" w:rsidTr="009E50CF">
        <w:trPr>
          <w:trHeight w:val="322"/>
        </w:trPr>
        <w:tc>
          <w:tcPr>
            <w:tcW w:w="3250" w:type="dxa"/>
            <w:tcBorders>
              <w:top w:val="nil"/>
              <w:left w:val="nil"/>
              <w:bottom w:val="nil"/>
              <w:right w:val="nil"/>
            </w:tcBorders>
            <w:noWrap/>
            <w:vAlign w:val="center"/>
            <w:hideMark/>
          </w:tcPr>
          <w:p w14:paraId="2C423D63"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Staphylococcus epidermidis</w:t>
            </w:r>
          </w:p>
        </w:tc>
        <w:tc>
          <w:tcPr>
            <w:tcW w:w="473" w:type="dxa"/>
            <w:tcBorders>
              <w:top w:val="nil"/>
              <w:left w:val="nil"/>
              <w:bottom w:val="nil"/>
              <w:right w:val="nil"/>
            </w:tcBorders>
            <w:noWrap/>
            <w:vAlign w:val="center"/>
            <w:hideMark/>
          </w:tcPr>
          <w:p w14:paraId="0439DC08"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171</w:t>
            </w:r>
          </w:p>
        </w:tc>
        <w:tc>
          <w:tcPr>
            <w:tcW w:w="794" w:type="dxa"/>
            <w:tcBorders>
              <w:top w:val="nil"/>
              <w:left w:val="nil"/>
              <w:bottom w:val="nil"/>
              <w:right w:val="nil"/>
            </w:tcBorders>
            <w:noWrap/>
            <w:vAlign w:val="center"/>
            <w:hideMark/>
          </w:tcPr>
          <w:p w14:paraId="3ABAC2F3"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47.0%</w:t>
            </w:r>
          </w:p>
        </w:tc>
        <w:tc>
          <w:tcPr>
            <w:tcW w:w="160" w:type="dxa"/>
            <w:tcBorders>
              <w:top w:val="nil"/>
              <w:left w:val="nil"/>
              <w:bottom w:val="nil"/>
              <w:right w:val="nil"/>
            </w:tcBorders>
            <w:noWrap/>
            <w:vAlign w:val="center"/>
            <w:hideMark/>
          </w:tcPr>
          <w:p w14:paraId="29D5A5EB"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044AE059"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80</w:t>
            </w:r>
          </w:p>
        </w:tc>
        <w:tc>
          <w:tcPr>
            <w:tcW w:w="794" w:type="dxa"/>
            <w:tcBorders>
              <w:top w:val="nil"/>
              <w:left w:val="nil"/>
              <w:bottom w:val="nil"/>
              <w:right w:val="nil"/>
            </w:tcBorders>
            <w:noWrap/>
            <w:vAlign w:val="center"/>
            <w:hideMark/>
          </w:tcPr>
          <w:p w14:paraId="478D5DBF"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49.7%</w:t>
            </w:r>
          </w:p>
        </w:tc>
        <w:tc>
          <w:tcPr>
            <w:tcW w:w="160" w:type="dxa"/>
            <w:tcBorders>
              <w:top w:val="nil"/>
              <w:left w:val="nil"/>
              <w:bottom w:val="nil"/>
              <w:right w:val="nil"/>
            </w:tcBorders>
            <w:noWrap/>
            <w:vAlign w:val="center"/>
            <w:hideMark/>
          </w:tcPr>
          <w:p w14:paraId="155230B2"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0D22DB02"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91</w:t>
            </w:r>
          </w:p>
        </w:tc>
        <w:tc>
          <w:tcPr>
            <w:tcW w:w="794" w:type="dxa"/>
            <w:tcBorders>
              <w:top w:val="nil"/>
              <w:left w:val="nil"/>
              <w:bottom w:val="nil"/>
              <w:right w:val="nil"/>
            </w:tcBorders>
            <w:noWrap/>
            <w:vAlign w:val="center"/>
            <w:hideMark/>
          </w:tcPr>
          <w:p w14:paraId="0D389400"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44.8%</w:t>
            </w:r>
          </w:p>
        </w:tc>
      </w:tr>
      <w:tr w:rsidR="00BA376C" w:rsidRPr="00F05264" w14:paraId="13E1762D" w14:textId="77777777" w:rsidTr="009E50CF">
        <w:trPr>
          <w:trHeight w:val="322"/>
        </w:trPr>
        <w:tc>
          <w:tcPr>
            <w:tcW w:w="3250" w:type="dxa"/>
            <w:tcBorders>
              <w:top w:val="nil"/>
              <w:left w:val="nil"/>
              <w:bottom w:val="nil"/>
              <w:right w:val="nil"/>
            </w:tcBorders>
            <w:noWrap/>
            <w:vAlign w:val="center"/>
            <w:hideMark/>
          </w:tcPr>
          <w:p w14:paraId="665CD9B4"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 xml:space="preserve">Staphylococcus </w:t>
            </w:r>
            <w:proofErr w:type="spellStart"/>
            <w:r w:rsidRPr="00F05264">
              <w:rPr>
                <w:rFonts w:ascii="Arial" w:hAnsi="Arial" w:cs="Arial"/>
                <w:i/>
                <w:iCs/>
                <w:color w:val="000000"/>
                <w:sz w:val="20"/>
                <w:szCs w:val="20"/>
                <w:lang w:val="en-GB"/>
              </w:rPr>
              <w:t>haemolyticus</w:t>
            </w:r>
            <w:proofErr w:type="spellEnd"/>
          </w:p>
        </w:tc>
        <w:tc>
          <w:tcPr>
            <w:tcW w:w="473" w:type="dxa"/>
            <w:tcBorders>
              <w:top w:val="nil"/>
              <w:left w:val="nil"/>
              <w:bottom w:val="nil"/>
              <w:right w:val="nil"/>
            </w:tcBorders>
            <w:noWrap/>
            <w:vAlign w:val="center"/>
            <w:hideMark/>
          </w:tcPr>
          <w:p w14:paraId="1318B499"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6</w:t>
            </w:r>
          </w:p>
        </w:tc>
        <w:tc>
          <w:tcPr>
            <w:tcW w:w="794" w:type="dxa"/>
            <w:tcBorders>
              <w:top w:val="nil"/>
              <w:left w:val="nil"/>
              <w:bottom w:val="nil"/>
              <w:right w:val="nil"/>
            </w:tcBorders>
            <w:noWrap/>
            <w:vAlign w:val="center"/>
            <w:hideMark/>
          </w:tcPr>
          <w:p w14:paraId="35D4FBC5"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1.7%</w:t>
            </w:r>
          </w:p>
        </w:tc>
        <w:tc>
          <w:tcPr>
            <w:tcW w:w="160" w:type="dxa"/>
            <w:tcBorders>
              <w:top w:val="nil"/>
              <w:left w:val="nil"/>
              <w:bottom w:val="nil"/>
              <w:right w:val="nil"/>
            </w:tcBorders>
            <w:noWrap/>
            <w:vAlign w:val="center"/>
            <w:hideMark/>
          </w:tcPr>
          <w:p w14:paraId="46CB7228"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05E74E36"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3</w:t>
            </w:r>
          </w:p>
        </w:tc>
        <w:tc>
          <w:tcPr>
            <w:tcW w:w="794" w:type="dxa"/>
            <w:tcBorders>
              <w:top w:val="nil"/>
              <w:left w:val="nil"/>
              <w:bottom w:val="nil"/>
              <w:right w:val="nil"/>
            </w:tcBorders>
            <w:noWrap/>
            <w:vAlign w:val="center"/>
            <w:hideMark/>
          </w:tcPr>
          <w:p w14:paraId="15B033C1"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1.7%</w:t>
            </w:r>
          </w:p>
        </w:tc>
        <w:tc>
          <w:tcPr>
            <w:tcW w:w="160" w:type="dxa"/>
            <w:tcBorders>
              <w:top w:val="nil"/>
              <w:left w:val="nil"/>
              <w:bottom w:val="nil"/>
              <w:right w:val="nil"/>
            </w:tcBorders>
            <w:noWrap/>
            <w:vAlign w:val="center"/>
            <w:hideMark/>
          </w:tcPr>
          <w:p w14:paraId="23BE2731"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50F23F7E"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3</w:t>
            </w:r>
          </w:p>
        </w:tc>
        <w:tc>
          <w:tcPr>
            <w:tcW w:w="794" w:type="dxa"/>
            <w:tcBorders>
              <w:top w:val="nil"/>
              <w:left w:val="nil"/>
              <w:bottom w:val="nil"/>
              <w:right w:val="nil"/>
            </w:tcBorders>
            <w:noWrap/>
            <w:vAlign w:val="center"/>
            <w:hideMark/>
          </w:tcPr>
          <w:p w14:paraId="787AA38E"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1.5%</w:t>
            </w:r>
          </w:p>
        </w:tc>
      </w:tr>
      <w:tr w:rsidR="00BA376C" w:rsidRPr="00F05264" w14:paraId="1C6DCE24" w14:textId="77777777" w:rsidTr="009E50CF">
        <w:trPr>
          <w:trHeight w:val="322"/>
        </w:trPr>
        <w:tc>
          <w:tcPr>
            <w:tcW w:w="3250" w:type="dxa"/>
            <w:tcBorders>
              <w:top w:val="nil"/>
              <w:left w:val="nil"/>
              <w:bottom w:val="nil"/>
              <w:right w:val="nil"/>
            </w:tcBorders>
            <w:noWrap/>
            <w:vAlign w:val="center"/>
            <w:hideMark/>
          </w:tcPr>
          <w:p w14:paraId="4B7F4BED"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Staphylococcus hominis</w:t>
            </w:r>
          </w:p>
        </w:tc>
        <w:tc>
          <w:tcPr>
            <w:tcW w:w="473" w:type="dxa"/>
            <w:tcBorders>
              <w:top w:val="nil"/>
              <w:left w:val="nil"/>
              <w:bottom w:val="nil"/>
              <w:right w:val="nil"/>
            </w:tcBorders>
            <w:noWrap/>
            <w:vAlign w:val="center"/>
            <w:hideMark/>
          </w:tcPr>
          <w:p w14:paraId="6D90AA0C"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6</w:t>
            </w:r>
          </w:p>
        </w:tc>
        <w:tc>
          <w:tcPr>
            <w:tcW w:w="794" w:type="dxa"/>
            <w:tcBorders>
              <w:top w:val="nil"/>
              <w:left w:val="nil"/>
              <w:bottom w:val="nil"/>
              <w:right w:val="nil"/>
            </w:tcBorders>
            <w:noWrap/>
            <w:vAlign w:val="center"/>
            <w:hideMark/>
          </w:tcPr>
          <w:p w14:paraId="61D87E3A"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1.7%</w:t>
            </w:r>
          </w:p>
        </w:tc>
        <w:tc>
          <w:tcPr>
            <w:tcW w:w="160" w:type="dxa"/>
            <w:tcBorders>
              <w:top w:val="nil"/>
              <w:left w:val="nil"/>
              <w:bottom w:val="nil"/>
              <w:right w:val="nil"/>
            </w:tcBorders>
            <w:noWrap/>
            <w:vAlign w:val="center"/>
            <w:hideMark/>
          </w:tcPr>
          <w:p w14:paraId="496F5841"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4F997FA4"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2</w:t>
            </w:r>
          </w:p>
        </w:tc>
        <w:tc>
          <w:tcPr>
            <w:tcW w:w="794" w:type="dxa"/>
            <w:tcBorders>
              <w:top w:val="nil"/>
              <w:left w:val="nil"/>
              <w:bottom w:val="nil"/>
              <w:right w:val="nil"/>
            </w:tcBorders>
            <w:noWrap/>
            <w:vAlign w:val="center"/>
            <w:hideMark/>
          </w:tcPr>
          <w:p w14:paraId="4EC2A21A"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1.2%</w:t>
            </w:r>
          </w:p>
        </w:tc>
        <w:tc>
          <w:tcPr>
            <w:tcW w:w="160" w:type="dxa"/>
            <w:tcBorders>
              <w:top w:val="nil"/>
              <w:left w:val="nil"/>
              <w:bottom w:val="nil"/>
              <w:right w:val="nil"/>
            </w:tcBorders>
            <w:noWrap/>
            <w:vAlign w:val="center"/>
            <w:hideMark/>
          </w:tcPr>
          <w:p w14:paraId="1BD18C06"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50F58E15"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4</w:t>
            </w:r>
          </w:p>
        </w:tc>
        <w:tc>
          <w:tcPr>
            <w:tcW w:w="794" w:type="dxa"/>
            <w:tcBorders>
              <w:top w:val="nil"/>
              <w:left w:val="nil"/>
              <w:bottom w:val="nil"/>
              <w:right w:val="nil"/>
            </w:tcBorders>
            <w:noWrap/>
            <w:vAlign w:val="center"/>
            <w:hideMark/>
          </w:tcPr>
          <w:p w14:paraId="7758958A"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2.0%</w:t>
            </w:r>
          </w:p>
        </w:tc>
      </w:tr>
      <w:tr w:rsidR="00BA376C" w:rsidRPr="00F05264" w14:paraId="0AA4ABCA" w14:textId="77777777" w:rsidTr="009E50CF">
        <w:trPr>
          <w:trHeight w:val="322"/>
        </w:trPr>
        <w:tc>
          <w:tcPr>
            <w:tcW w:w="3250" w:type="dxa"/>
            <w:tcBorders>
              <w:top w:val="nil"/>
              <w:left w:val="nil"/>
              <w:bottom w:val="nil"/>
              <w:right w:val="nil"/>
            </w:tcBorders>
            <w:noWrap/>
            <w:vAlign w:val="center"/>
            <w:hideMark/>
          </w:tcPr>
          <w:p w14:paraId="3B89EA0F"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 xml:space="preserve">Staphylococcus </w:t>
            </w:r>
            <w:proofErr w:type="spellStart"/>
            <w:r w:rsidRPr="00F05264">
              <w:rPr>
                <w:rFonts w:ascii="Arial" w:hAnsi="Arial" w:cs="Arial"/>
                <w:i/>
                <w:iCs/>
                <w:color w:val="000000"/>
                <w:sz w:val="20"/>
                <w:szCs w:val="20"/>
                <w:lang w:val="en-GB"/>
              </w:rPr>
              <w:t>lugdunensis</w:t>
            </w:r>
            <w:proofErr w:type="spellEnd"/>
          </w:p>
        </w:tc>
        <w:tc>
          <w:tcPr>
            <w:tcW w:w="473" w:type="dxa"/>
            <w:tcBorders>
              <w:top w:val="nil"/>
              <w:left w:val="nil"/>
              <w:bottom w:val="nil"/>
              <w:right w:val="nil"/>
            </w:tcBorders>
            <w:noWrap/>
            <w:vAlign w:val="center"/>
            <w:hideMark/>
          </w:tcPr>
          <w:p w14:paraId="34E51705"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6</w:t>
            </w:r>
          </w:p>
        </w:tc>
        <w:tc>
          <w:tcPr>
            <w:tcW w:w="794" w:type="dxa"/>
            <w:tcBorders>
              <w:top w:val="nil"/>
              <w:left w:val="nil"/>
              <w:bottom w:val="nil"/>
              <w:right w:val="nil"/>
            </w:tcBorders>
            <w:noWrap/>
            <w:vAlign w:val="center"/>
            <w:hideMark/>
          </w:tcPr>
          <w:p w14:paraId="53B0DEED"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1.7%</w:t>
            </w:r>
          </w:p>
        </w:tc>
        <w:tc>
          <w:tcPr>
            <w:tcW w:w="160" w:type="dxa"/>
            <w:tcBorders>
              <w:top w:val="nil"/>
              <w:left w:val="nil"/>
              <w:bottom w:val="nil"/>
              <w:right w:val="nil"/>
            </w:tcBorders>
            <w:noWrap/>
            <w:vAlign w:val="center"/>
            <w:hideMark/>
          </w:tcPr>
          <w:p w14:paraId="43650835"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15F8B87E"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2</w:t>
            </w:r>
          </w:p>
        </w:tc>
        <w:tc>
          <w:tcPr>
            <w:tcW w:w="794" w:type="dxa"/>
            <w:tcBorders>
              <w:top w:val="nil"/>
              <w:left w:val="nil"/>
              <w:bottom w:val="nil"/>
              <w:right w:val="nil"/>
            </w:tcBorders>
            <w:noWrap/>
            <w:vAlign w:val="center"/>
            <w:hideMark/>
          </w:tcPr>
          <w:p w14:paraId="01CA6815"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1.2%</w:t>
            </w:r>
          </w:p>
        </w:tc>
        <w:tc>
          <w:tcPr>
            <w:tcW w:w="160" w:type="dxa"/>
            <w:tcBorders>
              <w:top w:val="nil"/>
              <w:left w:val="nil"/>
              <w:bottom w:val="nil"/>
              <w:right w:val="nil"/>
            </w:tcBorders>
            <w:noWrap/>
            <w:vAlign w:val="center"/>
            <w:hideMark/>
          </w:tcPr>
          <w:p w14:paraId="4D07AAD8"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3A3209AC"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4</w:t>
            </w:r>
          </w:p>
        </w:tc>
        <w:tc>
          <w:tcPr>
            <w:tcW w:w="794" w:type="dxa"/>
            <w:tcBorders>
              <w:top w:val="nil"/>
              <w:left w:val="nil"/>
              <w:bottom w:val="nil"/>
              <w:right w:val="nil"/>
            </w:tcBorders>
            <w:noWrap/>
            <w:vAlign w:val="center"/>
            <w:hideMark/>
          </w:tcPr>
          <w:p w14:paraId="2CA9D6DD"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2.0%</w:t>
            </w:r>
          </w:p>
        </w:tc>
      </w:tr>
      <w:tr w:rsidR="00BA376C" w:rsidRPr="00F05264" w14:paraId="7464631C" w14:textId="77777777" w:rsidTr="009E50CF">
        <w:trPr>
          <w:trHeight w:val="322"/>
        </w:trPr>
        <w:tc>
          <w:tcPr>
            <w:tcW w:w="3250" w:type="dxa"/>
            <w:tcBorders>
              <w:top w:val="nil"/>
              <w:left w:val="nil"/>
              <w:bottom w:val="nil"/>
              <w:right w:val="nil"/>
            </w:tcBorders>
            <w:noWrap/>
            <w:vAlign w:val="center"/>
            <w:hideMark/>
          </w:tcPr>
          <w:p w14:paraId="6A5F0D24"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 xml:space="preserve">Staphylococcus </w:t>
            </w:r>
            <w:proofErr w:type="spellStart"/>
            <w:r w:rsidRPr="00F05264">
              <w:rPr>
                <w:rFonts w:ascii="Arial" w:hAnsi="Arial" w:cs="Arial"/>
                <w:i/>
                <w:iCs/>
                <w:color w:val="000000"/>
                <w:sz w:val="20"/>
                <w:szCs w:val="20"/>
                <w:lang w:val="en-GB"/>
              </w:rPr>
              <w:t>pasteuri</w:t>
            </w:r>
            <w:proofErr w:type="spellEnd"/>
          </w:p>
        </w:tc>
        <w:tc>
          <w:tcPr>
            <w:tcW w:w="473" w:type="dxa"/>
            <w:tcBorders>
              <w:top w:val="nil"/>
              <w:left w:val="nil"/>
              <w:bottom w:val="nil"/>
              <w:right w:val="nil"/>
            </w:tcBorders>
            <w:noWrap/>
            <w:vAlign w:val="center"/>
            <w:hideMark/>
          </w:tcPr>
          <w:p w14:paraId="5B881716"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15</w:t>
            </w:r>
          </w:p>
        </w:tc>
        <w:tc>
          <w:tcPr>
            <w:tcW w:w="794" w:type="dxa"/>
            <w:tcBorders>
              <w:top w:val="nil"/>
              <w:left w:val="nil"/>
              <w:bottom w:val="nil"/>
              <w:right w:val="nil"/>
            </w:tcBorders>
            <w:noWrap/>
            <w:vAlign w:val="center"/>
            <w:hideMark/>
          </w:tcPr>
          <w:p w14:paraId="0EEA8E3F"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4.1%</w:t>
            </w:r>
          </w:p>
        </w:tc>
        <w:tc>
          <w:tcPr>
            <w:tcW w:w="160" w:type="dxa"/>
            <w:tcBorders>
              <w:top w:val="nil"/>
              <w:left w:val="nil"/>
              <w:bottom w:val="nil"/>
              <w:right w:val="nil"/>
            </w:tcBorders>
            <w:noWrap/>
            <w:vAlign w:val="center"/>
            <w:hideMark/>
          </w:tcPr>
          <w:p w14:paraId="575FC5E6"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1037FF8B"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11</w:t>
            </w:r>
          </w:p>
        </w:tc>
        <w:tc>
          <w:tcPr>
            <w:tcW w:w="794" w:type="dxa"/>
            <w:tcBorders>
              <w:top w:val="nil"/>
              <w:left w:val="nil"/>
              <w:bottom w:val="nil"/>
              <w:right w:val="nil"/>
            </w:tcBorders>
            <w:noWrap/>
            <w:vAlign w:val="center"/>
            <w:hideMark/>
          </w:tcPr>
          <w:p w14:paraId="4F533C0E"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6.8%</w:t>
            </w:r>
          </w:p>
        </w:tc>
        <w:tc>
          <w:tcPr>
            <w:tcW w:w="160" w:type="dxa"/>
            <w:tcBorders>
              <w:top w:val="nil"/>
              <w:left w:val="nil"/>
              <w:bottom w:val="nil"/>
              <w:right w:val="nil"/>
            </w:tcBorders>
            <w:noWrap/>
            <w:vAlign w:val="center"/>
            <w:hideMark/>
          </w:tcPr>
          <w:p w14:paraId="4733C6A4"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28586E73"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4</w:t>
            </w:r>
          </w:p>
        </w:tc>
        <w:tc>
          <w:tcPr>
            <w:tcW w:w="794" w:type="dxa"/>
            <w:tcBorders>
              <w:top w:val="nil"/>
              <w:left w:val="nil"/>
              <w:bottom w:val="nil"/>
              <w:right w:val="nil"/>
            </w:tcBorders>
            <w:noWrap/>
            <w:vAlign w:val="center"/>
            <w:hideMark/>
          </w:tcPr>
          <w:p w14:paraId="639208B1"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2.0%</w:t>
            </w:r>
          </w:p>
        </w:tc>
      </w:tr>
      <w:tr w:rsidR="00BA376C" w:rsidRPr="00F05264" w14:paraId="7BD437CF" w14:textId="77777777" w:rsidTr="009E50CF">
        <w:trPr>
          <w:trHeight w:val="322"/>
        </w:trPr>
        <w:tc>
          <w:tcPr>
            <w:tcW w:w="3250" w:type="dxa"/>
            <w:tcBorders>
              <w:top w:val="nil"/>
              <w:left w:val="nil"/>
              <w:bottom w:val="nil"/>
              <w:right w:val="nil"/>
            </w:tcBorders>
            <w:noWrap/>
            <w:vAlign w:val="center"/>
            <w:hideMark/>
          </w:tcPr>
          <w:p w14:paraId="4A3B3031"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 xml:space="preserve">Staphylococcus </w:t>
            </w:r>
            <w:proofErr w:type="spellStart"/>
            <w:r w:rsidRPr="00F05264">
              <w:rPr>
                <w:rFonts w:ascii="Arial" w:hAnsi="Arial" w:cs="Arial"/>
                <w:i/>
                <w:iCs/>
                <w:color w:val="000000"/>
                <w:sz w:val="20"/>
                <w:szCs w:val="20"/>
                <w:lang w:val="en-GB"/>
              </w:rPr>
              <w:t>pettenkoferi</w:t>
            </w:r>
            <w:proofErr w:type="spellEnd"/>
          </w:p>
        </w:tc>
        <w:tc>
          <w:tcPr>
            <w:tcW w:w="473" w:type="dxa"/>
            <w:tcBorders>
              <w:top w:val="nil"/>
              <w:left w:val="nil"/>
              <w:bottom w:val="nil"/>
              <w:right w:val="nil"/>
            </w:tcBorders>
            <w:noWrap/>
            <w:vAlign w:val="center"/>
            <w:hideMark/>
          </w:tcPr>
          <w:p w14:paraId="5BB4ADC7"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2</w:t>
            </w:r>
          </w:p>
        </w:tc>
        <w:tc>
          <w:tcPr>
            <w:tcW w:w="794" w:type="dxa"/>
            <w:tcBorders>
              <w:top w:val="nil"/>
              <w:left w:val="nil"/>
              <w:bottom w:val="nil"/>
              <w:right w:val="nil"/>
            </w:tcBorders>
            <w:noWrap/>
            <w:vAlign w:val="center"/>
            <w:hideMark/>
          </w:tcPr>
          <w:p w14:paraId="3D7B8D4D"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0.6%</w:t>
            </w:r>
          </w:p>
        </w:tc>
        <w:tc>
          <w:tcPr>
            <w:tcW w:w="160" w:type="dxa"/>
            <w:tcBorders>
              <w:top w:val="nil"/>
              <w:left w:val="nil"/>
              <w:bottom w:val="nil"/>
              <w:right w:val="nil"/>
            </w:tcBorders>
            <w:noWrap/>
            <w:vAlign w:val="center"/>
            <w:hideMark/>
          </w:tcPr>
          <w:p w14:paraId="47E88CED"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3F7344A7"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2</w:t>
            </w:r>
          </w:p>
        </w:tc>
        <w:tc>
          <w:tcPr>
            <w:tcW w:w="794" w:type="dxa"/>
            <w:tcBorders>
              <w:top w:val="nil"/>
              <w:left w:val="nil"/>
              <w:bottom w:val="nil"/>
              <w:right w:val="nil"/>
            </w:tcBorders>
            <w:noWrap/>
            <w:vAlign w:val="center"/>
            <w:hideMark/>
          </w:tcPr>
          <w:p w14:paraId="441D8B5E"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1.2%</w:t>
            </w:r>
          </w:p>
        </w:tc>
        <w:tc>
          <w:tcPr>
            <w:tcW w:w="160" w:type="dxa"/>
            <w:tcBorders>
              <w:top w:val="nil"/>
              <w:left w:val="nil"/>
              <w:bottom w:val="nil"/>
              <w:right w:val="nil"/>
            </w:tcBorders>
            <w:noWrap/>
            <w:vAlign w:val="center"/>
            <w:hideMark/>
          </w:tcPr>
          <w:p w14:paraId="3C7860AD"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7121AA48"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w:t>
            </w:r>
          </w:p>
        </w:tc>
        <w:tc>
          <w:tcPr>
            <w:tcW w:w="794" w:type="dxa"/>
            <w:tcBorders>
              <w:top w:val="nil"/>
              <w:left w:val="nil"/>
              <w:bottom w:val="nil"/>
              <w:right w:val="nil"/>
            </w:tcBorders>
            <w:noWrap/>
            <w:vAlign w:val="center"/>
            <w:hideMark/>
          </w:tcPr>
          <w:p w14:paraId="338E7967"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0.0%</w:t>
            </w:r>
          </w:p>
        </w:tc>
      </w:tr>
      <w:tr w:rsidR="00BA376C" w:rsidRPr="00F05264" w14:paraId="17BC7341" w14:textId="77777777" w:rsidTr="009E50CF">
        <w:trPr>
          <w:trHeight w:val="322"/>
        </w:trPr>
        <w:tc>
          <w:tcPr>
            <w:tcW w:w="3250" w:type="dxa"/>
            <w:tcBorders>
              <w:top w:val="nil"/>
              <w:left w:val="nil"/>
              <w:bottom w:val="nil"/>
              <w:right w:val="nil"/>
            </w:tcBorders>
            <w:noWrap/>
            <w:vAlign w:val="center"/>
            <w:hideMark/>
          </w:tcPr>
          <w:p w14:paraId="176E06C6"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Staphylococcus saprophyticus</w:t>
            </w:r>
          </w:p>
        </w:tc>
        <w:tc>
          <w:tcPr>
            <w:tcW w:w="473" w:type="dxa"/>
            <w:tcBorders>
              <w:top w:val="nil"/>
              <w:left w:val="nil"/>
              <w:bottom w:val="nil"/>
              <w:right w:val="nil"/>
            </w:tcBorders>
            <w:noWrap/>
            <w:vAlign w:val="center"/>
            <w:hideMark/>
          </w:tcPr>
          <w:p w14:paraId="73069618"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23</w:t>
            </w:r>
          </w:p>
        </w:tc>
        <w:tc>
          <w:tcPr>
            <w:tcW w:w="794" w:type="dxa"/>
            <w:tcBorders>
              <w:top w:val="nil"/>
              <w:left w:val="nil"/>
              <w:bottom w:val="nil"/>
              <w:right w:val="nil"/>
            </w:tcBorders>
            <w:noWrap/>
            <w:vAlign w:val="center"/>
            <w:hideMark/>
          </w:tcPr>
          <w:p w14:paraId="5EB91173"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6.3%</w:t>
            </w:r>
          </w:p>
        </w:tc>
        <w:tc>
          <w:tcPr>
            <w:tcW w:w="160" w:type="dxa"/>
            <w:tcBorders>
              <w:top w:val="nil"/>
              <w:left w:val="nil"/>
              <w:bottom w:val="nil"/>
              <w:right w:val="nil"/>
            </w:tcBorders>
            <w:noWrap/>
            <w:vAlign w:val="center"/>
            <w:hideMark/>
          </w:tcPr>
          <w:p w14:paraId="7CDF56D8"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1F139628"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6</w:t>
            </w:r>
          </w:p>
        </w:tc>
        <w:tc>
          <w:tcPr>
            <w:tcW w:w="794" w:type="dxa"/>
            <w:tcBorders>
              <w:top w:val="nil"/>
              <w:left w:val="nil"/>
              <w:bottom w:val="nil"/>
              <w:right w:val="nil"/>
            </w:tcBorders>
            <w:noWrap/>
            <w:vAlign w:val="center"/>
            <w:hideMark/>
          </w:tcPr>
          <w:p w14:paraId="4D742F68"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3.7%</w:t>
            </w:r>
          </w:p>
        </w:tc>
        <w:tc>
          <w:tcPr>
            <w:tcW w:w="160" w:type="dxa"/>
            <w:tcBorders>
              <w:top w:val="nil"/>
              <w:left w:val="nil"/>
              <w:bottom w:val="nil"/>
              <w:right w:val="nil"/>
            </w:tcBorders>
            <w:noWrap/>
            <w:vAlign w:val="center"/>
            <w:hideMark/>
          </w:tcPr>
          <w:p w14:paraId="7D4B8F6E"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nil"/>
              <w:right w:val="nil"/>
            </w:tcBorders>
            <w:noWrap/>
            <w:vAlign w:val="center"/>
            <w:hideMark/>
          </w:tcPr>
          <w:p w14:paraId="56CA6951"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17</w:t>
            </w:r>
          </w:p>
        </w:tc>
        <w:tc>
          <w:tcPr>
            <w:tcW w:w="794" w:type="dxa"/>
            <w:tcBorders>
              <w:top w:val="nil"/>
              <w:left w:val="nil"/>
              <w:bottom w:val="nil"/>
              <w:right w:val="nil"/>
            </w:tcBorders>
            <w:noWrap/>
            <w:vAlign w:val="center"/>
            <w:hideMark/>
          </w:tcPr>
          <w:p w14:paraId="2E373A18"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8.4%</w:t>
            </w:r>
          </w:p>
        </w:tc>
      </w:tr>
      <w:tr w:rsidR="00BA376C" w:rsidRPr="00F05264" w14:paraId="07A55FD6" w14:textId="77777777" w:rsidTr="009E50CF">
        <w:trPr>
          <w:trHeight w:val="322"/>
        </w:trPr>
        <w:tc>
          <w:tcPr>
            <w:tcW w:w="3250" w:type="dxa"/>
            <w:tcBorders>
              <w:top w:val="nil"/>
              <w:left w:val="nil"/>
              <w:bottom w:val="single" w:sz="4" w:space="0" w:color="auto"/>
              <w:right w:val="nil"/>
            </w:tcBorders>
            <w:noWrap/>
            <w:vAlign w:val="center"/>
            <w:hideMark/>
          </w:tcPr>
          <w:p w14:paraId="339E317F"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 xml:space="preserve">Staphylococcus </w:t>
            </w:r>
            <w:proofErr w:type="spellStart"/>
            <w:r w:rsidRPr="00F05264">
              <w:rPr>
                <w:rFonts w:ascii="Arial" w:hAnsi="Arial" w:cs="Arial"/>
                <w:i/>
                <w:iCs/>
                <w:color w:val="000000"/>
                <w:sz w:val="20"/>
                <w:szCs w:val="20"/>
                <w:lang w:val="en-GB"/>
              </w:rPr>
              <w:t>warneri</w:t>
            </w:r>
            <w:proofErr w:type="spellEnd"/>
          </w:p>
        </w:tc>
        <w:tc>
          <w:tcPr>
            <w:tcW w:w="473" w:type="dxa"/>
            <w:tcBorders>
              <w:top w:val="nil"/>
              <w:left w:val="nil"/>
              <w:bottom w:val="single" w:sz="4" w:space="0" w:color="auto"/>
              <w:right w:val="nil"/>
            </w:tcBorders>
            <w:noWrap/>
            <w:vAlign w:val="center"/>
            <w:hideMark/>
          </w:tcPr>
          <w:p w14:paraId="56DDA768"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52</w:t>
            </w:r>
          </w:p>
        </w:tc>
        <w:tc>
          <w:tcPr>
            <w:tcW w:w="794" w:type="dxa"/>
            <w:tcBorders>
              <w:top w:val="nil"/>
              <w:left w:val="nil"/>
              <w:bottom w:val="single" w:sz="4" w:space="0" w:color="auto"/>
              <w:right w:val="nil"/>
            </w:tcBorders>
            <w:noWrap/>
            <w:vAlign w:val="center"/>
            <w:hideMark/>
          </w:tcPr>
          <w:p w14:paraId="106C2B8F"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14.3%</w:t>
            </w:r>
          </w:p>
        </w:tc>
        <w:tc>
          <w:tcPr>
            <w:tcW w:w="160" w:type="dxa"/>
            <w:tcBorders>
              <w:top w:val="nil"/>
              <w:left w:val="nil"/>
              <w:bottom w:val="single" w:sz="4" w:space="0" w:color="auto"/>
              <w:right w:val="nil"/>
            </w:tcBorders>
            <w:noWrap/>
            <w:vAlign w:val="center"/>
            <w:hideMark/>
          </w:tcPr>
          <w:p w14:paraId="20CFBA35"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single" w:sz="4" w:space="0" w:color="auto"/>
              <w:right w:val="nil"/>
            </w:tcBorders>
            <w:noWrap/>
            <w:vAlign w:val="center"/>
            <w:hideMark/>
          </w:tcPr>
          <w:p w14:paraId="5C275201"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22</w:t>
            </w:r>
          </w:p>
        </w:tc>
        <w:tc>
          <w:tcPr>
            <w:tcW w:w="794" w:type="dxa"/>
            <w:tcBorders>
              <w:top w:val="nil"/>
              <w:left w:val="nil"/>
              <w:bottom w:val="single" w:sz="4" w:space="0" w:color="auto"/>
              <w:right w:val="nil"/>
            </w:tcBorders>
            <w:noWrap/>
            <w:vAlign w:val="center"/>
            <w:hideMark/>
          </w:tcPr>
          <w:p w14:paraId="6B81C687"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13.7%</w:t>
            </w:r>
          </w:p>
        </w:tc>
        <w:tc>
          <w:tcPr>
            <w:tcW w:w="160" w:type="dxa"/>
            <w:tcBorders>
              <w:top w:val="nil"/>
              <w:left w:val="nil"/>
              <w:bottom w:val="single" w:sz="4" w:space="0" w:color="auto"/>
              <w:right w:val="nil"/>
            </w:tcBorders>
            <w:noWrap/>
            <w:vAlign w:val="center"/>
            <w:hideMark/>
          </w:tcPr>
          <w:p w14:paraId="6CAA24E6" w14:textId="77777777" w:rsidR="00BA376C" w:rsidRPr="00F05264" w:rsidRDefault="00BA376C" w:rsidP="009E50CF">
            <w:pPr>
              <w:jc w:val="center"/>
              <w:rPr>
                <w:rFonts w:ascii="Arial" w:hAnsi="Arial" w:cs="Arial"/>
                <w:color w:val="000000"/>
                <w:sz w:val="20"/>
                <w:szCs w:val="20"/>
                <w:lang w:val="en-GB"/>
              </w:rPr>
            </w:pPr>
          </w:p>
        </w:tc>
        <w:tc>
          <w:tcPr>
            <w:tcW w:w="362" w:type="dxa"/>
            <w:tcBorders>
              <w:top w:val="nil"/>
              <w:left w:val="nil"/>
              <w:bottom w:val="single" w:sz="4" w:space="0" w:color="auto"/>
              <w:right w:val="nil"/>
            </w:tcBorders>
            <w:noWrap/>
            <w:vAlign w:val="center"/>
            <w:hideMark/>
          </w:tcPr>
          <w:p w14:paraId="56566F22"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30</w:t>
            </w:r>
          </w:p>
        </w:tc>
        <w:tc>
          <w:tcPr>
            <w:tcW w:w="794" w:type="dxa"/>
            <w:tcBorders>
              <w:top w:val="nil"/>
              <w:left w:val="nil"/>
              <w:bottom w:val="single" w:sz="4" w:space="0" w:color="auto"/>
              <w:right w:val="nil"/>
            </w:tcBorders>
            <w:noWrap/>
            <w:vAlign w:val="center"/>
            <w:hideMark/>
          </w:tcPr>
          <w:p w14:paraId="4CF254A0"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14.8%</w:t>
            </w:r>
          </w:p>
        </w:tc>
      </w:tr>
    </w:tbl>
    <w:p w14:paraId="515F2516" w14:textId="77777777" w:rsidR="00BA376C" w:rsidRPr="00F05264" w:rsidRDefault="00BA376C">
      <w:pPr>
        <w:rPr>
          <w:rFonts w:ascii="Arial" w:hAnsi="Arial" w:cs="Arial"/>
        </w:rPr>
      </w:pPr>
    </w:p>
    <w:p w14:paraId="28CC4469" w14:textId="20A91DC8" w:rsidR="00943DFF" w:rsidRPr="00F05264" w:rsidRDefault="00D05735">
      <w:pPr>
        <w:rPr>
          <w:rFonts w:ascii="Arial" w:hAnsi="Arial" w:cs="Arial"/>
        </w:rPr>
      </w:pPr>
      <w:r>
        <w:rPr>
          <w:rFonts w:ascii="Arial" w:hAnsi="Arial" w:cs="Arial"/>
          <w:sz w:val="20"/>
          <w:szCs w:val="20"/>
          <w:lang w:val="en-GB"/>
        </w:rPr>
        <w:lastRenderedPageBreak/>
        <w:t>Supplementary</w:t>
      </w:r>
      <w:r w:rsidRPr="00F05264">
        <w:rPr>
          <w:rFonts w:ascii="Arial" w:hAnsi="Arial" w:cs="Arial"/>
        </w:rPr>
        <w:t xml:space="preserve"> </w:t>
      </w:r>
      <w:r w:rsidR="00063442" w:rsidRPr="00F05264">
        <w:rPr>
          <w:rFonts w:ascii="Arial" w:hAnsi="Arial" w:cs="Arial"/>
        </w:rPr>
        <w:t xml:space="preserve">Table </w:t>
      </w:r>
      <w:r>
        <w:rPr>
          <w:rFonts w:ascii="Arial" w:hAnsi="Arial" w:cs="Arial"/>
        </w:rPr>
        <w:t>S</w:t>
      </w:r>
      <w:r w:rsidR="00C37400">
        <w:rPr>
          <w:rFonts w:ascii="Arial" w:hAnsi="Arial" w:cs="Arial"/>
        </w:rPr>
        <w:t>3</w:t>
      </w:r>
      <w:r w:rsidR="00063442" w:rsidRPr="00F05264">
        <w:rPr>
          <w:rFonts w:ascii="Arial" w:hAnsi="Arial" w:cs="Arial"/>
        </w:rPr>
        <w:t xml:space="preserve">: Oral colonization by </w:t>
      </w:r>
      <w:r w:rsidR="00063442" w:rsidRPr="00F05264">
        <w:rPr>
          <w:rFonts w:ascii="Arial" w:hAnsi="Arial" w:cs="Arial"/>
          <w:i/>
          <w:iCs/>
        </w:rPr>
        <w:t>Staphylococcus</w:t>
      </w:r>
      <w:r w:rsidR="00063442" w:rsidRPr="00F05264">
        <w:rPr>
          <w:rFonts w:ascii="Arial" w:hAnsi="Arial" w:cs="Arial"/>
        </w:rPr>
        <w:t xml:space="preserve"> species according to DMFT status.</w:t>
      </w:r>
    </w:p>
    <w:tbl>
      <w:tblPr>
        <w:tblW w:w="0" w:type="auto"/>
        <w:tblCellMar>
          <w:left w:w="70" w:type="dxa"/>
          <w:right w:w="70" w:type="dxa"/>
        </w:tblCellMar>
        <w:tblLook w:val="04A0" w:firstRow="1" w:lastRow="0" w:firstColumn="1" w:lastColumn="0" w:noHBand="0" w:noVBand="1"/>
      </w:tblPr>
      <w:tblGrid>
        <w:gridCol w:w="2975"/>
        <w:gridCol w:w="381"/>
        <w:gridCol w:w="743"/>
        <w:gridCol w:w="379"/>
        <w:gridCol w:w="738"/>
        <w:gridCol w:w="986"/>
      </w:tblGrid>
      <w:tr w:rsidR="00BA376C" w:rsidRPr="00F05264" w14:paraId="5F04D81D" w14:textId="77777777" w:rsidTr="009E50CF">
        <w:trPr>
          <w:trHeight w:val="320"/>
        </w:trPr>
        <w:tc>
          <w:tcPr>
            <w:tcW w:w="0" w:type="auto"/>
            <w:vMerge w:val="restart"/>
            <w:tcBorders>
              <w:top w:val="single" w:sz="4" w:space="0" w:color="auto"/>
              <w:left w:val="nil"/>
              <w:bottom w:val="double" w:sz="6" w:space="0" w:color="000000"/>
              <w:right w:val="nil"/>
            </w:tcBorders>
            <w:noWrap/>
            <w:vAlign w:val="center"/>
            <w:hideMark/>
          </w:tcPr>
          <w:p w14:paraId="505668F4" w14:textId="77777777" w:rsidR="00BA376C" w:rsidRPr="00F05264" w:rsidRDefault="00BA376C" w:rsidP="009E50CF">
            <w:pPr>
              <w:rPr>
                <w:rFonts w:ascii="Arial" w:hAnsi="Arial" w:cs="Arial"/>
                <w:b/>
                <w:bCs/>
                <w:color w:val="000000"/>
                <w:lang w:val="en-GB"/>
              </w:rPr>
            </w:pPr>
            <w:r w:rsidRPr="00F05264">
              <w:rPr>
                <w:rFonts w:ascii="Arial" w:hAnsi="Arial" w:cs="Arial"/>
                <w:b/>
                <w:bCs/>
                <w:i/>
                <w:iCs/>
                <w:color w:val="000000"/>
                <w:lang w:val="en-GB"/>
              </w:rPr>
              <w:t>Staphylococcus</w:t>
            </w:r>
            <w:r w:rsidRPr="00F05264">
              <w:rPr>
                <w:rFonts w:ascii="Arial" w:hAnsi="Arial" w:cs="Arial"/>
                <w:b/>
                <w:bCs/>
                <w:color w:val="000000"/>
                <w:lang w:val="en-GB"/>
              </w:rPr>
              <w:t xml:space="preserve"> species</w:t>
            </w:r>
          </w:p>
        </w:tc>
        <w:tc>
          <w:tcPr>
            <w:tcW w:w="0" w:type="auto"/>
            <w:gridSpan w:val="2"/>
            <w:tcBorders>
              <w:top w:val="single" w:sz="4" w:space="0" w:color="auto"/>
              <w:left w:val="nil"/>
              <w:bottom w:val="single" w:sz="4" w:space="0" w:color="auto"/>
              <w:right w:val="nil"/>
            </w:tcBorders>
            <w:noWrap/>
            <w:vAlign w:val="bottom"/>
            <w:hideMark/>
          </w:tcPr>
          <w:p w14:paraId="1E05357B" w14:textId="77777777" w:rsidR="00BA376C" w:rsidRPr="00F05264" w:rsidRDefault="00BA376C" w:rsidP="009E50CF">
            <w:pPr>
              <w:jc w:val="center"/>
              <w:rPr>
                <w:rFonts w:ascii="Arial" w:hAnsi="Arial" w:cs="Arial"/>
                <w:b/>
                <w:bCs/>
                <w:color w:val="000000"/>
                <w:lang w:val="en-GB"/>
              </w:rPr>
            </w:pPr>
            <w:r w:rsidRPr="00F05264">
              <w:rPr>
                <w:rFonts w:ascii="Arial" w:hAnsi="Arial" w:cs="Arial"/>
                <w:b/>
                <w:bCs/>
                <w:color w:val="000000"/>
                <w:lang w:val="en-GB"/>
              </w:rPr>
              <w:t>DMFT = 0</w:t>
            </w:r>
          </w:p>
        </w:tc>
        <w:tc>
          <w:tcPr>
            <w:tcW w:w="0" w:type="auto"/>
            <w:gridSpan w:val="2"/>
            <w:tcBorders>
              <w:top w:val="single" w:sz="4" w:space="0" w:color="auto"/>
              <w:left w:val="nil"/>
              <w:bottom w:val="single" w:sz="4" w:space="0" w:color="auto"/>
              <w:right w:val="nil"/>
            </w:tcBorders>
            <w:noWrap/>
            <w:vAlign w:val="bottom"/>
            <w:hideMark/>
          </w:tcPr>
          <w:p w14:paraId="48E1652F" w14:textId="77777777" w:rsidR="00BA376C" w:rsidRPr="00F05264" w:rsidRDefault="00BA376C" w:rsidP="009E50CF">
            <w:pPr>
              <w:jc w:val="center"/>
              <w:rPr>
                <w:rFonts w:ascii="Arial" w:hAnsi="Arial" w:cs="Arial"/>
                <w:b/>
                <w:bCs/>
                <w:color w:val="000000"/>
                <w:lang w:val="en-GB"/>
              </w:rPr>
            </w:pPr>
            <w:r w:rsidRPr="00F05264">
              <w:rPr>
                <w:rFonts w:ascii="Arial" w:hAnsi="Arial" w:cs="Arial"/>
                <w:b/>
                <w:bCs/>
                <w:color w:val="000000"/>
                <w:lang w:val="en-GB"/>
              </w:rPr>
              <w:t>DMFT ≠ 0</w:t>
            </w:r>
          </w:p>
        </w:tc>
        <w:tc>
          <w:tcPr>
            <w:tcW w:w="986" w:type="dxa"/>
            <w:vMerge w:val="restart"/>
            <w:tcBorders>
              <w:top w:val="single" w:sz="4" w:space="0" w:color="auto"/>
              <w:left w:val="nil"/>
              <w:right w:val="nil"/>
            </w:tcBorders>
            <w:vAlign w:val="center"/>
          </w:tcPr>
          <w:p w14:paraId="09F38A14" w14:textId="77777777" w:rsidR="00BA376C" w:rsidRPr="00F05264" w:rsidRDefault="00BA376C" w:rsidP="009E50CF">
            <w:pPr>
              <w:jc w:val="center"/>
              <w:rPr>
                <w:rFonts w:ascii="Arial" w:hAnsi="Arial" w:cs="Arial"/>
                <w:b/>
                <w:bCs/>
                <w:color w:val="000000"/>
                <w:lang w:val="en-GB"/>
              </w:rPr>
            </w:pPr>
            <w:r w:rsidRPr="00F05264">
              <w:rPr>
                <w:rFonts w:ascii="Arial" w:hAnsi="Arial" w:cs="Arial"/>
                <w:i/>
                <w:iCs/>
                <w:color w:val="000000"/>
                <w:lang w:val="en-GB"/>
              </w:rPr>
              <w:t>p</w:t>
            </w:r>
          </w:p>
        </w:tc>
      </w:tr>
      <w:tr w:rsidR="00BA376C" w:rsidRPr="00F05264" w14:paraId="21BDA889" w14:textId="77777777" w:rsidTr="009E50CF">
        <w:trPr>
          <w:trHeight w:val="340"/>
        </w:trPr>
        <w:tc>
          <w:tcPr>
            <w:tcW w:w="0" w:type="auto"/>
            <w:vMerge/>
            <w:tcBorders>
              <w:top w:val="single" w:sz="4" w:space="0" w:color="auto"/>
              <w:left w:val="nil"/>
              <w:bottom w:val="double" w:sz="6" w:space="0" w:color="000000"/>
              <w:right w:val="nil"/>
            </w:tcBorders>
            <w:vAlign w:val="center"/>
            <w:hideMark/>
          </w:tcPr>
          <w:p w14:paraId="57E3A8E0" w14:textId="77777777" w:rsidR="00BA376C" w:rsidRPr="00F05264" w:rsidRDefault="00BA376C" w:rsidP="009E50CF">
            <w:pPr>
              <w:rPr>
                <w:rFonts w:ascii="Arial" w:hAnsi="Arial" w:cs="Arial"/>
                <w:b/>
                <w:bCs/>
                <w:color w:val="000000"/>
                <w:lang w:val="en-GB"/>
              </w:rPr>
            </w:pPr>
          </w:p>
        </w:tc>
        <w:tc>
          <w:tcPr>
            <w:tcW w:w="0" w:type="auto"/>
            <w:tcBorders>
              <w:top w:val="nil"/>
              <w:left w:val="nil"/>
              <w:bottom w:val="double" w:sz="6" w:space="0" w:color="auto"/>
              <w:right w:val="nil"/>
            </w:tcBorders>
            <w:noWrap/>
            <w:vAlign w:val="bottom"/>
            <w:hideMark/>
          </w:tcPr>
          <w:p w14:paraId="53D27922" w14:textId="77777777" w:rsidR="00BA376C" w:rsidRPr="00F05264" w:rsidRDefault="00BA376C" w:rsidP="009E50CF">
            <w:pPr>
              <w:jc w:val="center"/>
              <w:rPr>
                <w:rFonts w:ascii="Arial" w:hAnsi="Arial" w:cs="Arial"/>
                <w:b/>
                <w:bCs/>
                <w:color w:val="000000"/>
                <w:lang w:val="en-GB"/>
              </w:rPr>
            </w:pPr>
            <w:r w:rsidRPr="00F05264">
              <w:rPr>
                <w:rFonts w:ascii="Arial" w:hAnsi="Arial" w:cs="Arial"/>
                <w:b/>
                <w:bCs/>
                <w:color w:val="000000"/>
                <w:lang w:val="en-GB"/>
              </w:rPr>
              <w:t>n</w:t>
            </w:r>
          </w:p>
        </w:tc>
        <w:tc>
          <w:tcPr>
            <w:tcW w:w="0" w:type="auto"/>
            <w:tcBorders>
              <w:top w:val="nil"/>
              <w:left w:val="nil"/>
              <w:bottom w:val="double" w:sz="6" w:space="0" w:color="auto"/>
              <w:right w:val="nil"/>
            </w:tcBorders>
            <w:noWrap/>
            <w:vAlign w:val="bottom"/>
            <w:hideMark/>
          </w:tcPr>
          <w:p w14:paraId="4C7DEC6F" w14:textId="77777777" w:rsidR="00BA376C" w:rsidRPr="00F05264" w:rsidRDefault="00BA376C" w:rsidP="009E50CF">
            <w:pPr>
              <w:jc w:val="center"/>
              <w:rPr>
                <w:rFonts w:ascii="Arial" w:hAnsi="Arial" w:cs="Arial"/>
                <w:b/>
                <w:bCs/>
                <w:color w:val="000000"/>
                <w:lang w:val="en-GB"/>
              </w:rPr>
            </w:pPr>
            <w:r w:rsidRPr="00F05264">
              <w:rPr>
                <w:rFonts w:ascii="Arial" w:hAnsi="Arial" w:cs="Arial"/>
                <w:b/>
                <w:bCs/>
                <w:color w:val="000000"/>
                <w:lang w:val="en-GB"/>
              </w:rPr>
              <w:t>%</w:t>
            </w:r>
          </w:p>
        </w:tc>
        <w:tc>
          <w:tcPr>
            <w:tcW w:w="0" w:type="auto"/>
            <w:tcBorders>
              <w:top w:val="nil"/>
              <w:left w:val="nil"/>
              <w:bottom w:val="double" w:sz="6" w:space="0" w:color="auto"/>
              <w:right w:val="nil"/>
            </w:tcBorders>
            <w:noWrap/>
            <w:vAlign w:val="bottom"/>
            <w:hideMark/>
          </w:tcPr>
          <w:p w14:paraId="15E44B6C" w14:textId="77777777" w:rsidR="00BA376C" w:rsidRPr="00F05264" w:rsidRDefault="00BA376C" w:rsidP="009E50CF">
            <w:pPr>
              <w:jc w:val="center"/>
              <w:rPr>
                <w:rFonts w:ascii="Arial" w:hAnsi="Arial" w:cs="Arial"/>
                <w:b/>
                <w:bCs/>
                <w:color w:val="000000"/>
                <w:lang w:val="en-GB"/>
              </w:rPr>
            </w:pPr>
            <w:r w:rsidRPr="00F05264">
              <w:rPr>
                <w:rFonts w:ascii="Arial" w:hAnsi="Arial" w:cs="Arial"/>
                <w:b/>
                <w:bCs/>
                <w:color w:val="000000"/>
                <w:lang w:val="en-GB"/>
              </w:rPr>
              <w:t>n</w:t>
            </w:r>
          </w:p>
        </w:tc>
        <w:tc>
          <w:tcPr>
            <w:tcW w:w="0" w:type="auto"/>
            <w:tcBorders>
              <w:top w:val="nil"/>
              <w:left w:val="nil"/>
              <w:bottom w:val="double" w:sz="6" w:space="0" w:color="auto"/>
              <w:right w:val="nil"/>
            </w:tcBorders>
            <w:noWrap/>
            <w:vAlign w:val="bottom"/>
            <w:hideMark/>
          </w:tcPr>
          <w:p w14:paraId="722E33B1" w14:textId="77777777" w:rsidR="00BA376C" w:rsidRPr="00F05264" w:rsidRDefault="00BA376C" w:rsidP="009E50CF">
            <w:pPr>
              <w:jc w:val="center"/>
              <w:rPr>
                <w:rFonts w:ascii="Arial" w:hAnsi="Arial" w:cs="Arial"/>
                <w:b/>
                <w:bCs/>
                <w:color w:val="000000"/>
                <w:lang w:val="en-GB"/>
              </w:rPr>
            </w:pPr>
            <w:r w:rsidRPr="00F05264">
              <w:rPr>
                <w:rFonts w:ascii="Arial" w:hAnsi="Arial" w:cs="Arial"/>
                <w:b/>
                <w:bCs/>
                <w:color w:val="000000"/>
                <w:lang w:val="en-GB"/>
              </w:rPr>
              <w:t>%</w:t>
            </w:r>
          </w:p>
        </w:tc>
        <w:tc>
          <w:tcPr>
            <w:tcW w:w="986" w:type="dxa"/>
            <w:vMerge/>
            <w:tcBorders>
              <w:left w:val="nil"/>
              <w:bottom w:val="double" w:sz="6" w:space="0" w:color="auto"/>
              <w:right w:val="nil"/>
            </w:tcBorders>
          </w:tcPr>
          <w:p w14:paraId="7181F5C0" w14:textId="77777777" w:rsidR="00BA376C" w:rsidRPr="00F05264" w:rsidRDefault="00BA376C" w:rsidP="009E50CF">
            <w:pPr>
              <w:jc w:val="center"/>
              <w:rPr>
                <w:rFonts w:ascii="Arial" w:hAnsi="Arial" w:cs="Arial"/>
                <w:b/>
                <w:bCs/>
                <w:color w:val="000000"/>
                <w:lang w:val="en-GB"/>
              </w:rPr>
            </w:pPr>
          </w:p>
        </w:tc>
      </w:tr>
      <w:tr w:rsidR="00BA376C" w:rsidRPr="00F05264" w14:paraId="2D1F4CCC" w14:textId="77777777" w:rsidTr="009E50CF">
        <w:trPr>
          <w:trHeight w:val="320"/>
        </w:trPr>
        <w:tc>
          <w:tcPr>
            <w:tcW w:w="0" w:type="auto"/>
            <w:tcBorders>
              <w:top w:val="nil"/>
              <w:left w:val="nil"/>
              <w:bottom w:val="nil"/>
              <w:right w:val="nil"/>
            </w:tcBorders>
            <w:noWrap/>
            <w:vAlign w:val="bottom"/>
            <w:hideMark/>
          </w:tcPr>
          <w:p w14:paraId="03F744E6"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Staphylococcus aureus</w:t>
            </w:r>
          </w:p>
        </w:tc>
        <w:tc>
          <w:tcPr>
            <w:tcW w:w="0" w:type="auto"/>
            <w:tcBorders>
              <w:top w:val="nil"/>
              <w:left w:val="nil"/>
              <w:bottom w:val="nil"/>
              <w:right w:val="nil"/>
            </w:tcBorders>
            <w:noWrap/>
            <w:vAlign w:val="center"/>
            <w:hideMark/>
          </w:tcPr>
          <w:p w14:paraId="401AD6B7"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4</w:t>
            </w:r>
          </w:p>
        </w:tc>
        <w:tc>
          <w:tcPr>
            <w:tcW w:w="0" w:type="auto"/>
            <w:tcBorders>
              <w:top w:val="nil"/>
              <w:left w:val="nil"/>
              <w:bottom w:val="nil"/>
              <w:right w:val="nil"/>
            </w:tcBorders>
            <w:noWrap/>
            <w:vAlign w:val="center"/>
            <w:hideMark/>
          </w:tcPr>
          <w:p w14:paraId="60ABF5EE"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16.0%</w:t>
            </w:r>
          </w:p>
        </w:tc>
        <w:tc>
          <w:tcPr>
            <w:tcW w:w="0" w:type="auto"/>
            <w:tcBorders>
              <w:top w:val="nil"/>
              <w:left w:val="nil"/>
              <w:bottom w:val="nil"/>
              <w:right w:val="nil"/>
            </w:tcBorders>
            <w:noWrap/>
            <w:vAlign w:val="center"/>
            <w:hideMark/>
          </w:tcPr>
          <w:p w14:paraId="4006A84B"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14</w:t>
            </w:r>
          </w:p>
        </w:tc>
        <w:tc>
          <w:tcPr>
            <w:tcW w:w="0" w:type="auto"/>
            <w:tcBorders>
              <w:top w:val="nil"/>
              <w:left w:val="nil"/>
              <w:bottom w:val="nil"/>
              <w:right w:val="nil"/>
            </w:tcBorders>
            <w:noWrap/>
            <w:vAlign w:val="center"/>
            <w:hideMark/>
          </w:tcPr>
          <w:p w14:paraId="5A73103F"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12.0%</w:t>
            </w:r>
          </w:p>
        </w:tc>
        <w:tc>
          <w:tcPr>
            <w:tcW w:w="986" w:type="dxa"/>
            <w:tcBorders>
              <w:top w:val="nil"/>
              <w:left w:val="nil"/>
              <w:bottom w:val="nil"/>
              <w:right w:val="nil"/>
            </w:tcBorders>
            <w:vAlign w:val="center"/>
          </w:tcPr>
          <w:p w14:paraId="0B433A46"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0.770</w:t>
            </w:r>
          </w:p>
        </w:tc>
      </w:tr>
      <w:tr w:rsidR="00BA376C" w:rsidRPr="00F05264" w14:paraId="033B6C4A" w14:textId="77777777" w:rsidTr="009E50CF">
        <w:trPr>
          <w:trHeight w:val="320"/>
        </w:trPr>
        <w:tc>
          <w:tcPr>
            <w:tcW w:w="0" w:type="auto"/>
            <w:tcBorders>
              <w:top w:val="nil"/>
              <w:left w:val="nil"/>
              <w:bottom w:val="nil"/>
              <w:right w:val="nil"/>
            </w:tcBorders>
            <w:noWrap/>
            <w:vAlign w:val="bottom"/>
            <w:hideMark/>
          </w:tcPr>
          <w:p w14:paraId="24D1FEE2"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Staphylococcus capitis</w:t>
            </w:r>
          </w:p>
        </w:tc>
        <w:tc>
          <w:tcPr>
            <w:tcW w:w="0" w:type="auto"/>
            <w:tcBorders>
              <w:top w:val="nil"/>
              <w:left w:val="nil"/>
              <w:bottom w:val="nil"/>
              <w:right w:val="nil"/>
            </w:tcBorders>
            <w:noWrap/>
            <w:vAlign w:val="center"/>
            <w:hideMark/>
          </w:tcPr>
          <w:p w14:paraId="272BF699"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w:t>
            </w:r>
          </w:p>
        </w:tc>
        <w:tc>
          <w:tcPr>
            <w:tcW w:w="0" w:type="auto"/>
            <w:tcBorders>
              <w:top w:val="nil"/>
              <w:left w:val="nil"/>
              <w:bottom w:val="nil"/>
              <w:right w:val="nil"/>
            </w:tcBorders>
            <w:noWrap/>
            <w:vAlign w:val="center"/>
            <w:hideMark/>
          </w:tcPr>
          <w:p w14:paraId="5CA024E5"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4.0%</w:t>
            </w:r>
          </w:p>
        </w:tc>
        <w:tc>
          <w:tcPr>
            <w:tcW w:w="0" w:type="auto"/>
            <w:tcBorders>
              <w:top w:val="nil"/>
              <w:left w:val="nil"/>
              <w:bottom w:val="nil"/>
              <w:right w:val="nil"/>
            </w:tcBorders>
            <w:noWrap/>
            <w:vAlign w:val="center"/>
            <w:hideMark/>
          </w:tcPr>
          <w:p w14:paraId="06B452D1"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5</w:t>
            </w:r>
          </w:p>
        </w:tc>
        <w:tc>
          <w:tcPr>
            <w:tcW w:w="0" w:type="auto"/>
            <w:tcBorders>
              <w:top w:val="nil"/>
              <w:left w:val="nil"/>
              <w:bottom w:val="nil"/>
              <w:right w:val="nil"/>
            </w:tcBorders>
            <w:noWrap/>
            <w:vAlign w:val="center"/>
            <w:hideMark/>
          </w:tcPr>
          <w:p w14:paraId="4ED9C56F"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7.5%</w:t>
            </w:r>
          </w:p>
        </w:tc>
        <w:tc>
          <w:tcPr>
            <w:tcW w:w="986" w:type="dxa"/>
            <w:tcBorders>
              <w:top w:val="nil"/>
              <w:left w:val="nil"/>
              <w:bottom w:val="nil"/>
              <w:right w:val="nil"/>
            </w:tcBorders>
            <w:vAlign w:val="center"/>
          </w:tcPr>
          <w:p w14:paraId="1378254B" w14:textId="43917629" w:rsidR="00BA376C" w:rsidRPr="00F05264" w:rsidRDefault="00706E6F" w:rsidP="009E50CF">
            <w:pPr>
              <w:jc w:val="center"/>
              <w:rPr>
                <w:rFonts w:ascii="Arial" w:hAnsi="Arial" w:cs="Arial"/>
                <w:color w:val="000000"/>
                <w:sz w:val="20"/>
                <w:szCs w:val="20"/>
                <w:lang w:val="en-GB"/>
              </w:rPr>
            </w:pPr>
            <w:r>
              <w:rPr>
                <w:rFonts w:ascii="Arial" w:hAnsi="Arial" w:cs="Arial"/>
                <w:color w:val="000000"/>
                <w:sz w:val="20"/>
                <w:szCs w:val="20"/>
                <w:lang w:val="en-GB"/>
              </w:rPr>
              <w:t>&gt;0.999</w:t>
            </w:r>
          </w:p>
        </w:tc>
      </w:tr>
      <w:tr w:rsidR="00706E6F" w:rsidRPr="00F05264" w14:paraId="38FBCD19" w14:textId="77777777" w:rsidTr="009E50CF">
        <w:trPr>
          <w:trHeight w:val="320"/>
        </w:trPr>
        <w:tc>
          <w:tcPr>
            <w:tcW w:w="0" w:type="auto"/>
            <w:tcBorders>
              <w:top w:val="nil"/>
              <w:left w:val="nil"/>
              <w:bottom w:val="nil"/>
              <w:right w:val="nil"/>
            </w:tcBorders>
            <w:noWrap/>
            <w:vAlign w:val="bottom"/>
            <w:hideMark/>
          </w:tcPr>
          <w:p w14:paraId="19B615A6" w14:textId="77777777" w:rsidR="00706E6F" w:rsidRPr="00F05264" w:rsidRDefault="00706E6F" w:rsidP="00706E6F">
            <w:pPr>
              <w:rPr>
                <w:rFonts w:ascii="Arial" w:hAnsi="Arial" w:cs="Arial"/>
                <w:i/>
                <w:iCs/>
                <w:color w:val="000000"/>
                <w:sz w:val="20"/>
                <w:szCs w:val="20"/>
                <w:lang w:val="en-GB"/>
              </w:rPr>
            </w:pPr>
            <w:r w:rsidRPr="00F05264">
              <w:rPr>
                <w:rFonts w:ascii="Arial" w:hAnsi="Arial" w:cs="Arial"/>
                <w:i/>
                <w:iCs/>
                <w:color w:val="000000"/>
                <w:sz w:val="20"/>
                <w:szCs w:val="20"/>
                <w:lang w:val="en-GB"/>
              </w:rPr>
              <w:t xml:space="preserve">Staphylococcus </w:t>
            </w:r>
            <w:proofErr w:type="spellStart"/>
            <w:r w:rsidRPr="00F05264">
              <w:rPr>
                <w:rFonts w:ascii="Arial" w:hAnsi="Arial" w:cs="Arial"/>
                <w:i/>
                <w:iCs/>
                <w:color w:val="000000"/>
                <w:sz w:val="20"/>
                <w:szCs w:val="20"/>
                <w:lang w:val="en-GB"/>
              </w:rPr>
              <w:t>cohnii</w:t>
            </w:r>
            <w:proofErr w:type="spellEnd"/>
          </w:p>
        </w:tc>
        <w:tc>
          <w:tcPr>
            <w:tcW w:w="0" w:type="auto"/>
            <w:tcBorders>
              <w:top w:val="nil"/>
              <w:left w:val="nil"/>
              <w:bottom w:val="nil"/>
              <w:right w:val="nil"/>
            </w:tcBorders>
            <w:noWrap/>
            <w:vAlign w:val="center"/>
            <w:hideMark/>
          </w:tcPr>
          <w:p w14:paraId="79692EB6" w14:textId="77777777" w:rsidR="00706E6F" w:rsidRPr="00F05264" w:rsidRDefault="00706E6F" w:rsidP="00706E6F">
            <w:pPr>
              <w:jc w:val="center"/>
              <w:rPr>
                <w:rFonts w:ascii="Arial" w:hAnsi="Arial" w:cs="Arial"/>
                <w:color w:val="000000"/>
                <w:sz w:val="20"/>
                <w:szCs w:val="20"/>
                <w:lang w:val="en-GB"/>
              </w:rPr>
            </w:pPr>
            <w:r w:rsidRPr="00F05264">
              <w:rPr>
                <w:rFonts w:ascii="Arial" w:hAnsi="Arial" w:cs="Arial"/>
                <w:color w:val="000000"/>
                <w:sz w:val="20"/>
                <w:szCs w:val="20"/>
                <w:lang w:val="en-GB"/>
              </w:rPr>
              <w:t>0</w:t>
            </w:r>
          </w:p>
        </w:tc>
        <w:tc>
          <w:tcPr>
            <w:tcW w:w="0" w:type="auto"/>
            <w:tcBorders>
              <w:top w:val="nil"/>
              <w:left w:val="nil"/>
              <w:bottom w:val="nil"/>
              <w:right w:val="nil"/>
            </w:tcBorders>
            <w:noWrap/>
            <w:vAlign w:val="center"/>
            <w:hideMark/>
          </w:tcPr>
          <w:p w14:paraId="5331EFCE" w14:textId="77777777" w:rsidR="00706E6F" w:rsidRPr="00F05264" w:rsidRDefault="00706E6F" w:rsidP="00706E6F">
            <w:pPr>
              <w:jc w:val="center"/>
              <w:rPr>
                <w:rFonts w:ascii="Arial" w:hAnsi="Arial" w:cs="Arial"/>
                <w:color w:val="000000"/>
                <w:sz w:val="20"/>
                <w:szCs w:val="20"/>
                <w:lang w:val="en-GB"/>
              </w:rPr>
            </w:pPr>
            <w:r w:rsidRPr="00F05264">
              <w:rPr>
                <w:rFonts w:ascii="Arial" w:hAnsi="Arial" w:cs="Arial"/>
                <w:color w:val="000000"/>
                <w:sz w:val="20"/>
                <w:szCs w:val="20"/>
                <w:lang w:val="en-GB"/>
              </w:rPr>
              <w:t>0.0%</w:t>
            </w:r>
          </w:p>
        </w:tc>
        <w:tc>
          <w:tcPr>
            <w:tcW w:w="0" w:type="auto"/>
            <w:tcBorders>
              <w:top w:val="nil"/>
              <w:left w:val="nil"/>
              <w:bottom w:val="nil"/>
              <w:right w:val="nil"/>
            </w:tcBorders>
            <w:noWrap/>
            <w:vAlign w:val="center"/>
            <w:hideMark/>
          </w:tcPr>
          <w:p w14:paraId="3DC99D0F" w14:textId="6FD283B6" w:rsidR="00706E6F" w:rsidRPr="00F05264" w:rsidRDefault="00706E6F" w:rsidP="00706E6F">
            <w:pPr>
              <w:jc w:val="center"/>
              <w:rPr>
                <w:rFonts w:ascii="Arial" w:hAnsi="Arial" w:cs="Arial"/>
                <w:color w:val="000000"/>
                <w:sz w:val="20"/>
                <w:szCs w:val="20"/>
                <w:lang w:val="en-GB"/>
              </w:rPr>
            </w:pPr>
            <w:r w:rsidRPr="00F05264">
              <w:rPr>
                <w:rFonts w:ascii="Arial" w:hAnsi="Arial" w:cs="Arial"/>
                <w:color w:val="000000"/>
                <w:sz w:val="20"/>
                <w:szCs w:val="20"/>
                <w:lang w:val="en-GB"/>
              </w:rPr>
              <w:t>1</w:t>
            </w:r>
          </w:p>
        </w:tc>
        <w:tc>
          <w:tcPr>
            <w:tcW w:w="0" w:type="auto"/>
            <w:tcBorders>
              <w:top w:val="nil"/>
              <w:left w:val="nil"/>
              <w:bottom w:val="nil"/>
              <w:right w:val="nil"/>
            </w:tcBorders>
            <w:noWrap/>
            <w:vAlign w:val="center"/>
            <w:hideMark/>
          </w:tcPr>
          <w:p w14:paraId="7A9B1F83" w14:textId="64A3210A" w:rsidR="00706E6F" w:rsidRPr="00F05264" w:rsidRDefault="00706E6F" w:rsidP="00706E6F">
            <w:pPr>
              <w:jc w:val="center"/>
              <w:rPr>
                <w:rFonts w:ascii="Arial" w:hAnsi="Arial" w:cs="Arial"/>
                <w:color w:val="000000"/>
                <w:sz w:val="20"/>
                <w:szCs w:val="20"/>
                <w:lang w:val="en-GB"/>
              </w:rPr>
            </w:pPr>
            <w:r w:rsidRPr="00F05264">
              <w:rPr>
                <w:rFonts w:ascii="Arial" w:hAnsi="Arial" w:cs="Arial"/>
                <w:color w:val="000000"/>
                <w:sz w:val="20"/>
                <w:szCs w:val="20"/>
                <w:lang w:val="en-GB"/>
              </w:rPr>
              <w:t>4.0%</w:t>
            </w:r>
          </w:p>
        </w:tc>
        <w:tc>
          <w:tcPr>
            <w:tcW w:w="986" w:type="dxa"/>
            <w:tcBorders>
              <w:top w:val="nil"/>
              <w:left w:val="nil"/>
              <w:bottom w:val="nil"/>
              <w:right w:val="nil"/>
            </w:tcBorders>
            <w:vAlign w:val="center"/>
          </w:tcPr>
          <w:p w14:paraId="2C14E757" w14:textId="014479FD" w:rsidR="00706E6F" w:rsidRPr="00F05264" w:rsidRDefault="00706E6F" w:rsidP="00706E6F">
            <w:pPr>
              <w:jc w:val="center"/>
              <w:rPr>
                <w:rFonts w:ascii="Arial" w:hAnsi="Arial" w:cs="Arial"/>
                <w:color w:val="000000"/>
                <w:sz w:val="20"/>
                <w:szCs w:val="20"/>
                <w:lang w:val="en-GB"/>
              </w:rPr>
            </w:pPr>
            <w:r w:rsidRPr="00F05264">
              <w:rPr>
                <w:rFonts w:ascii="Arial" w:hAnsi="Arial" w:cs="Arial"/>
                <w:color w:val="000000"/>
                <w:sz w:val="20"/>
                <w:szCs w:val="20"/>
                <w:lang w:val="en-GB"/>
              </w:rPr>
              <w:t>0.272</w:t>
            </w:r>
          </w:p>
        </w:tc>
      </w:tr>
      <w:tr w:rsidR="00BA376C" w:rsidRPr="00F05264" w14:paraId="5D798C08" w14:textId="77777777" w:rsidTr="009E50CF">
        <w:trPr>
          <w:trHeight w:val="320"/>
        </w:trPr>
        <w:tc>
          <w:tcPr>
            <w:tcW w:w="0" w:type="auto"/>
            <w:tcBorders>
              <w:top w:val="nil"/>
              <w:left w:val="nil"/>
              <w:bottom w:val="nil"/>
              <w:right w:val="nil"/>
            </w:tcBorders>
            <w:noWrap/>
            <w:vAlign w:val="bottom"/>
            <w:hideMark/>
          </w:tcPr>
          <w:p w14:paraId="2EF7FF6A"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Staphylococcus carnosus group</w:t>
            </w:r>
          </w:p>
        </w:tc>
        <w:tc>
          <w:tcPr>
            <w:tcW w:w="0" w:type="auto"/>
            <w:tcBorders>
              <w:top w:val="nil"/>
              <w:left w:val="nil"/>
              <w:bottom w:val="nil"/>
              <w:right w:val="nil"/>
            </w:tcBorders>
            <w:noWrap/>
            <w:vAlign w:val="center"/>
            <w:hideMark/>
          </w:tcPr>
          <w:p w14:paraId="7B0E5C59"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w:t>
            </w:r>
          </w:p>
        </w:tc>
        <w:tc>
          <w:tcPr>
            <w:tcW w:w="0" w:type="auto"/>
            <w:tcBorders>
              <w:top w:val="nil"/>
              <w:left w:val="nil"/>
              <w:bottom w:val="nil"/>
              <w:right w:val="nil"/>
            </w:tcBorders>
            <w:noWrap/>
            <w:vAlign w:val="center"/>
            <w:hideMark/>
          </w:tcPr>
          <w:p w14:paraId="70F9B02D"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4.0%</w:t>
            </w:r>
          </w:p>
        </w:tc>
        <w:tc>
          <w:tcPr>
            <w:tcW w:w="0" w:type="auto"/>
            <w:tcBorders>
              <w:top w:val="nil"/>
              <w:left w:val="nil"/>
              <w:bottom w:val="nil"/>
              <w:right w:val="nil"/>
            </w:tcBorders>
            <w:noWrap/>
            <w:vAlign w:val="center"/>
            <w:hideMark/>
          </w:tcPr>
          <w:p w14:paraId="35E89321"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w:t>
            </w:r>
          </w:p>
        </w:tc>
        <w:tc>
          <w:tcPr>
            <w:tcW w:w="0" w:type="auto"/>
            <w:tcBorders>
              <w:top w:val="nil"/>
              <w:left w:val="nil"/>
              <w:bottom w:val="nil"/>
              <w:right w:val="nil"/>
            </w:tcBorders>
            <w:noWrap/>
            <w:vAlign w:val="center"/>
            <w:hideMark/>
          </w:tcPr>
          <w:p w14:paraId="3661184E"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0.0%</w:t>
            </w:r>
          </w:p>
        </w:tc>
        <w:tc>
          <w:tcPr>
            <w:tcW w:w="986" w:type="dxa"/>
            <w:tcBorders>
              <w:top w:val="nil"/>
              <w:left w:val="nil"/>
              <w:bottom w:val="nil"/>
              <w:right w:val="nil"/>
            </w:tcBorders>
            <w:vAlign w:val="center"/>
          </w:tcPr>
          <w:p w14:paraId="45EE2E78"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0.272</w:t>
            </w:r>
          </w:p>
        </w:tc>
      </w:tr>
      <w:tr w:rsidR="00BA376C" w:rsidRPr="00F05264" w14:paraId="5DED45E5" w14:textId="77777777" w:rsidTr="009E50CF">
        <w:trPr>
          <w:trHeight w:val="320"/>
        </w:trPr>
        <w:tc>
          <w:tcPr>
            <w:tcW w:w="0" w:type="auto"/>
            <w:tcBorders>
              <w:top w:val="nil"/>
              <w:left w:val="nil"/>
              <w:bottom w:val="nil"/>
              <w:right w:val="nil"/>
            </w:tcBorders>
            <w:noWrap/>
            <w:vAlign w:val="bottom"/>
            <w:hideMark/>
          </w:tcPr>
          <w:p w14:paraId="1AFDF1F7"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Staphylococcus epidermidis</w:t>
            </w:r>
          </w:p>
        </w:tc>
        <w:tc>
          <w:tcPr>
            <w:tcW w:w="0" w:type="auto"/>
            <w:tcBorders>
              <w:top w:val="nil"/>
              <w:left w:val="nil"/>
              <w:bottom w:val="nil"/>
              <w:right w:val="nil"/>
            </w:tcBorders>
            <w:noWrap/>
            <w:vAlign w:val="center"/>
            <w:hideMark/>
          </w:tcPr>
          <w:p w14:paraId="1B384927"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13</w:t>
            </w:r>
          </w:p>
        </w:tc>
        <w:tc>
          <w:tcPr>
            <w:tcW w:w="0" w:type="auto"/>
            <w:tcBorders>
              <w:top w:val="nil"/>
              <w:left w:val="nil"/>
              <w:bottom w:val="nil"/>
              <w:right w:val="nil"/>
            </w:tcBorders>
            <w:noWrap/>
            <w:vAlign w:val="center"/>
            <w:hideMark/>
          </w:tcPr>
          <w:p w14:paraId="595B2E64"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52.0%</w:t>
            </w:r>
          </w:p>
        </w:tc>
        <w:tc>
          <w:tcPr>
            <w:tcW w:w="0" w:type="auto"/>
            <w:tcBorders>
              <w:top w:val="nil"/>
              <w:left w:val="nil"/>
              <w:bottom w:val="nil"/>
              <w:right w:val="nil"/>
            </w:tcBorders>
            <w:noWrap/>
            <w:vAlign w:val="center"/>
            <w:hideMark/>
          </w:tcPr>
          <w:p w14:paraId="1A0F8846"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44</w:t>
            </w:r>
          </w:p>
        </w:tc>
        <w:tc>
          <w:tcPr>
            <w:tcW w:w="0" w:type="auto"/>
            <w:tcBorders>
              <w:top w:val="nil"/>
              <w:left w:val="nil"/>
              <w:bottom w:val="nil"/>
              <w:right w:val="nil"/>
            </w:tcBorders>
            <w:noWrap/>
            <w:vAlign w:val="center"/>
            <w:hideMark/>
          </w:tcPr>
          <w:p w14:paraId="60EBA604"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65.7%</w:t>
            </w:r>
          </w:p>
        </w:tc>
        <w:tc>
          <w:tcPr>
            <w:tcW w:w="986" w:type="dxa"/>
            <w:tcBorders>
              <w:top w:val="nil"/>
              <w:left w:val="nil"/>
              <w:bottom w:val="nil"/>
              <w:right w:val="nil"/>
            </w:tcBorders>
            <w:vAlign w:val="center"/>
          </w:tcPr>
          <w:p w14:paraId="4B4CD752"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0.239</w:t>
            </w:r>
          </w:p>
        </w:tc>
      </w:tr>
      <w:tr w:rsidR="00BA376C" w:rsidRPr="00F05264" w14:paraId="4F2A9C15" w14:textId="77777777" w:rsidTr="009E50CF">
        <w:trPr>
          <w:trHeight w:val="320"/>
        </w:trPr>
        <w:tc>
          <w:tcPr>
            <w:tcW w:w="0" w:type="auto"/>
            <w:tcBorders>
              <w:top w:val="nil"/>
              <w:left w:val="nil"/>
              <w:bottom w:val="nil"/>
              <w:right w:val="nil"/>
            </w:tcBorders>
            <w:noWrap/>
            <w:vAlign w:val="bottom"/>
            <w:hideMark/>
          </w:tcPr>
          <w:p w14:paraId="729F4B9D"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 xml:space="preserve">Staphylococcus </w:t>
            </w:r>
            <w:proofErr w:type="spellStart"/>
            <w:r w:rsidRPr="00F05264">
              <w:rPr>
                <w:rFonts w:ascii="Arial" w:hAnsi="Arial" w:cs="Arial"/>
                <w:i/>
                <w:iCs/>
                <w:color w:val="000000"/>
                <w:sz w:val="20"/>
                <w:szCs w:val="20"/>
                <w:lang w:val="en-GB"/>
              </w:rPr>
              <w:t>haemolyticus</w:t>
            </w:r>
            <w:proofErr w:type="spellEnd"/>
          </w:p>
        </w:tc>
        <w:tc>
          <w:tcPr>
            <w:tcW w:w="0" w:type="auto"/>
            <w:tcBorders>
              <w:top w:val="nil"/>
              <w:left w:val="nil"/>
              <w:bottom w:val="nil"/>
              <w:right w:val="nil"/>
            </w:tcBorders>
            <w:noWrap/>
            <w:vAlign w:val="center"/>
            <w:hideMark/>
          </w:tcPr>
          <w:p w14:paraId="6424B5AD"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w:t>
            </w:r>
          </w:p>
        </w:tc>
        <w:tc>
          <w:tcPr>
            <w:tcW w:w="0" w:type="auto"/>
            <w:tcBorders>
              <w:top w:val="nil"/>
              <w:left w:val="nil"/>
              <w:bottom w:val="nil"/>
              <w:right w:val="nil"/>
            </w:tcBorders>
            <w:noWrap/>
            <w:vAlign w:val="center"/>
            <w:hideMark/>
          </w:tcPr>
          <w:p w14:paraId="6F5AA069"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0.0%</w:t>
            </w:r>
          </w:p>
        </w:tc>
        <w:tc>
          <w:tcPr>
            <w:tcW w:w="0" w:type="auto"/>
            <w:tcBorders>
              <w:top w:val="nil"/>
              <w:left w:val="nil"/>
              <w:bottom w:val="nil"/>
              <w:right w:val="nil"/>
            </w:tcBorders>
            <w:noWrap/>
            <w:vAlign w:val="center"/>
            <w:hideMark/>
          </w:tcPr>
          <w:p w14:paraId="02C8D1F0"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2</w:t>
            </w:r>
          </w:p>
        </w:tc>
        <w:tc>
          <w:tcPr>
            <w:tcW w:w="0" w:type="auto"/>
            <w:tcBorders>
              <w:top w:val="nil"/>
              <w:left w:val="nil"/>
              <w:bottom w:val="nil"/>
              <w:right w:val="nil"/>
            </w:tcBorders>
            <w:noWrap/>
            <w:vAlign w:val="center"/>
            <w:hideMark/>
          </w:tcPr>
          <w:p w14:paraId="6D2A85FA"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3.0%</w:t>
            </w:r>
          </w:p>
        </w:tc>
        <w:tc>
          <w:tcPr>
            <w:tcW w:w="986" w:type="dxa"/>
            <w:tcBorders>
              <w:top w:val="nil"/>
              <w:left w:val="nil"/>
              <w:bottom w:val="nil"/>
              <w:right w:val="nil"/>
            </w:tcBorders>
            <w:vAlign w:val="center"/>
          </w:tcPr>
          <w:p w14:paraId="1362C4F5" w14:textId="70F74395" w:rsidR="00BA376C" w:rsidRPr="00F05264" w:rsidRDefault="00706E6F" w:rsidP="009E50CF">
            <w:pPr>
              <w:jc w:val="center"/>
              <w:rPr>
                <w:rFonts w:ascii="Arial" w:hAnsi="Arial" w:cs="Arial"/>
                <w:color w:val="000000"/>
                <w:sz w:val="20"/>
                <w:szCs w:val="20"/>
                <w:lang w:val="en-GB"/>
              </w:rPr>
            </w:pPr>
            <w:r>
              <w:rPr>
                <w:rFonts w:ascii="Arial" w:hAnsi="Arial" w:cs="Arial"/>
                <w:color w:val="000000"/>
                <w:sz w:val="20"/>
                <w:szCs w:val="20"/>
                <w:lang w:val="en-GB"/>
              </w:rPr>
              <w:t>&gt;0.999</w:t>
            </w:r>
          </w:p>
        </w:tc>
      </w:tr>
      <w:tr w:rsidR="00BA376C" w:rsidRPr="00F05264" w14:paraId="0DE184F6" w14:textId="77777777" w:rsidTr="009E50CF">
        <w:trPr>
          <w:trHeight w:val="320"/>
        </w:trPr>
        <w:tc>
          <w:tcPr>
            <w:tcW w:w="0" w:type="auto"/>
            <w:tcBorders>
              <w:top w:val="nil"/>
              <w:left w:val="nil"/>
              <w:bottom w:val="nil"/>
              <w:right w:val="nil"/>
            </w:tcBorders>
            <w:noWrap/>
            <w:vAlign w:val="bottom"/>
            <w:hideMark/>
          </w:tcPr>
          <w:p w14:paraId="30B2AA7F"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Staphylococcus hominis</w:t>
            </w:r>
          </w:p>
        </w:tc>
        <w:tc>
          <w:tcPr>
            <w:tcW w:w="0" w:type="auto"/>
            <w:tcBorders>
              <w:top w:val="nil"/>
              <w:left w:val="nil"/>
              <w:bottom w:val="nil"/>
              <w:right w:val="nil"/>
            </w:tcBorders>
            <w:noWrap/>
            <w:vAlign w:val="center"/>
            <w:hideMark/>
          </w:tcPr>
          <w:p w14:paraId="51438DF2"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w:t>
            </w:r>
          </w:p>
        </w:tc>
        <w:tc>
          <w:tcPr>
            <w:tcW w:w="0" w:type="auto"/>
            <w:tcBorders>
              <w:top w:val="nil"/>
              <w:left w:val="nil"/>
              <w:bottom w:val="nil"/>
              <w:right w:val="nil"/>
            </w:tcBorders>
            <w:noWrap/>
            <w:vAlign w:val="center"/>
            <w:hideMark/>
          </w:tcPr>
          <w:p w14:paraId="27A96584"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0.0%</w:t>
            </w:r>
          </w:p>
        </w:tc>
        <w:tc>
          <w:tcPr>
            <w:tcW w:w="0" w:type="auto"/>
            <w:tcBorders>
              <w:top w:val="nil"/>
              <w:left w:val="nil"/>
              <w:bottom w:val="nil"/>
              <w:right w:val="nil"/>
            </w:tcBorders>
            <w:noWrap/>
            <w:vAlign w:val="center"/>
            <w:hideMark/>
          </w:tcPr>
          <w:p w14:paraId="28A8424F"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2</w:t>
            </w:r>
          </w:p>
        </w:tc>
        <w:tc>
          <w:tcPr>
            <w:tcW w:w="0" w:type="auto"/>
            <w:tcBorders>
              <w:top w:val="nil"/>
              <w:left w:val="nil"/>
              <w:bottom w:val="nil"/>
              <w:right w:val="nil"/>
            </w:tcBorders>
            <w:noWrap/>
            <w:vAlign w:val="center"/>
            <w:hideMark/>
          </w:tcPr>
          <w:p w14:paraId="5A04A3DE"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3.0%</w:t>
            </w:r>
          </w:p>
        </w:tc>
        <w:tc>
          <w:tcPr>
            <w:tcW w:w="986" w:type="dxa"/>
            <w:tcBorders>
              <w:top w:val="nil"/>
              <w:left w:val="nil"/>
              <w:bottom w:val="nil"/>
              <w:right w:val="nil"/>
            </w:tcBorders>
            <w:vAlign w:val="center"/>
          </w:tcPr>
          <w:p w14:paraId="7F0F6D50" w14:textId="70411637" w:rsidR="00BA376C" w:rsidRPr="00F05264" w:rsidRDefault="00706E6F" w:rsidP="009E50CF">
            <w:pPr>
              <w:jc w:val="center"/>
              <w:rPr>
                <w:rFonts w:ascii="Arial" w:hAnsi="Arial" w:cs="Arial"/>
                <w:color w:val="000000"/>
                <w:sz w:val="20"/>
                <w:szCs w:val="20"/>
                <w:lang w:val="en-GB"/>
              </w:rPr>
            </w:pPr>
            <w:r>
              <w:rPr>
                <w:rFonts w:ascii="Arial" w:hAnsi="Arial" w:cs="Arial"/>
                <w:color w:val="000000"/>
                <w:sz w:val="20"/>
                <w:szCs w:val="20"/>
                <w:lang w:val="en-GB"/>
              </w:rPr>
              <w:t>&gt;0.999</w:t>
            </w:r>
          </w:p>
        </w:tc>
      </w:tr>
      <w:tr w:rsidR="00BA376C" w:rsidRPr="00F05264" w14:paraId="65AB73BF" w14:textId="77777777" w:rsidTr="009E50CF">
        <w:trPr>
          <w:trHeight w:val="320"/>
        </w:trPr>
        <w:tc>
          <w:tcPr>
            <w:tcW w:w="0" w:type="auto"/>
            <w:tcBorders>
              <w:top w:val="nil"/>
              <w:left w:val="nil"/>
              <w:bottom w:val="nil"/>
              <w:right w:val="nil"/>
            </w:tcBorders>
            <w:noWrap/>
            <w:vAlign w:val="bottom"/>
            <w:hideMark/>
          </w:tcPr>
          <w:p w14:paraId="1FB67E40"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 xml:space="preserve">Staphylococcus </w:t>
            </w:r>
            <w:proofErr w:type="spellStart"/>
            <w:r w:rsidRPr="00F05264">
              <w:rPr>
                <w:rFonts w:ascii="Arial" w:hAnsi="Arial" w:cs="Arial"/>
                <w:i/>
                <w:iCs/>
                <w:color w:val="000000"/>
                <w:sz w:val="20"/>
                <w:szCs w:val="20"/>
                <w:lang w:val="en-GB"/>
              </w:rPr>
              <w:t>lugdunensis</w:t>
            </w:r>
            <w:proofErr w:type="spellEnd"/>
          </w:p>
        </w:tc>
        <w:tc>
          <w:tcPr>
            <w:tcW w:w="0" w:type="auto"/>
            <w:tcBorders>
              <w:top w:val="nil"/>
              <w:left w:val="nil"/>
              <w:bottom w:val="nil"/>
              <w:right w:val="nil"/>
            </w:tcBorders>
            <w:noWrap/>
            <w:vAlign w:val="center"/>
            <w:hideMark/>
          </w:tcPr>
          <w:p w14:paraId="37162F86"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w:t>
            </w:r>
          </w:p>
        </w:tc>
        <w:tc>
          <w:tcPr>
            <w:tcW w:w="0" w:type="auto"/>
            <w:tcBorders>
              <w:top w:val="nil"/>
              <w:left w:val="nil"/>
              <w:bottom w:val="nil"/>
              <w:right w:val="nil"/>
            </w:tcBorders>
            <w:noWrap/>
            <w:vAlign w:val="center"/>
            <w:hideMark/>
          </w:tcPr>
          <w:p w14:paraId="6929EC16"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4.0%</w:t>
            </w:r>
          </w:p>
        </w:tc>
        <w:tc>
          <w:tcPr>
            <w:tcW w:w="0" w:type="auto"/>
            <w:tcBorders>
              <w:top w:val="nil"/>
              <w:left w:val="nil"/>
              <w:bottom w:val="nil"/>
              <w:right w:val="nil"/>
            </w:tcBorders>
            <w:noWrap/>
            <w:vAlign w:val="center"/>
            <w:hideMark/>
          </w:tcPr>
          <w:p w14:paraId="085301FB"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w:t>
            </w:r>
          </w:p>
        </w:tc>
        <w:tc>
          <w:tcPr>
            <w:tcW w:w="0" w:type="auto"/>
            <w:tcBorders>
              <w:top w:val="nil"/>
              <w:left w:val="nil"/>
              <w:bottom w:val="nil"/>
              <w:right w:val="nil"/>
            </w:tcBorders>
            <w:noWrap/>
            <w:vAlign w:val="center"/>
            <w:hideMark/>
          </w:tcPr>
          <w:p w14:paraId="737FA291"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1.5%</w:t>
            </w:r>
          </w:p>
        </w:tc>
        <w:tc>
          <w:tcPr>
            <w:tcW w:w="986" w:type="dxa"/>
            <w:tcBorders>
              <w:top w:val="nil"/>
              <w:left w:val="nil"/>
              <w:bottom w:val="nil"/>
              <w:right w:val="nil"/>
            </w:tcBorders>
            <w:vAlign w:val="center"/>
          </w:tcPr>
          <w:p w14:paraId="028C9136"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0.472</w:t>
            </w:r>
          </w:p>
        </w:tc>
      </w:tr>
      <w:tr w:rsidR="00BA376C" w:rsidRPr="00F05264" w14:paraId="50257E1C" w14:textId="77777777" w:rsidTr="009E50CF">
        <w:trPr>
          <w:trHeight w:val="320"/>
        </w:trPr>
        <w:tc>
          <w:tcPr>
            <w:tcW w:w="0" w:type="auto"/>
            <w:tcBorders>
              <w:top w:val="nil"/>
              <w:left w:val="nil"/>
              <w:bottom w:val="nil"/>
              <w:right w:val="nil"/>
            </w:tcBorders>
            <w:noWrap/>
            <w:vAlign w:val="bottom"/>
            <w:hideMark/>
          </w:tcPr>
          <w:p w14:paraId="7D8449E4"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 xml:space="preserve">Staphylococcus </w:t>
            </w:r>
            <w:proofErr w:type="spellStart"/>
            <w:r w:rsidRPr="00F05264">
              <w:rPr>
                <w:rFonts w:ascii="Arial" w:hAnsi="Arial" w:cs="Arial"/>
                <w:i/>
                <w:iCs/>
                <w:color w:val="000000"/>
                <w:sz w:val="20"/>
                <w:szCs w:val="20"/>
                <w:lang w:val="en-GB"/>
              </w:rPr>
              <w:t>pasteuri</w:t>
            </w:r>
            <w:proofErr w:type="spellEnd"/>
          </w:p>
        </w:tc>
        <w:tc>
          <w:tcPr>
            <w:tcW w:w="0" w:type="auto"/>
            <w:tcBorders>
              <w:top w:val="nil"/>
              <w:left w:val="nil"/>
              <w:bottom w:val="nil"/>
              <w:right w:val="nil"/>
            </w:tcBorders>
            <w:noWrap/>
            <w:vAlign w:val="center"/>
            <w:hideMark/>
          </w:tcPr>
          <w:p w14:paraId="5713A910"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w:t>
            </w:r>
          </w:p>
        </w:tc>
        <w:tc>
          <w:tcPr>
            <w:tcW w:w="0" w:type="auto"/>
            <w:tcBorders>
              <w:top w:val="nil"/>
              <w:left w:val="nil"/>
              <w:bottom w:val="nil"/>
              <w:right w:val="nil"/>
            </w:tcBorders>
            <w:noWrap/>
            <w:vAlign w:val="center"/>
            <w:hideMark/>
          </w:tcPr>
          <w:p w14:paraId="2849A09B"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4.0%</w:t>
            </w:r>
          </w:p>
        </w:tc>
        <w:tc>
          <w:tcPr>
            <w:tcW w:w="0" w:type="auto"/>
            <w:tcBorders>
              <w:top w:val="nil"/>
              <w:left w:val="nil"/>
              <w:bottom w:val="nil"/>
              <w:right w:val="nil"/>
            </w:tcBorders>
            <w:noWrap/>
            <w:vAlign w:val="center"/>
            <w:hideMark/>
          </w:tcPr>
          <w:p w14:paraId="2BA33353"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7</w:t>
            </w:r>
          </w:p>
        </w:tc>
        <w:tc>
          <w:tcPr>
            <w:tcW w:w="0" w:type="auto"/>
            <w:tcBorders>
              <w:top w:val="nil"/>
              <w:left w:val="nil"/>
              <w:bottom w:val="nil"/>
              <w:right w:val="nil"/>
            </w:tcBorders>
            <w:noWrap/>
            <w:vAlign w:val="center"/>
            <w:hideMark/>
          </w:tcPr>
          <w:p w14:paraId="2EF4C8E7"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10.4%</w:t>
            </w:r>
          </w:p>
        </w:tc>
        <w:tc>
          <w:tcPr>
            <w:tcW w:w="986" w:type="dxa"/>
            <w:tcBorders>
              <w:top w:val="nil"/>
              <w:left w:val="nil"/>
              <w:bottom w:val="nil"/>
              <w:right w:val="nil"/>
            </w:tcBorders>
            <w:vAlign w:val="center"/>
          </w:tcPr>
          <w:p w14:paraId="7FCBFFE9"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0.440</w:t>
            </w:r>
          </w:p>
        </w:tc>
      </w:tr>
      <w:tr w:rsidR="00BA376C" w:rsidRPr="00F05264" w14:paraId="1983AD83" w14:textId="77777777" w:rsidTr="009E50CF">
        <w:trPr>
          <w:trHeight w:val="320"/>
        </w:trPr>
        <w:tc>
          <w:tcPr>
            <w:tcW w:w="0" w:type="auto"/>
            <w:tcBorders>
              <w:top w:val="nil"/>
              <w:left w:val="nil"/>
              <w:bottom w:val="nil"/>
              <w:right w:val="nil"/>
            </w:tcBorders>
            <w:noWrap/>
            <w:vAlign w:val="bottom"/>
            <w:hideMark/>
          </w:tcPr>
          <w:p w14:paraId="4963EABD"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 xml:space="preserve">Staphylococcus </w:t>
            </w:r>
            <w:proofErr w:type="spellStart"/>
            <w:r w:rsidRPr="00F05264">
              <w:rPr>
                <w:rFonts w:ascii="Arial" w:hAnsi="Arial" w:cs="Arial"/>
                <w:i/>
                <w:iCs/>
                <w:color w:val="000000"/>
                <w:sz w:val="20"/>
                <w:szCs w:val="20"/>
                <w:lang w:val="en-GB"/>
              </w:rPr>
              <w:t>pettenkoferi</w:t>
            </w:r>
            <w:proofErr w:type="spellEnd"/>
          </w:p>
        </w:tc>
        <w:tc>
          <w:tcPr>
            <w:tcW w:w="0" w:type="auto"/>
            <w:tcBorders>
              <w:top w:val="nil"/>
              <w:left w:val="nil"/>
              <w:bottom w:val="nil"/>
              <w:right w:val="nil"/>
            </w:tcBorders>
            <w:noWrap/>
            <w:vAlign w:val="center"/>
            <w:hideMark/>
          </w:tcPr>
          <w:p w14:paraId="19312416"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w:t>
            </w:r>
          </w:p>
        </w:tc>
        <w:tc>
          <w:tcPr>
            <w:tcW w:w="0" w:type="auto"/>
            <w:tcBorders>
              <w:top w:val="nil"/>
              <w:left w:val="nil"/>
              <w:bottom w:val="nil"/>
              <w:right w:val="nil"/>
            </w:tcBorders>
            <w:noWrap/>
            <w:vAlign w:val="center"/>
            <w:hideMark/>
          </w:tcPr>
          <w:p w14:paraId="0D422827"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0.0%</w:t>
            </w:r>
          </w:p>
        </w:tc>
        <w:tc>
          <w:tcPr>
            <w:tcW w:w="0" w:type="auto"/>
            <w:tcBorders>
              <w:top w:val="nil"/>
              <w:left w:val="nil"/>
              <w:bottom w:val="nil"/>
              <w:right w:val="nil"/>
            </w:tcBorders>
            <w:noWrap/>
            <w:vAlign w:val="center"/>
            <w:hideMark/>
          </w:tcPr>
          <w:p w14:paraId="3E0B1092"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2</w:t>
            </w:r>
          </w:p>
        </w:tc>
        <w:tc>
          <w:tcPr>
            <w:tcW w:w="0" w:type="auto"/>
            <w:tcBorders>
              <w:top w:val="nil"/>
              <w:left w:val="nil"/>
              <w:bottom w:val="nil"/>
              <w:right w:val="nil"/>
            </w:tcBorders>
            <w:noWrap/>
            <w:vAlign w:val="center"/>
            <w:hideMark/>
          </w:tcPr>
          <w:p w14:paraId="498797EA"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3.0%</w:t>
            </w:r>
          </w:p>
        </w:tc>
        <w:tc>
          <w:tcPr>
            <w:tcW w:w="986" w:type="dxa"/>
            <w:tcBorders>
              <w:top w:val="nil"/>
              <w:left w:val="nil"/>
              <w:bottom w:val="nil"/>
              <w:right w:val="nil"/>
            </w:tcBorders>
            <w:vAlign w:val="center"/>
          </w:tcPr>
          <w:p w14:paraId="71DBD4E8" w14:textId="2EA8FEAD" w:rsidR="00BA376C" w:rsidRPr="00F05264" w:rsidRDefault="00706E6F" w:rsidP="009E50CF">
            <w:pPr>
              <w:jc w:val="center"/>
              <w:rPr>
                <w:rFonts w:ascii="Arial" w:hAnsi="Arial" w:cs="Arial"/>
                <w:color w:val="000000"/>
                <w:sz w:val="20"/>
                <w:szCs w:val="20"/>
                <w:lang w:val="en-GB"/>
              </w:rPr>
            </w:pPr>
            <w:r>
              <w:rPr>
                <w:rFonts w:ascii="Arial" w:hAnsi="Arial" w:cs="Arial"/>
                <w:color w:val="000000"/>
                <w:sz w:val="20"/>
                <w:szCs w:val="20"/>
                <w:lang w:val="en-GB"/>
              </w:rPr>
              <w:t>&gt;0.999</w:t>
            </w:r>
          </w:p>
        </w:tc>
      </w:tr>
      <w:tr w:rsidR="00BA376C" w:rsidRPr="00F05264" w14:paraId="23A7776B" w14:textId="77777777" w:rsidTr="009E50CF">
        <w:trPr>
          <w:trHeight w:val="320"/>
        </w:trPr>
        <w:tc>
          <w:tcPr>
            <w:tcW w:w="0" w:type="auto"/>
            <w:tcBorders>
              <w:top w:val="nil"/>
              <w:left w:val="nil"/>
              <w:bottom w:val="nil"/>
              <w:right w:val="nil"/>
            </w:tcBorders>
            <w:noWrap/>
            <w:vAlign w:val="bottom"/>
            <w:hideMark/>
          </w:tcPr>
          <w:p w14:paraId="6BA43D59"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Staphylococcus saprophyticus</w:t>
            </w:r>
          </w:p>
        </w:tc>
        <w:tc>
          <w:tcPr>
            <w:tcW w:w="0" w:type="auto"/>
            <w:tcBorders>
              <w:top w:val="nil"/>
              <w:left w:val="nil"/>
              <w:bottom w:val="nil"/>
              <w:right w:val="nil"/>
            </w:tcBorders>
            <w:noWrap/>
            <w:vAlign w:val="center"/>
            <w:hideMark/>
          </w:tcPr>
          <w:p w14:paraId="16D27978"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3</w:t>
            </w:r>
          </w:p>
        </w:tc>
        <w:tc>
          <w:tcPr>
            <w:tcW w:w="0" w:type="auto"/>
            <w:tcBorders>
              <w:top w:val="nil"/>
              <w:left w:val="nil"/>
              <w:bottom w:val="nil"/>
              <w:right w:val="nil"/>
            </w:tcBorders>
            <w:noWrap/>
            <w:vAlign w:val="center"/>
            <w:hideMark/>
          </w:tcPr>
          <w:p w14:paraId="238AA6EB"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12.0%</w:t>
            </w:r>
          </w:p>
        </w:tc>
        <w:tc>
          <w:tcPr>
            <w:tcW w:w="0" w:type="auto"/>
            <w:tcBorders>
              <w:top w:val="nil"/>
              <w:left w:val="nil"/>
              <w:bottom w:val="nil"/>
              <w:right w:val="nil"/>
            </w:tcBorders>
            <w:noWrap/>
            <w:vAlign w:val="center"/>
            <w:hideMark/>
          </w:tcPr>
          <w:p w14:paraId="1932534D"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3</w:t>
            </w:r>
          </w:p>
        </w:tc>
        <w:tc>
          <w:tcPr>
            <w:tcW w:w="0" w:type="auto"/>
            <w:tcBorders>
              <w:top w:val="nil"/>
              <w:left w:val="nil"/>
              <w:bottom w:val="nil"/>
              <w:right w:val="nil"/>
            </w:tcBorders>
            <w:noWrap/>
            <w:vAlign w:val="center"/>
            <w:hideMark/>
          </w:tcPr>
          <w:p w14:paraId="3AB260DA"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4.5%</w:t>
            </w:r>
          </w:p>
        </w:tc>
        <w:tc>
          <w:tcPr>
            <w:tcW w:w="986" w:type="dxa"/>
            <w:tcBorders>
              <w:top w:val="nil"/>
              <w:left w:val="nil"/>
              <w:bottom w:val="nil"/>
              <w:right w:val="nil"/>
            </w:tcBorders>
            <w:vAlign w:val="center"/>
          </w:tcPr>
          <w:p w14:paraId="683A67A8"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0.339</w:t>
            </w:r>
          </w:p>
        </w:tc>
      </w:tr>
      <w:tr w:rsidR="00BA376C" w:rsidRPr="00F05264" w14:paraId="4BD85202" w14:textId="77777777" w:rsidTr="009E50CF">
        <w:trPr>
          <w:trHeight w:val="320"/>
        </w:trPr>
        <w:tc>
          <w:tcPr>
            <w:tcW w:w="0" w:type="auto"/>
            <w:tcBorders>
              <w:top w:val="nil"/>
              <w:left w:val="nil"/>
              <w:bottom w:val="single" w:sz="4" w:space="0" w:color="auto"/>
              <w:right w:val="nil"/>
            </w:tcBorders>
            <w:noWrap/>
            <w:vAlign w:val="bottom"/>
            <w:hideMark/>
          </w:tcPr>
          <w:p w14:paraId="6A9D001C" w14:textId="77777777" w:rsidR="00BA376C" w:rsidRPr="00F05264" w:rsidRDefault="00BA376C" w:rsidP="009E50CF">
            <w:pPr>
              <w:rPr>
                <w:rFonts w:ascii="Arial" w:hAnsi="Arial" w:cs="Arial"/>
                <w:i/>
                <w:iCs/>
                <w:color w:val="000000"/>
                <w:sz w:val="20"/>
                <w:szCs w:val="20"/>
                <w:lang w:val="en-GB"/>
              </w:rPr>
            </w:pPr>
            <w:r w:rsidRPr="00F05264">
              <w:rPr>
                <w:rFonts w:ascii="Arial" w:hAnsi="Arial" w:cs="Arial"/>
                <w:i/>
                <w:iCs/>
                <w:color w:val="000000"/>
                <w:sz w:val="20"/>
                <w:szCs w:val="20"/>
                <w:lang w:val="en-GB"/>
              </w:rPr>
              <w:t xml:space="preserve">Staphylococcus </w:t>
            </w:r>
            <w:proofErr w:type="spellStart"/>
            <w:r w:rsidRPr="00F05264">
              <w:rPr>
                <w:rFonts w:ascii="Arial" w:hAnsi="Arial" w:cs="Arial"/>
                <w:i/>
                <w:iCs/>
                <w:color w:val="000000"/>
                <w:sz w:val="20"/>
                <w:szCs w:val="20"/>
                <w:lang w:val="en-GB"/>
              </w:rPr>
              <w:t>warneri</w:t>
            </w:r>
            <w:proofErr w:type="spellEnd"/>
          </w:p>
        </w:tc>
        <w:tc>
          <w:tcPr>
            <w:tcW w:w="0" w:type="auto"/>
            <w:tcBorders>
              <w:top w:val="nil"/>
              <w:left w:val="nil"/>
              <w:bottom w:val="single" w:sz="4" w:space="0" w:color="auto"/>
              <w:right w:val="nil"/>
            </w:tcBorders>
            <w:noWrap/>
            <w:vAlign w:val="center"/>
            <w:hideMark/>
          </w:tcPr>
          <w:p w14:paraId="241A33E0"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4</w:t>
            </w:r>
          </w:p>
        </w:tc>
        <w:tc>
          <w:tcPr>
            <w:tcW w:w="0" w:type="auto"/>
            <w:tcBorders>
              <w:top w:val="nil"/>
              <w:left w:val="nil"/>
              <w:bottom w:val="single" w:sz="4" w:space="0" w:color="auto"/>
              <w:right w:val="nil"/>
            </w:tcBorders>
            <w:noWrap/>
            <w:vAlign w:val="center"/>
            <w:hideMark/>
          </w:tcPr>
          <w:p w14:paraId="1C44DBF6"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16.0%</w:t>
            </w:r>
          </w:p>
        </w:tc>
        <w:tc>
          <w:tcPr>
            <w:tcW w:w="0" w:type="auto"/>
            <w:tcBorders>
              <w:top w:val="nil"/>
              <w:left w:val="nil"/>
              <w:bottom w:val="single" w:sz="4" w:space="0" w:color="auto"/>
              <w:right w:val="nil"/>
            </w:tcBorders>
            <w:noWrap/>
            <w:vAlign w:val="center"/>
            <w:hideMark/>
          </w:tcPr>
          <w:p w14:paraId="18B74011"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12</w:t>
            </w:r>
          </w:p>
        </w:tc>
        <w:tc>
          <w:tcPr>
            <w:tcW w:w="0" w:type="auto"/>
            <w:tcBorders>
              <w:top w:val="nil"/>
              <w:left w:val="nil"/>
              <w:bottom w:val="single" w:sz="4" w:space="0" w:color="auto"/>
              <w:right w:val="nil"/>
            </w:tcBorders>
            <w:noWrap/>
            <w:vAlign w:val="center"/>
            <w:hideMark/>
          </w:tcPr>
          <w:p w14:paraId="49217B88" w14:textId="77777777" w:rsidR="00BA376C" w:rsidRPr="00F05264" w:rsidRDefault="00BA376C" w:rsidP="009E50CF">
            <w:pPr>
              <w:jc w:val="center"/>
              <w:rPr>
                <w:rFonts w:ascii="Arial" w:hAnsi="Arial" w:cs="Arial"/>
                <w:color w:val="000000"/>
                <w:sz w:val="20"/>
                <w:szCs w:val="20"/>
                <w:lang w:val="en-GB"/>
              </w:rPr>
            </w:pPr>
            <w:r w:rsidRPr="00F05264">
              <w:rPr>
                <w:rFonts w:ascii="Arial" w:hAnsi="Arial" w:cs="Arial"/>
                <w:color w:val="000000"/>
                <w:sz w:val="20"/>
                <w:szCs w:val="20"/>
                <w:lang w:val="en-GB"/>
              </w:rPr>
              <w:t>17.9%</w:t>
            </w:r>
          </w:p>
        </w:tc>
        <w:tc>
          <w:tcPr>
            <w:tcW w:w="986" w:type="dxa"/>
            <w:tcBorders>
              <w:top w:val="nil"/>
              <w:left w:val="nil"/>
              <w:bottom w:val="single" w:sz="4" w:space="0" w:color="auto"/>
              <w:right w:val="nil"/>
            </w:tcBorders>
            <w:vAlign w:val="center"/>
          </w:tcPr>
          <w:p w14:paraId="248CE274" w14:textId="20977BF7" w:rsidR="00BA376C" w:rsidRPr="00F05264" w:rsidRDefault="00706E6F" w:rsidP="009E50CF">
            <w:pPr>
              <w:jc w:val="center"/>
              <w:rPr>
                <w:rFonts w:ascii="Arial" w:hAnsi="Arial" w:cs="Arial"/>
                <w:color w:val="000000"/>
                <w:sz w:val="20"/>
                <w:szCs w:val="20"/>
                <w:lang w:val="en-GB"/>
              </w:rPr>
            </w:pPr>
            <w:r>
              <w:rPr>
                <w:rFonts w:ascii="Arial" w:hAnsi="Arial" w:cs="Arial"/>
                <w:color w:val="000000"/>
                <w:sz w:val="20"/>
                <w:szCs w:val="20"/>
                <w:lang w:val="en-GB"/>
              </w:rPr>
              <w:t>&gt;0.999</w:t>
            </w:r>
          </w:p>
        </w:tc>
      </w:tr>
    </w:tbl>
    <w:p w14:paraId="61952A67" w14:textId="77777777" w:rsidR="00943DFF" w:rsidRPr="00F05264" w:rsidRDefault="00063442">
      <w:pPr>
        <w:rPr>
          <w:rFonts w:ascii="Arial" w:hAnsi="Arial" w:cs="Arial"/>
        </w:rPr>
      </w:pPr>
      <w:r w:rsidRPr="00F05264">
        <w:rPr>
          <w:rFonts w:ascii="Arial" w:hAnsi="Arial" w:cs="Arial"/>
          <w:sz w:val="18"/>
        </w:rPr>
        <w:t>P-values were calculated using Fisher's exact test.</w:t>
      </w:r>
    </w:p>
    <w:p w14:paraId="68AF3C99" w14:textId="77777777" w:rsidR="00943DFF" w:rsidRPr="00F05264" w:rsidRDefault="00063442">
      <w:pPr>
        <w:rPr>
          <w:rFonts w:ascii="Arial" w:hAnsi="Arial" w:cs="Arial"/>
        </w:rPr>
      </w:pPr>
      <w:r w:rsidRPr="00F05264">
        <w:rPr>
          <w:rFonts w:ascii="Arial" w:hAnsi="Arial" w:cs="Arial"/>
        </w:rPr>
        <w:br w:type="page"/>
      </w:r>
    </w:p>
    <w:p w14:paraId="25B4ADF3" w14:textId="56D26E6F" w:rsidR="00943DFF" w:rsidRPr="00F05264" w:rsidRDefault="00D05735" w:rsidP="00F05264">
      <w:pPr>
        <w:pStyle w:val="Heading1"/>
        <w:rPr>
          <w:rFonts w:ascii="Arial" w:hAnsi="Arial" w:cs="Arial"/>
          <w:color w:val="000000" w:themeColor="text1"/>
          <w:sz w:val="24"/>
          <w:szCs w:val="24"/>
        </w:rPr>
      </w:pPr>
      <w:r w:rsidRPr="00D05735">
        <w:rPr>
          <w:rFonts w:ascii="Arial" w:hAnsi="Arial" w:cs="Arial"/>
          <w:color w:val="000000" w:themeColor="text1"/>
          <w:sz w:val="24"/>
          <w:szCs w:val="24"/>
        </w:rPr>
        <w:lastRenderedPageBreak/>
        <w:t>Supplementary</w:t>
      </w:r>
      <w:r w:rsidRPr="00F05264">
        <w:rPr>
          <w:rFonts w:ascii="Arial" w:hAnsi="Arial" w:cs="Arial"/>
          <w:color w:val="000000" w:themeColor="text1"/>
          <w:sz w:val="24"/>
          <w:szCs w:val="24"/>
        </w:rPr>
        <w:t xml:space="preserve"> </w:t>
      </w:r>
      <w:r w:rsidR="00063442" w:rsidRPr="00F05264">
        <w:rPr>
          <w:rFonts w:ascii="Arial" w:hAnsi="Arial" w:cs="Arial"/>
          <w:color w:val="000000" w:themeColor="text1"/>
          <w:sz w:val="24"/>
          <w:szCs w:val="24"/>
        </w:rPr>
        <w:t>Figures</w:t>
      </w:r>
    </w:p>
    <w:p w14:paraId="1F81FA21" w14:textId="36791FA7" w:rsidR="00943DFF" w:rsidRPr="00F05264" w:rsidRDefault="00D05735">
      <w:pPr>
        <w:rPr>
          <w:rFonts w:ascii="Arial" w:hAnsi="Arial" w:cs="Arial"/>
        </w:rPr>
      </w:pPr>
      <w:r w:rsidRPr="00D05735">
        <w:rPr>
          <w:rFonts w:ascii="Arial" w:hAnsi="Arial" w:cs="Arial"/>
        </w:rPr>
        <w:t>Supplementary</w:t>
      </w:r>
      <w:r w:rsidRPr="00F05264">
        <w:rPr>
          <w:rFonts w:ascii="Arial" w:hAnsi="Arial" w:cs="Arial"/>
        </w:rPr>
        <w:t xml:space="preserve"> </w:t>
      </w:r>
      <w:r w:rsidR="00063442" w:rsidRPr="00F05264">
        <w:rPr>
          <w:rFonts w:ascii="Arial" w:hAnsi="Arial" w:cs="Arial"/>
        </w:rPr>
        <w:t xml:space="preserve">Figure </w:t>
      </w:r>
      <w:r>
        <w:rPr>
          <w:rFonts w:ascii="Arial" w:hAnsi="Arial" w:cs="Arial"/>
        </w:rPr>
        <w:t>S</w:t>
      </w:r>
      <w:r w:rsidR="00063442" w:rsidRPr="00F05264">
        <w:rPr>
          <w:rFonts w:ascii="Arial" w:hAnsi="Arial" w:cs="Arial"/>
        </w:rPr>
        <w:t xml:space="preserve">1: Dendrogram representing the hierarchical clustering of </w:t>
      </w:r>
      <w:r w:rsidR="00063442" w:rsidRPr="00F05264">
        <w:rPr>
          <w:rFonts w:ascii="Arial" w:hAnsi="Arial" w:cs="Arial"/>
          <w:i/>
          <w:iCs/>
        </w:rPr>
        <w:t xml:space="preserve">Staphylococcus </w:t>
      </w:r>
      <w:proofErr w:type="spellStart"/>
      <w:r w:rsidR="00063442" w:rsidRPr="00F05264">
        <w:rPr>
          <w:rFonts w:ascii="Arial" w:hAnsi="Arial" w:cs="Arial"/>
          <w:i/>
          <w:iCs/>
        </w:rPr>
        <w:t>warneri</w:t>
      </w:r>
      <w:proofErr w:type="spellEnd"/>
      <w:r w:rsidR="00063442" w:rsidRPr="00F05264">
        <w:rPr>
          <w:rFonts w:ascii="Arial" w:hAnsi="Arial" w:cs="Arial"/>
          <w:i/>
          <w:iCs/>
        </w:rPr>
        <w:t xml:space="preserve"> i</w:t>
      </w:r>
      <w:r w:rsidR="00063442" w:rsidRPr="00F05264">
        <w:rPr>
          <w:rFonts w:ascii="Arial" w:hAnsi="Arial" w:cs="Arial"/>
        </w:rPr>
        <w:t>solates based on FTIR-ATR spectra. The dashed line indicates the clustering cut-off value of 0.160.</w:t>
      </w:r>
    </w:p>
    <w:p w14:paraId="01AA6ADF" w14:textId="54D75434" w:rsidR="00BA376C" w:rsidRPr="00F05264" w:rsidRDefault="00BA376C">
      <w:pPr>
        <w:rPr>
          <w:rFonts w:ascii="Arial" w:hAnsi="Arial" w:cs="Arial"/>
        </w:rPr>
      </w:pPr>
      <w:r w:rsidRPr="00F05264">
        <w:rPr>
          <w:rFonts w:ascii="Arial" w:hAnsi="Arial" w:cs="Arial"/>
          <w:noProof/>
        </w:rPr>
        <w:drawing>
          <wp:inline distT="0" distB="0" distL="0" distR="0" wp14:anchorId="1EEDBA76" wp14:editId="206067F3">
            <wp:extent cx="4285753" cy="6573181"/>
            <wp:effectExtent l="0" t="0" r="0" b="5715"/>
            <wp:docPr id="26057684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76840" name="Imagem 260576840"/>
                    <pic:cNvPicPr/>
                  </pic:nvPicPr>
                  <pic:blipFill>
                    <a:blip r:embed="rId8"/>
                    <a:stretch>
                      <a:fillRect/>
                    </a:stretch>
                  </pic:blipFill>
                  <pic:spPr>
                    <a:xfrm>
                      <a:off x="0" y="0"/>
                      <a:ext cx="4354892" cy="6679222"/>
                    </a:xfrm>
                    <a:prstGeom prst="rect">
                      <a:avLst/>
                    </a:prstGeom>
                  </pic:spPr>
                </pic:pic>
              </a:graphicData>
            </a:graphic>
          </wp:inline>
        </w:drawing>
      </w:r>
      <w:r w:rsidRPr="00F05264">
        <w:rPr>
          <w:rFonts w:ascii="Arial" w:hAnsi="Arial" w:cs="Arial"/>
        </w:rPr>
        <w:br/>
      </w:r>
    </w:p>
    <w:p w14:paraId="72103B50" w14:textId="77777777" w:rsidR="00C474C7" w:rsidRDefault="00C474C7">
      <w:pPr>
        <w:rPr>
          <w:rFonts w:ascii="Arial" w:hAnsi="Arial" w:cs="Arial"/>
        </w:rPr>
        <w:sectPr w:rsidR="00C474C7" w:rsidSect="00034616">
          <w:footerReference w:type="even" r:id="rId9"/>
          <w:footerReference w:type="default" r:id="rId10"/>
          <w:pgSz w:w="12240" w:h="15840"/>
          <w:pgMar w:top="1440" w:right="1800" w:bottom="1440" w:left="1800" w:header="720" w:footer="720" w:gutter="0"/>
          <w:cols w:space="720"/>
          <w:docGrid w:linePitch="360"/>
        </w:sectPr>
      </w:pPr>
    </w:p>
    <w:p w14:paraId="476B647D" w14:textId="4F23B7CA" w:rsidR="00943DFF" w:rsidRPr="00F05264" w:rsidRDefault="00D05735">
      <w:pPr>
        <w:rPr>
          <w:rFonts w:ascii="Arial" w:hAnsi="Arial" w:cs="Arial"/>
        </w:rPr>
      </w:pPr>
      <w:r w:rsidRPr="00D05735">
        <w:rPr>
          <w:rFonts w:ascii="Arial" w:hAnsi="Arial" w:cs="Arial"/>
        </w:rPr>
        <w:lastRenderedPageBreak/>
        <w:t>Supplementary</w:t>
      </w:r>
      <w:r w:rsidRPr="00F05264">
        <w:rPr>
          <w:rFonts w:ascii="Arial" w:hAnsi="Arial" w:cs="Arial"/>
        </w:rPr>
        <w:t xml:space="preserve"> </w:t>
      </w:r>
      <w:r w:rsidR="00063442" w:rsidRPr="00F05264">
        <w:rPr>
          <w:rFonts w:ascii="Arial" w:hAnsi="Arial" w:cs="Arial"/>
        </w:rPr>
        <w:t xml:space="preserve">Figure </w:t>
      </w:r>
      <w:r>
        <w:rPr>
          <w:rFonts w:ascii="Arial" w:hAnsi="Arial" w:cs="Arial"/>
        </w:rPr>
        <w:t>S</w:t>
      </w:r>
      <w:r w:rsidR="00063442" w:rsidRPr="00F05264">
        <w:rPr>
          <w:rFonts w:ascii="Arial" w:hAnsi="Arial" w:cs="Arial"/>
        </w:rPr>
        <w:t xml:space="preserve">2: Temporal distribution of </w:t>
      </w:r>
      <w:r w:rsidR="00063442" w:rsidRPr="00F05264">
        <w:rPr>
          <w:rFonts w:ascii="Arial" w:hAnsi="Arial" w:cs="Arial"/>
          <w:i/>
          <w:iCs/>
        </w:rPr>
        <w:t xml:space="preserve">Staphylococcus </w:t>
      </w:r>
      <w:proofErr w:type="spellStart"/>
      <w:r w:rsidR="00063442" w:rsidRPr="00F05264">
        <w:rPr>
          <w:rFonts w:ascii="Arial" w:hAnsi="Arial" w:cs="Arial"/>
          <w:i/>
          <w:iCs/>
        </w:rPr>
        <w:t>warneri</w:t>
      </w:r>
      <w:proofErr w:type="spellEnd"/>
      <w:r w:rsidR="00063442" w:rsidRPr="00F05264">
        <w:rPr>
          <w:rFonts w:ascii="Arial" w:hAnsi="Arial" w:cs="Arial"/>
        </w:rPr>
        <w:t xml:space="preserve"> isolates showing marked heterogeneity across sampling time points (T0 to T3).</w:t>
      </w:r>
    </w:p>
    <w:p w14:paraId="2CF9F4D0" w14:textId="35996245" w:rsidR="00BA376C" w:rsidRPr="00F05264" w:rsidRDefault="00BA376C">
      <w:pPr>
        <w:rPr>
          <w:rFonts w:ascii="Arial" w:hAnsi="Arial" w:cs="Arial"/>
        </w:rPr>
      </w:pPr>
      <w:r w:rsidRPr="00F05264">
        <w:rPr>
          <w:rFonts w:ascii="Arial" w:hAnsi="Arial" w:cs="Arial"/>
          <w:noProof/>
        </w:rPr>
        <w:drawing>
          <wp:inline distT="0" distB="0" distL="0" distR="0" wp14:anchorId="2A2BEC7A" wp14:editId="418F6819">
            <wp:extent cx="8107029" cy="4746928"/>
            <wp:effectExtent l="0" t="0" r="0" b="3175"/>
            <wp:docPr id="67152612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26120" name="Imagem 671526120"/>
                    <pic:cNvPicPr/>
                  </pic:nvPicPr>
                  <pic:blipFill>
                    <a:blip r:embed="rId11"/>
                    <a:stretch>
                      <a:fillRect/>
                    </a:stretch>
                  </pic:blipFill>
                  <pic:spPr>
                    <a:xfrm>
                      <a:off x="0" y="0"/>
                      <a:ext cx="8154764" cy="4774878"/>
                    </a:xfrm>
                    <a:prstGeom prst="rect">
                      <a:avLst/>
                    </a:prstGeom>
                  </pic:spPr>
                </pic:pic>
              </a:graphicData>
            </a:graphic>
          </wp:inline>
        </w:drawing>
      </w:r>
      <w:r w:rsidRPr="00F05264">
        <w:rPr>
          <w:rFonts w:ascii="Arial" w:hAnsi="Arial" w:cs="Arial"/>
        </w:rPr>
        <w:br/>
      </w:r>
    </w:p>
    <w:p w14:paraId="73C0685E" w14:textId="77777777" w:rsidR="00C474C7" w:rsidRDefault="00C474C7">
      <w:pPr>
        <w:rPr>
          <w:rFonts w:ascii="Arial" w:hAnsi="Arial" w:cs="Arial"/>
        </w:rPr>
        <w:sectPr w:rsidR="00C474C7" w:rsidSect="00C474C7">
          <w:pgSz w:w="15840" w:h="12220" w:orient="landscape"/>
          <w:pgMar w:top="1800" w:right="1440" w:bottom="1800" w:left="1440" w:header="720" w:footer="720" w:gutter="0"/>
          <w:cols w:space="720"/>
          <w:docGrid w:linePitch="360"/>
        </w:sectPr>
      </w:pPr>
    </w:p>
    <w:p w14:paraId="1E9C44DF" w14:textId="736BB766" w:rsidR="00943DFF" w:rsidRPr="00F05264" w:rsidRDefault="00D05735">
      <w:pPr>
        <w:rPr>
          <w:rFonts w:ascii="Arial" w:hAnsi="Arial" w:cs="Arial"/>
        </w:rPr>
      </w:pPr>
      <w:r w:rsidRPr="00D05735">
        <w:rPr>
          <w:rFonts w:ascii="Arial" w:hAnsi="Arial" w:cs="Arial"/>
        </w:rPr>
        <w:lastRenderedPageBreak/>
        <w:t>Supplementary</w:t>
      </w:r>
      <w:r w:rsidRPr="00F05264">
        <w:rPr>
          <w:rFonts w:ascii="Arial" w:hAnsi="Arial" w:cs="Arial"/>
        </w:rPr>
        <w:t xml:space="preserve"> </w:t>
      </w:r>
      <w:r w:rsidR="00063442" w:rsidRPr="00F05264">
        <w:rPr>
          <w:rFonts w:ascii="Arial" w:hAnsi="Arial" w:cs="Arial"/>
        </w:rPr>
        <w:t xml:space="preserve">Figure </w:t>
      </w:r>
      <w:r>
        <w:rPr>
          <w:rFonts w:ascii="Arial" w:hAnsi="Arial" w:cs="Arial"/>
        </w:rPr>
        <w:t>S</w:t>
      </w:r>
      <w:r w:rsidR="00063442" w:rsidRPr="00F05264">
        <w:rPr>
          <w:rFonts w:ascii="Arial" w:hAnsi="Arial" w:cs="Arial"/>
        </w:rPr>
        <w:t xml:space="preserve">3: Dendrogram representing the hierarchical clustering of </w:t>
      </w:r>
      <w:r w:rsidR="00063442" w:rsidRPr="00F05264">
        <w:rPr>
          <w:rFonts w:ascii="Arial" w:hAnsi="Arial" w:cs="Arial"/>
          <w:i/>
          <w:iCs/>
        </w:rPr>
        <w:t>Staphylococcus aureus</w:t>
      </w:r>
      <w:r w:rsidR="00063442" w:rsidRPr="00F05264">
        <w:rPr>
          <w:rFonts w:ascii="Arial" w:hAnsi="Arial" w:cs="Arial"/>
        </w:rPr>
        <w:t xml:space="preserve"> isolates based on FTIR-ATR spectra.</w:t>
      </w:r>
    </w:p>
    <w:p w14:paraId="0CD5649F" w14:textId="77777777" w:rsidR="00C474C7" w:rsidRDefault="00BA376C">
      <w:pPr>
        <w:rPr>
          <w:rFonts w:ascii="Arial" w:hAnsi="Arial" w:cs="Arial"/>
        </w:rPr>
        <w:sectPr w:rsidR="00C474C7" w:rsidSect="00034616">
          <w:pgSz w:w="12240" w:h="15840"/>
          <w:pgMar w:top="1440" w:right="1800" w:bottom="1440" w:left="1800" w:header="720" w:footer="720" w:gutter="0"/>
          <w:cols w:space="720"/>
          <w:docGrid w:linePitch="360"/>
        </w:sectPr>
      </w:pPr>
      <w:r w:rsidRPr="00F05264">
        <w:rPr>
          <w:rFonts w:ascii="Arial" w:hAnsi="Arial" w:cs="Arial"/>
          <w:noProof/>
        </w:rPr>
        <w:drawing>
          <wp:inline distT="0" distB="0" distL="0" distR="0" wp14:anchorId="15DBEE03" wp14:editId="2A0B4150">
            <wp:extent cx="2727297" cy="7434954"/>
            <wp:effectExtent l="0" t="0" r="3810" b="0"/>
            <wp:docPr id="110497252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972520" name="Imagem 1104972520"/>
                    <pic:cNvPicPr/>
                  </pic:nvPicPr>
                  <pic:blipFill>
                    <a:blip r:embed="rId12"/>
                    <a:stretch>
                      <a:fillRect/>
                    </a:stretch>
                  </pic:blipFill>
                  <pic:spPr>
                    <a:xfrm>
                      <a:off x="0" y="0"/>
                      <a:ext cx="2757872" cy="7518305"/>
                    </a:xfrm>
                    <a:prstGeom prst="rect">
                      <a:avLst/>
                    </a:prstGeom>
                  </pic:spPr>
                </pic:pic>
              </a:graphicData>
            </a:graphic>
          </wp:inline>
        </w:drawing>
      </w:r>
      <w:r w:rsidRPr="00F05264">
        <w:rPr>
          <w:rFonts w:ascii="Arial" w:hAnsi="Arial" w:cs="Arial"/>
        </w:rPr>
        <w:br/>
      </w:r>
    </w:p>
    <w:p w14:paraId="78EBB80A" w14:textId="1E9A8B5A" w:rsidR="00943DFF" w:rsidRPr="00F05264" w:rsidRDefault="00D05735">
      <w:pPr>
        <w:rPr>
          <w:rFonts w:ascii="Arial" w:hAnsi="Arial" w:cs="Arial"/>
        </w:rPr>
      </w:pPr>
      <w:r w:rsidRPr="00D05735">
        <w:rPr>
          <w:rFonts w:ascii="Arial" w:hAnsi="Arial" w:cs="Arial"/>
        </w:rPr>
        <w:lastRenderedPageBreak/>
        <w:t>Supplementary</w:t>
      </w:r>
      <w:r w:rsidRPr="00F05264">
        <w:rPr>
          <w:rFonts w:ascii="Arial" w:hAnsi="Arial" w:cs="Arial"/>
        </w:rPr>
        <w:t xml:space="preserve"> </w:t>
      </w:r>
      <w:r w:rsidR="00063442" w:rsidRPr="00F05264">
        <w:rPr>
          <w:rFonts w:ascii="Arial" w:hAnsi="Arial" w:cs="Arial"/>
        </w:rPr>
        <w:t xml:space="preserve">Figure </w:t>
      </w:r>
      <w:r>
        <w:rPr>
          <w:rFonts w:ascii="Arial" w:hAnsi="Arial" w:cs="Arial"/>
        </w:rPr>
        <w:t>S</w:t>
      </w:r>
      <w:r w:rsidR="00063442" w:rsidRPr="00F05264">
        <w:rPr>
          <w:rFonts w:ascii="Arial" w:hAnsi="Arial" w:cs="Arial"/>
        </w:rPr>
        <w:t xml:space="preserve">4: Temporal distribution and clustering patterns of </w:t>
      </w:r>
      <w:r w:rsidR="00063442" w:rsidRPr="00F05264">
        <w:rPr>
          <w:rFonts w:ascii="Arial" w:hAnsi="Arial" w:cs="Arial"/>
          <w:i/>
          <w:iCs/>
        </w:rPr>
        <w:t>Staphylococcus aureus</w:t>
      </w:r>
      <w:r w:rsidR="00063442" w:rsidRPr="00F05264">
        <w:rPr>
          <w:rFonts w:ascii="Arial" w:hAnsi="Arial" w:cs="Arial"/>
        </w:rPr>
        <w:t xml:space="preserve"> isolates across up to four sampling time points (T0 to T3).</w:t>
      </w:r>
    </w:p>
    <w:p w14:paraId="0899AD06" w14:textId="77777777" w:rsidR="00C9273F" w:rsidRDefault="00BA376C" w:rsidP="00BA376C">
      <w:pPr>
        <w:rPr>
          <w:rFonts w:ascii="Arial" w:hAnsi="Arial" w:cs="Arial"/>
        </w:rPr>
      </w:pPr>
      <w:r w:rsidRPr="00F05264">
        <w:rPr>
          <w:rFonts w:ascii="Arial" w:hAnsi="Arial" w:cs="Arial"/>
          <w:noProof/>
        </w:rPr>
        <w:drawing>
          <wp:inline distT="0" distB="0" distL="0" distR="0" wp14:anchorId="40760941" wp14:editId="6DAE3FA3">
            <wp:extent cx="8182289" cy="4476584"/>
            <wp:effectExtent l="0" t="0" r="0" b="0"/>
            <wp:docPr id="185944487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444875" name="Imagem 1859444875"/>
                    <pic:cNvPicPr/>
                  </pic:nvPicPr>
                  <pic:blipFill>
                    <a:blip r:embed="rId13"/>
                    <a:stretch>
                      <a:fillRect/>
                    </a:stretch>
                  </pic:blipFill>
                  <pic:spPr>
                    <a:xfrm>
                      <a:off x="0" y="0"/>
                      <a:ext cx="8232166" cy="4503872"/>
                    </a:xfrm>
                    <a:prstGeom prst="rect">
                      <a:avLst/>
                    </a:prstGeom>
                  </pic:spPr>
                </pic:pic>
              </a:graphicData>
            </a:graphic>
          </wp:inline>
        </w:drawing>
      </w:r>
    </w:p>
    <w:p w14:paraId="0A577E36" w14:textId="77777777" w:rsidR="0090027D" w:rsidRDefault="0090027D" w:rsidP="00BA376C">
      <w:pPr>
        <w:rPr>
          <w:rFonts w:ascii="Arial" w:hAnsi="Arial" w:cs="Arial"/>
          <w:sz w:val="10"/>
          <w:szCs w:val="10"/>
        </w:rPr>
      </w:pPr>
    </w:p>
    <w:p w14:paraId="39111FC6" w14:textId="77777777" w:rsidR="0090027D" w:rsidRDefault="0090027D" w:rsidP="00BA376C">
      <w:pPr>
        <w:rPr>
          <w:rFonts w:ascii="Arial" w:hAnsi="Arial" w:cs="Arial"/>
          <w:sz w:val="10"/>
          <w:szCs w:val="10"/>
        </w:rPr>
        <w:sectPr w:rsidR="0090027D" w:rsidSect="00C474C7">
          <w:pgSz w:w="15840" w:h="12220" w:orient="landscape"/>
          <w:pgMar w:top="1800" w:right="1440" w:bottom="1800" w:left="1440" w:header="720" w:footer="720" w:gutter="0"/>
          <w:cols w:space="720"/>
          <w:docGrid w:linePitch="360"/>
        </w:sectPr>
      </w:pPr>
    </w:p>
    <w:p w14:paraId="24B8164D" w14:textId="1EC1F28C" w:rsidR="006A2CC4" w:rsidRPr="00D05735" w:rsidRDefault="00D05735" w:rsidP="00C9273F">
      <w:pPr>
        <w:pStyle w:val="EndNoteBibliography"/>
        <w:spacing w:after="0"/>
        <w:ind w:left="720" w:hanging="720"/>
        <w:rPr>
          <w:rFonts w:ascii="Arial" w:hAnsi="Arial" w:cs="Arial"/>
          <w:b/>
          <w:bCs/>
        </w:rPr>
      </w:pPr>
      <w:r w:rsidRPr="00D05735">
        <w:rPr>
          <w:rFonts w:ascii="Arial" w:hAnsi="Arial" w:cs="Arial"/>
          <w:b/>
          <w:bCs/>
        </w:rPr>
        <w:lastRenderedPageBreak/>
        <w:t xml:space="preserve">Supplementary References </w:t>
      </w:r>
    </w:p>
    <w:p w14:paraId="125EF070" w14:textId="77777777" w:rsidR="006A2CC4" w:rsidRDefault="006A2CC4" w:rsidP="00FC295A">
      <w:pPr>
        <w:pStyle w:val="EndNoteBibliography"/>
        <w:spacing w:after="0"/>
        <w:ind w:left="284" w:hanging="284"/>
        <w:rPr>
          <w:rFonts w:ascii="Arial" w:hAnsi="Arial" w:cs="Arial"/>
        </w:rPr>
      </w:pPr>
    </w:p>
    <w:p w14:paraId="170428EB" w14:textId="71ED8B1C" w:rsidR="006161F9" w:rsidRPr="006161F9" w:rsidRDefault="00C9273F" w:rsidP="00FC295A">
      <w:pPr>
        <w:pStyle w:val="EndNoteBibliography"/>
        <w:spacing w:after="0"/>
        <w:ind w:left="284" w:hanging="284"/>
        <w:jc w:val="both"/>
        <w:rPr>
          <w:noProof/>
        </w:rPr>
      </w:pPr>
      <w:r w:rsidRPr="0050286C">
        <w:rPr>
          <w:rFonts w:ascii="Arial" w:hAnsi="Arial" w:cs="Arial"/>
        </w:rPr>
        <w:fldChar w:fldCharType="begin"/>
      </w:r>
      <w:r w:rsidRPr="0050286C">
        <w:rPr>
          <w:rFonts w:ascii="Arial" w:hAnsi="Arial" w:cs="Arial"/>
        </w:rPr>
        <w:instrText xml:space="preserve"> ADDIN EN.REFLIST </w:instrText>
      </w:r>
      <w:r w:rsidRPr="0050286C">
        <w:rPr>
          <w:rFonts w:ascii="Arial" w:hAnsi="Arial" w:cs="Arial"/>
        </w:rPr>
        <w:fldChar w:fldCharType="separate"/>
      </w:r>
      <w:r w:rsidR="006161F9" w:rsidRPr="006161F9">
        <w:rPr>
          <w:noProof/>
        </w:rPr>
        <w:t xml:space="preserve">1. European Committee on Antimicrobial Susceptibility Testing: Breakpoint tables for interpretation of MICs and zone diameters. Version 16.0. </w:t>
      </w:r>
      <w:hyperlink r:id="rId14" w:history="1">
        <w:r w:rsidR="006161F9" w:rsidRPr="006161F9">
          <w:rPr>
            <w:rStyle w:val="Hyperlink"/>
            <w:noProof/>
          </w:rPr>
          <w:t>http://www.eucast.org</w:t>
        </w:r>
      </w:hyperlink>
      <w:r w:rsidR="006161F9" w:rsidRPr="006161F9">
        <w:rPr>
          <w:noProof/>
        </w:rPr>
        <w:t>. (2026). Accessed 2026.</w:t>
      </w:r>
    </w:p>
    <w:p w14:paraId="0A033081" w14:textId="77777777" w:rsidR="006161F9" w:rsidRPr="006161F9" w:rsidRDefault="006161F9" w:rsidP="00FC295A">
      <w:pPr>
        <w:pStyle w:val="EndNoteBibliography"/>
        <w:spacing w:after="0"/>
        <w:ind w:left="284" w:hanging="284"/>
        <w:jc w:val="both"/>
        <w:rPr>
          <w:noProof/>
        </w:rPr>
      </w:pPr>
      <w:r w:rsidRPr="006161F9">
        <w:rPr>
          <w:noProof/>
        </w:rPr>
        <w:t xml:space="preserve">2. Clinical and Laboratory Standards Institute. Performance Standards for Antimicrobial Susceptibility Testing. 36th ed. CLSI supplement M100. 2026. </w:t>
      </w:r>
    </w:p>
    <w:p w14:paraId="54351A4E" w14:textId="77777777" w:rsidR="006161F9" w:rsidRPr="006161F9" w:rsidRDefault="006161F9" w:rsidP="00FC295A">
      <w:pPr>
        <w:pStyle w:val="EndNoteBibliography"/>
        <w:ind w:left="284" w:hanging="284"/>
        <w:jc w:val="both"/>
        <w:rPr>
          <w:noProof/>
        </w:rPr>
      </w:pPr>
      <w:r w:rsidRPr="006161F9">
        <w:rPr>
          <w:noProof/>
        </w:rPr>
        <w:t>3. Grunert T, Wenning M, Barbagelata MS, Fricker M, Sordelli DO, Buzzola FR, et al. Rapid and reliable identification of Staphylococcus aureus capsular serotypes by means of artificial neural network-assisted Fourier transform infrared spectroscopy. J Clin Microbiol. 2013;51(7):2261-6. doi: 10.1128/jcm.00581-13.</w:t>
      </w:r>
    </w:p>
    <w:p w14:paraId="06005FC8" w14:textId="3D3C7A85" w:rsidR="00943DFF" w:rsidRPr="00F05264" w:rsidRDefault="00C9273F" w:rsidP="00FC295A">
      <w:pPr>
        <w:ind w:left="284" w:hanging="284"/>
        <w:jc w:val="both"/>
        <w:rPr>
          <w:rFonts w:ascii="Arial" w:hAnsi="Arial" w:cs="Arial"/>
        </w:rPr>
      </w:pPr>
      <w:r w:rsidRPr="0050286C">
        <w:rPr>
          <w:rFonts w:ascii="Arial" w:hAnsi="Arial" w:cs="Arial"/>
        </w:rPr>
        <w:fldChar w:fldCharType="end"/>
      </w:r>
    </w:p>
    <w:sectPr w:rsidR="00943DFF" w:rsidRPr="00F05264" w:rsidSect="0090027D">
      <w:pgSz w:w="1222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430465" w14:textId="77777777" w:rsidR="00B23BFF" w:rsidRDefault="00B23BFF" w:rsidP="0057379C">
      <w:pPr>
        <w:spacing w:after="0" w:line="240" w:lineRule="auto"/>
      </w:pPr>
      <w:r>
        <w:separator/>
      </w:r>
    </w:p>
  </w:endnote>
  <w:endnote w:type="continuationSeparator" w:id="0">
    <w:p w14:paraId="744CD363" w14:textId="77777777" w:rsidR="00B23BFF" w:rsidRDefault="00B23BFF" w:rsidP="00573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17741417"/>
      <w:docPartObj>
        <w:docPartGallery w:val="Page Numbers (Bottom of Page)"/>
        <w:docPartUnique/>
      </w:docPartObj>
    </w:sdtPr>
    <w:sdtContent>
      <w:p w14:paraId="40C0980B" w14:textId="02C6606E" w:rsidR="0057379C" w:rsidRDefault="0057379C" w:rsidP="004F68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0B0FC02" w14:textId="77777777" w:rsidR="0057379C" w:rsidRDefault="0057379C" w:rsidP="0057379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70233467"/>
      <w:docPartObj>
        <w:docPartGallery w:val="Page Numbers (Bottom of Page)"/>
        <w:docPartUnique/>
      </w:docPartObj>
    </w:sdtPr>
    <w:sdtContent>
      <w:p w14:paraId="151D6FF5" w14:textId="7C3DFC3A" w:rsidR="0057379C" w:rsidRDefault="0057379C" w:rsidP="004F68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1D00A07" w14:textId="77777777" w:rsidR="0057379C" w:rsidRDefault="0057379C" w:rsidP="0057379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6745ED" w14:textId="77777777" w:rsidR="00B23BFF" w:rsidRDefault="00B23BFF" w:rsidP="0057379C">
      <w:pPr>
        <w:spacing w:after="0" w:line="240" w:lineRule="auto"/>
      </w:pPr>
      <w:r>
        <w:separator/>
      </w:r>
    </w:p>
  </w:footnote>
  <w:footnote w:type="continuationSeparator" w:id="0">
    <w:p w14:paraId="2AAF98A3" w14:textId="77777777" w:rsidR="00B23BFF" w:rsidRDefault="00B23BFF" w:rsidP="005737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DB3204"/>
    <w:multiLevelType w:val="hybridMultilevel"/>
    <w:tmpl w:val="74683D2E"/>
    <w:lvl w:ilvl="0" w:tplc="686C559C">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713694638">
    <w:abstractNumId w:val="8"/>
  </w:num>
  <w:num w:numId="2" w16cid:durableId="860972521">
    <w:abstractNumId w:val="6"/>
  </w:num>
  <w:num w:numId="3" w16cid:durableId="76101369">
    <w:abstractNumId w:val="5"/>
  </w:num>
  <w:num w:numId="4" w16cid:durableId="1103188309">
    <w:abstractNumId w:val="4"/>
  </w:num>
  <w:num w:numId="5" w16cid:durableId="739135504">
    <w:abstractNumId w:val="7"/>
  </w:num>
  <w:num w:numId="6" w16cid:durableId="958730178">
    <w:abstractNumId w:val="3"/>
  </w:num>
  <w:num w:numId="7" w16cid:durableId="1962494450">
    <w:abstractNumId w:val="2"/>
  </w:num>
  <w:num w:numId="8" w16cid:durableId="922449799">
    <w:abstractNumId w:val="1"/>
  </w:num>
  <w:num w:numId="9" w16cid:durableId="289628089">
    <w:abstractNumId w:val="0"/>
  </w:num>
  <w:num w:numId="10" w16cid:durableId="1781605608">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Springer Vancouver&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ps9sxt58rpxs9e50sfxsvekzefzfxvwxfdp&quot;&gt;MonografiaMaeva&lt;record-ids&gt;&lt;item&gt;29&lt;/item&gt;&lt;item&gt;30&lt;/item&gt;&lt;item&gt;120&lt;/item&gt;&lt;/record-ids&gt;&lt;/item&gt;&lt;/Libraries&gt;"/>
  </w:docVars>
  <w:rsids>
    <w:rsidRoot w:val="00B47730"/>
    <w:rsid w:val="00034616"/>
    <w:rsid w:val="0006063C"/>
    <w:rsid w:val="00063442"/>
    <w:rsid w:val="00083E3D"/>
    <w:rsid w:val="0015074B"/>
    <w:rsid w:val="0029639D"/>
    <w:rsid w:val="002A4FA0"/>
    <w:rsid w:val="00326F90"/>
    <w:rsid w:val="00402691"/>
    <w:rsid w:val="004156FB"/>
    <w:rsid w:val="0045476E"/>
    <w:rsid w:val="004A3C45"/>
    <w:rsid w:val="004B1135"/>
    <w:rsid w:val="004C747C"/>
    <w:rsid w:val="0050286C"/>
    <w:rsid w:val="0057379C"/>
    <w:rsid w:val="006161F9"/>
    <w:rsid w:val="00653344"/>
    <w:rsid w:val="00684E79"/>
    <w:rsid w:val="006A2CC4"/>
    <w:rsid w:val="006A5E2B"/>
    <w:rsid w:val="00706E6F"/>
    <w:rsid w:val="0071309E"/>
    <w:rsid w:val="00721F23"/>
    <w:rsid w:val="0073259D"/>
    <w:rsid w:val="007413BA"/>
    <w:rsid w:val="008320AC"/>
    <w:rsid w:val="00867011"/>
    <w:rsid w:val="008E48CE"/>
    <w:rsid w:val="0090027D"/>
    <w:rsid w:val="00924CAD"/>
    <w:rsid w:val="00927370"/>
    <w:rsid w:val="00943DFF"/>
    <w:rsid w:val="009B48F2"/>
    <w:rsid w:val="00A57CFE"/>
    <w:rsid w:val="00A800FA"/>
    <w:rsid w:val="00A82C11"/>
    <w:rsid w:val="00AA1D8D"/>
    <w:rsid w:val="00AE2ED4"/>
    <w:rsid w:val="00B12DD2"/>
    <w:rsid w:val="00B23BFF"/>
    <w:rsid w:val="00B47730"/>
    <w:rsid w:val="00B54B74"/>
    <w:rsid w:val="00BA376C"/>
    <w:rsid w:val="00C37400"/>
    <w:rsid w:val="00C474C7"/>
    <w:rsid w:val="00C528AF"/>
    <w:rsid w:val="00C56464"/>
    <w:rsid w:val="00C9273F"/>
    <w:rsid w:val="00CA1961"/>
    <w:rsid w:val="00CB0664"/>
    <w:rsid w:val="00CB257E"/>
    <w:rsid w:val="00CC5A90"/>
    <w:rsid w:val="00D05735"/>
    <w:rsid w:val="00D4326B"/>
    <w:rsid w:val="00D86680"/>
    <w:rsid w:val="00DA6674"/>
    <w:rsid w:val="00E02713"/>
    <w:rsid w:val="00E130E7"/>
    <w:rsid w:val="00EE012B"/>
    <w:rsid w:val="00F05264"/>
    <w:rsid w:val="00F268EB"/>
    <w:rsid w:val="00F526FB"/>
    <w:rsid w:val="00F845E6"/>
    <w:rsid w:val="00FA5BC2"/>
    <w:rsid w:val="00FB2188"/>
    <w:rsid w:val="00FC295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989BB9"/>
  <w14:defaultImageDpi w14:val="300"/>
  <w15:docId w15:val="{C97A50E6-A52F-5845-9107-70EC84DE8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8E48CE"/>
    <w:rPr>
      <w:sz w:val="16"/>
      <w:szCs w:val="16"/>
    </w:rPr>
  </w:style>
  <w:style w:type="paragraph" w:styleId="CommentText">
    <w:name w:val="annotation text"/>
    <w:basedOn w:val="Normal"/>
    <w:link w:val="CommentTextChar"/>
    <w:uiPriority w:val="99"/>
    <w:semiHidden/>
    <w:unhideWhenUsed/>
    <w:rsid w:val="008E48CE"/>
    <w:pPr>
      <w:spacing w:after="0" w:line="240" w:lineRule="auto"/>
    </w:pPr>
    <w:rPr>
      <w:rFonts w:ascii="Times New Roman" w:eastAsia="Times New Roman" w:hAnsi="Times New Roman" w:cs="Times New Roman"/>
      <w:sz w:val="20"/>
      <w:szCs w:val="20"/>
      <w:lang w:val="pt-PT" w:eastAsia="pt-PT"/>
    </w:rPr>
  </w:style>
  <w:style w:type="character" w:customStyle="1" w:styleId="CommentTextChar">
    <w:name w:val="Comment Text Char"/>
    <w:basedOn w:val="DefaultParagraphFont"/>
    <w:link w:val="CommentText"/>
    <w:uiPriority w:val="99"/>
    <w:semiHidden/>
    <w:rsid w:val="008E48CE"/>
    <w:rPr>
      <w:rFonts w:ascii="Times New Roman" w:eastAsia="Times New Roman" w:hAnsi="Times New Roman" w:cs="Times New Roman"/>
      <w:sz w:val="20"/>
      <w:szCs w:val="20"/>
      <w:lang w:val="pt-PT" w:eastAsia="pt-PT"/>
    </w:rPr>
  </w:style>
  <w:style w:type="paragraph" w:customStyle="1" w:styleId="EndNoteBibliographyTitle">
    <w:name w:val="EndNote Bibliography Title"/>
    <w:basedOn w:val="Normal"/>
    <w:link w:val="EndNoteBibliographyTitleCarter"/>
    <w:rsid w:val="00C9273F"/>
    <w:pPr>
      <w:spacing w:after="0"/>
      <w:jc w:val="center"/>
    </w:pPr>
    <w:rPr>
      <w:rFonts w:ascii="Cambria" w:hAnsi="Cambria"/>
    </w:rPr>
  </w:style>
  <w:style w:type="character" w:customStyle="1" w:styleId="EndNoteBibliographyTitleCarter">
    <w:name w:val="EndNote Bibliography Title Caráter"/>
    <w:basedOn w:val="DefaultParagraphFont"/>
    <w:link w:val="EndNoteBibliographyTitle"/>
    <w:rsid w:val="00C9273F"/>
    <w:rPr>
      <w:rFonts w:ascii="Cambria" w:hAnsi="Cambria"/>
    </w:rPr>
  </w:style>
  <w:style w:type="paragraph" w:customStyle="1" w:styleId="EndNoteBibliography">
    <w:name w:val="EndNote Bibliography"/>
    <w:basedOn w:val="Normal"/>
    <w:link w:val="EndNoteBibliographyCarter"/>
    <w:rsid w:val="00C9273F"/>
    <w:pPr>
      <w:spacing w:line="240" w:lineRule="auto"/>
    </w:pPr>
    <w:rPr>
      <w:rFonts w:ascii="Cambria" w:hAnsi="Cambria"/>
    </w:rPr>
  </w:style>
  <w:style w:type="character" w:customStyle="1" w:styleId="EndNoteBibliographyCarter">
    <w:name w:val="EndNote Bibliography Caráter"/>
    <w:basedOn w:val="DefaultParagraphFont"/>
    <w:link w:val="EndNoteBibliography"/>
    <w:rsid w:val="00C9273F"/>
    <w:rPr>
      <w:rFonts w:ascii="Cambria" w:hAnsi="Cambria"/>
    </w:rPr>
  </w:style>
  <w:style w:type="character" w:styleId="Hyperlink">
    <w:name w:val="Hyperlink"/>
    <w:basedOn w:val="DefaultParagraphFont"/>
    <w:uiPriority w:val="99"/>
    <w:unhideWhenUsed/>
    <w:rsid w:val="00C9273F"/>
    <w:rPr>
      <w:color w:val="0000FF" w:themeColor="hyperlink"/>
      <w:u w:val="single"/>
    </w:rPr>
  </w:style>
  <w:style w:type="character" w:styleId="UnresolvedMention">
    <w:name w:val="Unresolved Mention"/>
    <w:basedOn w:val="DefaultParagraphFont"/>
    <w:uiPriority w:val="99"/>
    <w:semiHidden/>
    <w:unhideWhenUsed/>
    <w:rsid w:val="00C9273F"/>
    <w:rPr>
      <w:color w:val="605E5C"/>
      <w:shd w:val="clear" w:color="auto" w:fill="E1DFDD"/>
    </w:rPr>
  </w:style>
  <w:style w:type="character" w:styleId="PageNumber">
    <w:name w:val="page number"/>
    <w:basedOn w:val="DefaultParagraphFont"/>
    <w:uiPriority w:val="99"/>
    <w:semiHidden/>
    <w:unhideWhenUsed/>
    <w:rsid w:val="00573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uca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2516</Words>
  <Characters>14347</Characters>
  <Application>Microsoft Office Word</Application>
  <DocSecurity>0</DocSecurity>
  <Lines>119</Lines>
  <Paragraphs>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
  <Company/>
  <LinksUpToDate>false</LinksUpToDate>
  <CharactersWithSpaces>16830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Benedita Sampaio Maia</cp:lastModifiedBy>
  <cp:revision>2</cp:revision>
  <cp:lastPrinted>2026-06-17T22:42:00Z</cp:lastPrinted>
  <dcterms:created xsi:type="dcterms:W3CDTF">2026-07-15T16:08:00Z</dcterms:created>
  <dcterms:modified xsi:type="dcterms:W3CDTF">2026-07-15T16:08:00Z</dcterms:modified>
  <cp:category/>
</cp:coreProperties>
</file>