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64334" w14:textId="77777777" w:rsidR="00A61D97" w:rsidRDefault="00967A05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Trees: Structure and Function</w:t>
      </w:r>
    </w:p>
    <w:p w14:paraId="782CE326" w14:textId="77777777" w:rsidR="00A61D97" w:rsidRDefault="00A61D97">
      <w:pPr>
        <w:pStyle w:val="Standard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6D133106" w14:textId="77777777" w:rsidR="00A61D97" w:rsidRPr="0098289A" w:rsidRDefault="00967A05">
      <w:pPr>
        <w:rPr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Branches of invasive maple </w:t>
      </w:r>
      <w:bookmarkStart w:id="0" w:name="_Hlk212292372"/>
      <w:r>
        <w:rPr>
          <w:rFonts w:ascii="Times New Roman" w:hAnsi="Times New Roman" w:cs="Times New Roman"/>
          <w:b/>
          <w:bCs/>
          <w:i/>
          <w:sz w:val="20"/>
          <w:szCs w:val="20"/>
          <w:lang w:val="en-US"/>
        </w:rPr>
        <w:t>Acer negundo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bookmarkEnd w:id="0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are characterized by abundant photosynthetically active surface chlorenchyma</w:t>
      </w:r>
    </w:p>
    <w:p w14:paraId="144C95B7" w14:textId="77777777" w:rsidR="00A61D97" w:rsidRPr="0098289A" w:rsidRDefault="00967A05">
      <w:pPr>
        <w:jc w:val="both"/>
        <w:rPr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Konstantin G. Tikhonov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(http://orcid.org/0000-0002-1319-0929), Alexey V.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Pigolev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>
        <w:fldChar w:fldCharType="begin"/>
      </w:r>
      <w:r w:rsidRPr="0098289A">
        <w:rPr>
          <w:lang w:val="en-US"/>
        </w:rPr>
        <w:instrText xml:space="preserve"> HYPERLINK  "http://orcid.org/0000-0002-4488-240X" </w:instrText>
      </w:r>
      <w:r>
        <w:fldChar w:fldCharType="separate"/>
      </w:r>
      <w:r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  <w:t>http://orcid.org/0000-0002-4488-240X</w:t>
      </w:r>
      <w:r>
        <w:fldChar w:fldCharType="end"/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), Evgeny A.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Degtyaryov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(http://orcid.org/0000-0002-9266-7317), and Tatyana V. Savchenko (</w:t>
      </w:r>
      <w:r>
        <w:fldChar w:fldCharType="begin"/>
      </w:r>
      <w:r w:rsidRPr="0098289A">
        <w:rPr>
          <w:lang w:val="en-US"/>
        </w:rPr>
        <w:instrText xml:space="preserve"> HYPERLINK  "https://orcid.org/0000-0003-0126-4932" </w:instrText>
      </w:r>
      <w:r>
        <w:fldChar w:fldCharType="separate"/>
      </w:r>
      <w:r>
        <w:rPr>
          <w:rStyle w:val="Hyperlink"/>
          <w:rFonts w:ascii="Times New Roman" w:hAnsi="Times New Roman" w:cs="Times New Roman"/>
          <w:sz w:val="20"/>
          <w:szCs w:val="20"/>
          <w:lang w:val="en-US"/>
        </w:rPr>
        <w:t>https://orcid.org/0000-0003-0126-4932</w:t>
      </w:r>
      <w:r>
        <w:fldChar w:fldCharType="end"/>
      </w:r>
      <w:r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59183B8F" w14:textId="77777777" w:rsidR="00A61D97" w:rsidRDefault="00A61D97">
      <w:pPr>
        <w:jc w:val="both"/>
        <w:rPr>
          <w:sz w:val="20"/>
          <w:szCs w:val="20"/>
          <w:lang w:val="en-US"/>
        </w:rPr>
      </w:pPr>
    </w:p>
    <w:p w14:paraId="11B1D1FE" w14:textId="77777777" w:rsidR="00A61D97" w:rsidRDefault="00967A05">
      <w:pPr>
        <w:pStyle w:val="BodyText"/>
        <w:suppressAutoHyphens/>
        <w:overflowPunct w:val="0"/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Institute of Basic Biological Problems, </w:t>
      </w:r>
      <w:proofErr w:type="spellStart"/>
      <w:r>
        <w:rPr>
          <w:i/>
          <w:iCs/>
          <w:lang w:val="en-US"/>
        </w:rPr>
        <w:t>Pushchino</w:t>
      </w:r>
      <w:proofErr w:type="spellEnd"/>
      <w:r>
        <w:rPr>
          <w:i/>
          <w:iCs/>
          <w:lang w:val="en-US"/>
        </w:rPr>
        <w:t xml:space="preserve"> Scientific Center for Biological Research, Russian </w:t>
      </w:r>
      <w:r>
        <w:rPr>
          <w:i/>
          <w:iCs/>
          <w:lang w:val="en-US"/>
        </w:rPr>
        <w:t xml:space="preserve">Academy of Sciences, </w:t>
      </w:r>
      <w:proofErr w:type="spellStart"/>
      <w:r>
        <w:rPr>
          <w:i/>
          <w:iCs/>
          <w:lang w:val="en-US"/>
        </w:rPr>
        <w:t>Pushchino</w:t>
      </w:r>
      <w:proofErr w:type="spellEnd"/>
      <w:r>
        <w:rPr>
          <w:i/>
          <w:iCs/>
          <w:lang w:val="en-US"/>
        </w:rPr>
        <w:t>, Russia</w:t>
      </w:r>
    </w:p>
    <w:p w14:paraId="6DD1A61B" w14:textId="77777777" w:rsidR="00A61D97" w:rsidRDefault="00A61D97">
      <w:pPr>
        <w:pStyle w:val="BodyText"/>
        <w:suppressAutoHyphens/>
        <w:overflowPunct w:val="0"/>
        <w:jc w:val="both"/>
        <w:rPr>
          <w:i/>
          <w:iCs/>
          <w:lang w:val="en-US"/>
        </w:rPr>
      </w:pPr>
    </w:p>
    <w:p w14:paraId="1EDE59CA" w14:textId="77777777" w:rsidR="00A61D97" w:rsidRDefault="00967A05">
      <w:pPr>
        <w:pStyle w:val="BodyText"/>
        <w:suppressAutoHyphens/>
        <w:overflowPunct w:val="0"/>
        <w:jc w:val="both"/>
      </w:pPr>
      <w:r>
        <w:rPr>
          <w:i/>
          <w:iCs/>
          <w:lang w:val="en-US"/>
        </w:rPr>
        <w:t>*e-mail: savchenko_t@rambler.ru</w:t>
      </w:r>
    </w:p>
    <w:p w14:paraId="53275726" w14:textId="77777777" w:rsidR="00A61D97" w:rsidRDefault="00A61D97">
      <w:pPr>
        <w:pStyle w:val="Standard"/>
        <w:rPr>
          <w:rFonts w:ascii="Times New Roman" w:hAnsi="Times New Roman" w:cs="Times New Roman"/>
          <w:sz w:val="20"/>
          <w:szCs w:val="20"/>
          <w:lang w:val="en-US"/>
        </w:rPr>
      </w:pPr>
    </w:p>
    <w:p w14:paraId="2747328F" w14:textId="77777777" w:rsidR="00A61D97" w:rsidRDefault="00967A05">
      <w:pPr>
        <w:jc w:val="both"/>
      </w:pPr>
      <w:r>
        <w:rPr>
          <w:rStyle w:val="a0"/>
          <w:rFonts w:ascii="Times New Roman" w:hAnsi="Times New Roman" w:cs="Times New Roman"/>
          <w:sz w:val="20"/>
          <w:szCs w:val="20"/>
          <w:lang w:val="en-US"/>
        </w:rPr>
        <w:t xml:space="preserve">Supplementary Table 1. </w:t>
      </w:r>
      <w:r>
        <w:rPr>
          <w:rFonts w:ascii="Times New Roman" w:hAnsi="Times New Roman" w:cs="Times New Roman"/>
          <w:sz w:val="20"/>
          <w:szCs w:val="20"/>
          <w:lang w:val="en-US"/>
        </w:rPr>
        <w:t>Measured parameters of variable chlorophyll fluorescence.</w:t>
      </w:r>
    </w:p>
    <w:p w14:paraId="716B650C" w14:textId="77777777" w:rsidR="00A61D97" w:rsidRDefault="00A61D97">
      <w:pPr>
        <w:jc w:val="both"/>
        <w:rPr>
          <w:rFonts w:ascii="Times New Roman" w:hAnsi="Times New Roman" w:cs="Times New Roman"/>
          <w:lang w:val="en-US"/>
        </w:rPr>
      </w:pP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4"/>
        <w:gridCol w:w="1569"/>
        <w:gridCol w:w="6243"/>
      </w:tblGrid>
      <w:tr w:rsidR="00A61D97" w14:paraId="1B4575E3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07A0A" w14:textId="77777777" w:rsidR="00A61D97" w:rsidRDefault="00967A05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Parameter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6B510" w14:textId="77777777" w:rsidR="00A61D97" w:rsidRDefault="00967A05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Formula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D0214" w14:textId="77777777" w:rsidR="00A61D97" w:rsidRDefault="00967A05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Definition</w:t>
            </w:r>
          </w:p>
        </w:tc>
      </w:tr>
      <w:tr w:rsidR="00A61D97" w14:paraId="42292AD5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36EB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FAAB6" w14:textId="77777777" w:rsidR="00A61D97" w:rsidRDefault="00A61D9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5040D" w14:textId="77777777" w:rsidR="00A61D97" w:rsidRDefault="00967A05">
            <w:pPr>
              <w:jc w:val="both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Minimum chlorophyll 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 w:eastAsia="en-US" w:bidi="ar-SA"/>
              </w:rPr>
              <w:t>a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fluorescence (or initial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fluorescence) detected in the dark-adapted state</w:t>
            </w:r>
          </w:p>
        </w:tc>
      </w:tr>
      <w:tr w:rsidR="00A61D97" w14:paraId="14C7FB41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D0B7D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m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99A5" w14:textId="77777777" w:rsidR="00A61D97" w:rsidRDefault="00A61D9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9239D" w14:textId="77777777" w:rsidR="00A61D97" w:rsidRDefault="00967A05">
            <w:pPr>
              <w:jc w:val="both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Maximum chlorophyll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 w:eastAsia="en-US" w:bidi="ar-SA"/>
              </w:rPr>
              <w:t xml:space="preserve"> a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fluorescence yield induced by a saturating light pulse in dark-adapted samples</w:t>
            </w:r>
          </w:p>
        </w:tc>
      </w:tr>
      <w:tr w:rsidR="00A61D97" w14:paraId="21498D9E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EAF73" w14:textId="77777777" w:rsidR="00A61D97" w:rsidRDefault="00967A05">
            <w:pPr>
              <w:jc w:val="center"/>
              <w:textAlignment w:val="auto"/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v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DA985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m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-F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0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D0584" w14:textId="77777777" w:rsidR="00A61D97" w:rsidRDefault="00967A05">
            <w:pPr>
              <w:jc w:val="both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Variable chlorophyll 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 w:eastAsia="en-US" w:bidi="ar-SA"/>
              </w:rPr>
              <w:t>a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fluorescence associated with the photosynthetic activity of PSII</w:t>
            </w:r>
          </w:p>
        </w:tc>
      </w:tr>
      <w:tr w:rsidR="00A61D97" w14:paraId="6647E187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AB91F" w14:textId="77777777" w:rsidR="00A61D97" w:rsidRDefault="00967A05">
            <w:pPr>
              <w:jc w:val="center"/>
              <w:textAlignment w:val="auto"/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v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/F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m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CA21F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(F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m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-F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)/F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m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43A28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Maximum quantum yield of PSII photochemistry</w:t>
            </w:r>
          </w:p>
        </w:tc>
      </w:tr>
      <w:tr w:rsidR="00A61D97" w14:paraId="65967995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3DF71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s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FE55E" w14:textId="77777777" w:rsidR="00A61D97" w:rsidRDefault="00A61D9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F0F9B" w14:textId="77777777" w:rsidR="00A61D97" w:rsidRDefault="00967A05">
            <w:pPr>
              <w:jc w:val="both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Steady-state (stationary) level of chlorophyll 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 w:eastAsia="en-US" w:bidi="ar-SA"/>
              </w:rPr>
              <w:t>a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fluorescence</w:t>
            </w:r>
          </w:p>
        </w:tc>
      </w:tr>
      <w:tr w:rsidR="00A61D97" w14:paraId="78A0A8EE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345E2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m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'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D980" w14:textId="77777777" w:rsidR="00A61D97" w:rsidRDefault="00A61D9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0DAA4" w14:textId="77777777" w:rsidR="00A61D97" w:rsidRDefault="00967A05">
            <w:pPr>
              <w:jc w:val="both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Light-induced maximum chlorophyll 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 w:eastAsia="en-US" w:bidi="ar-SA"/>
              </w:rPr>
              <w:t>a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fluorescence level registered in the actinic light exposed samples</w:t>
            </w:r>
          </w:p>
        </w:tc>
      </w:tr>
      <w:tr w:rsidR="00A61D97" w14:paraId="1E8BC3CF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DAD1E" w14:textId="77777777" w:rsidR="00A61D97" w:rsidRDefault="00967A05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Y(II)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73F13" w14:textId="77777777" w:rsidR="00A61D97" w:rsidRDefault="00967A05">
            <w:pPr>
              <w:ind w:left="-20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(F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m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'-F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s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)/F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m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'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9A50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Effective quantum yield of PSII photochemistry</w:t>
            </w:r>
          </w:p>
        </w:tc>
      </w:tr>
      <w:tr w:rsidR="00A61D97" w14:paraId="43F1EF11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3A062" w14:textId="77777777" w:rsidR="00A61D97" w:rsidRDefault="00967A05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qN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B4AF" w14:textId="77777777" w:rsidR="00A61D97" w:rsidRDefault="00967A05">
            <w:pPr>
              <w:ind w:left="-110" w:right="-110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(F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m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-F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m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′)/(F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m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− 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C5266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Coefficient of non-photochemical quenching</w:t>
            </w:r>
          </w:p>
        </w:tc>
      </w:tr>
      <w:tr w:rsidR="00A61D97" w14:paraId="367F3E5C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3B1D" w14:textId="77777777" w:rsidR="00A61D97" w:rsidRDefault="00967A05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qE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19C82" w14:textId="77777777" w:rsidR="00A61D97" w:rsidRDefault="00967A05">
            <w:pPr>
              <w:ind w:left="-108" w:right="-108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m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 xml:space="preserve">(at 200 s of dark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relaxa-tion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- 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m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'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 xml:space="preserve">(at last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satura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-ting flash under acting light)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DD9F5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qN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component recovered within 200 s</w:t>
            </w:r>
          </w:p>
        </w:tc>
      </w:tr>
      <w:tr w:rsidR="00A61D97" w14:paraId="139A4CA7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810CC" w14:textId="77777777" w:rsidR="00A61D97" w:rsidRDefault="00967A05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non-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qE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93B46" w14:textId="77777777" w:rsidR="00A61D97" w:rsidRDefault="00967A05">
            <w:pPr>
              <w:ind w:left="-110" w:right="-11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qN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qE</w:t>
            </w:r>
            <w:proofErr w:type="spellEnd"/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3CC1D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Moderate and slow relaxing components of non-photochemical quenching</w:t>
            </w:r>
          </w:p>
        </w:tc>
      </w:tr>
      <w:tr w:rsidR="00A61D97" w14:paraId="1A639197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B6D86" w14:textId="77777777" w:rsidR="00A61D97" w:rsidRDefault="00967A05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rETR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572C4" w14:textId="77777777" w:rsidR="00A61D97" w:rsidRDefault="00967A05">
            <w:pPr>
              <w:ind w:left="-110" w:right="-11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0.42 × PPFD × Y(II), PPFD – Photosynthetic Photon Flux Density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08ED1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Relative electron transport rate at PSII </w:t>
            </w:r>
          </w:p>
        </w:tc>
      </w:tr>
      <w:tr w:rsidR="00A61D97" w14:paraId="23442931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0107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α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6C12" w14:textId="77777777" w:rsidR="00A61D97" w:rsidRDefault="00A61D97">
            <w:pPr>
              <w:ind w:left="-110" w:right="-11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FB233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Initial slope of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rETR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increase with the increase of PPFD</w:t>
            </w:r>
          </w:p>
        </w:tc>
      </w:tr>
      <w:tr w:rsidR="00A61D97" w14:paraId="2AE05680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D0E67" w14:textId="77777777" w:rsidR="00A61D97" w:rsidRDefault="00967A05">
            <w:pPr>
              <w:jc w:val="center"/>
              <w:textAlignment w:val="auto"/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Lk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E317B" w14:textId="77777777" w:rsidR="00A61D97" w:rsidRDefault="00967A05">
            <w:pPr>
              <w:ind w:left="-110" w:right="-110"/>
              <w:jc w:val="center"/>
              <w:textAlignment w:val="auto"/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rETR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eastAsia="en-US" w:bidi="ar-SA"/>
              </w:rPr>
              <w:t>max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/α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CE7AB" w14:textId="77777777" w:rsidR="00A61D97" w:rsidRDefault="00967A05">
            <w:pPr>
              <w:jc w:val="both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Calculated PPFD required to achieve maximal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rETR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while maintaining the slope of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rETR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increase equal to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α</w:t>
            </w:r>
          </w:p>
        </w:tc>
      </w:tr>
      <w:tr w:rsidR="00A61D97" w14:paraId="29019B20" w14:textId="77777777">
        <w:tblPrEx>
          <w:tblCellMar>
            <w:top w:w="0" w:type="dxa"/>
            <w:bottom w:w="0" w:type="dxa"/>
          </w:tblCellMar>
        </w:tblPrEx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33BFF" w14:textId="77777777" w:rsidR="00A61D97" w:rsidRDefault="00967A05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OJIP-derived parameters</w:t>
            </w:r>
          </w:p>
        </w:tc>
      </w:tr>
      <w:tr w:rsidR="00A61D97" w14:paraId="5EEDE675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8ED45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35752" w14:textId="77777777" w:rsidR="00A61D97" w:rsidRDefault="00A61D97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9A3CD" w14:textId="77777777" w:rsidR="00A61D97" w:rsidRDefault="00967A05">
            <w:pPr>
              <w:jc w:val="both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Initial fluorescence value</w:t>
            </w:r>
          </w:p>
        </w:tc>
      </w:tr>
      <w:tr w:rsidR="00A61D97" w14:paraId="30DC1B8D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F016D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P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69428" w14:textId="77777777" w:rsidR="00A61D97" w:rsidRDefault="00A61D9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E890A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Maximum fluorescence value</w:t>
            </w:r>
          </w:p>
        </w:tc>
      </w:tr>
      <w:tr w:rsidR="00A61D97" w14:paraId="756B0F17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9BEAD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4AD25" w14:textId="77777777" w:rsidR="00A61D97" w:rsidRDefault="00A61D9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3240F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Fluorescence value at a given time point.</w:t>
            </w:r>
          </w:p>
        </w:tc>
      </w:tr>
      <w:tr w:rsidR="00A61D97" w14:paraId="426714B4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EECAB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V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2879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(F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t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−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)/(F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P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−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F8752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Relative variable fluorescence at any given time </w:t>
            </w:r>
          </w:p>
        </w:tc>
      </w:tr>
      <w:tr w:rsidR="00A61D97" w14:paraId="21911178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14E9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M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8E81E" w14:textId="77777777" w:rsidR="00A61D97" w:rsidRDefault="00967A05">
            <w:pPr>
              <w:jc w:val="center"/>
              <w:textAlignment w:val="auto"/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ΔV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eastAsia="en-US" w:bidi="ar-SA"/>
              </w:rPr>
              <w:t>t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Δt</w:t>
            </w:r>
            <w:proofErr w:type="spellEnd"/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D8696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Initial relative rate of increase in variable fluorescence</w:t>
            </w:r>
          </w:p>
        </w:tc>
      </w:tr>
      <w:tr w:rsidR="00A61D97" w14:paraId="07B159A2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7EE6D" w14:textId="77777777" w:rsidR="00A61D97" w:rsidRDefault="00967A05">
            <w:pPr>
              <w:jc w:val="center"/>
              <w:textAlignment w:val="auto"/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S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m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2B087" w14:textId="77777777" w:rsidR="00A61D97" w:rsidRDefault="00A61D97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AF838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Normalized area above OJIP curve, i.e., area between OJIP curve and the line V = 1 at linear time scale</w:t>
            </w:r>
          </w:p>
        </w:tc>
      </w:tr>
      <w:tr w:rsidR="00A61D97" w14:paraId="380F470B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854CC" w14:textId="77777777" w:rsidR="00A61D97" w:rsidRDefault="00967A05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ABS/RC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9F1BF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M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eastAsia="en-US" w:bidi="ar-SA"/>
              </w:rPr>
              <w:t>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/(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V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eastAsia="en-US" w:bidi="ar-SA"/>
              </w:rPr>
              <w:t>J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×φ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eastAsia="en-US" w:bidi="ar-SA"/>
              </w:rPr>
              <w:t>Po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C0BD8" w14:textId="77777777" w:rsidR="00A61D97" w:rsidRDefault="00967A05">
            <w:pPr>
              <w:jc w:val="both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Absorption flux (exciting PSII antenna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Chl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 w:eastAsia="en-US" w:bidi="ar-SA"/>
              </w:rPr>
              <w:t>a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 molecules) per reaction center</w:t>
            </w:r>
          </w:p>
        </w:tc>
      </w:tr>
      <w:tr w:rsidR="00A61D97" w14:paraId="6D51EAAE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54837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φ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Po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029F0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1-(F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eastAsia="en-US" w:bidi="ar-SA"/>
              </w:rPr>
              <w:t>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/F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eastAsia="en-US" w:bidi="ar-SA"/>
              </w:rPr>
              <w:t>P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D2B9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Maximum quantum yield for primary photochemistry</w:t>
            </w:r>
          </w:p>
        </w:tc>
      </w:tr>
      <w:tr w:rsidR="00A61D97" w14:paraId="4DF59686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0F7E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ψ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Eo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03F66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1-V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eastAsia="en-US" w:bidi="ar-SA"/>
              </w:rPr>
              <w:t>J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CF1D1" w14:textId="77777777" w:rsidR="00A61D97" w:rsidRDefault="00967A05">
            <w:pPr>
              <w:jc w:val="both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Efficiency/probability that an electron moves beyond Q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A</w:t>
            </w:r>
          </w:p>
        </w:tc>
      </w:tr>
      <w:tr w:rsidR="00A61D97" w14:paraId="28A68B16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C63FA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δ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Ro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44ABB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(1-V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eastAsia="en-US" w:bidi="ar-SA"/>
              </w:rPr>
              <w:t>I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)/(1-V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eastAsia="en-US" w:bidi="ar-SA"/>
              </w:rPr>
              <w:t>J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3CAC3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Efficiency/probability with which an electron from the intersystem electron carriers is transferred to the end electron acceptors at the PSI acceptor side</w:t>
            </w:r>
          </w:p>
        </w:tc>
      </w:tr>
      <w:tr w:rsidR="00A61D97" w14:paraId="43C71E15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28238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PI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ABS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A4CCC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ABS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/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RC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perscript"/>
                <w:lang w:eastAsia="en-US" w:bidi="ar-SA"/>
              </w:rPr>
              <w:t>-1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× φ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Po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× ψ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Eo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/ ((1-φ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Po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) × (1-ψ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Eo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))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11FA0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Performance index for energy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conservation from photons absorbed by PSII until the reduction of intersystem electron acceptors</w:t>
            </w:r>
          </w:p>
        </w:tc>
      </w:tr>
      <w:tr w:rsidR="00A61D97" w14:paraId="082B5B69" w14:textId="77777777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9E71E" w14:textId="77777777" w:rsidR="00A61D97" w:rsidRDefault="00967A05">
            <w:pPr>
              <w:jc w:val="center"/>
              <w:textAlignment w:val="auto"/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PI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US" w:eastAsia="en-US" w:bidi="ar-SA"/>
              </w:rPr>
              <w:t>total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43B6B" w14:textId="77777777" w:rsidR="00A61D97" w:rsidRDefault="00967A05">
            <w:pPr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PI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eastAsia="en-US" w:bidi="ar-SA"/>
              </w:rPr>
              <w:t>ABS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×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δ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eastAsia="en-US" w:bidi="ar-SA"/>
              </w:rPr>
              <w:t>Ro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/ (1-δ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eastAsia="en-US" w:bidi="ar-SA"/>
              </w:rPr>
              <w:t>Ro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869AF" w14:textId="77777777" w:rsidR="00A61D97" w:rsidRDefault="00967A05">
            <w:pPr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Performance index for energy conservation from photons absorbed by PSII until the reduction of PSI end electron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en-US" w:bidi="ar-SA"/>
              </w:rPr>
              <w:t>acceptors</w:t>
            </w:r>
          </w:p>
        </w:tc>
      </w:tr>
    </w:tbl>
    <w:p w14:paraId="025E6FF0" w14:textId="77777777" w:rsidR="00A61D97" w:rsidRDefault="00A61D9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BF904C7" w14:textId="77777777" w:rsidR="00A61D97" w:rsidRDefault="00A61D97">
      <w:pPr>
        <w:pStyle w:val="Standard"/>
        <w:rPr>
          <w:sz w:val="20"/>
          <w:szCs w:val="20"/>
          <w:lang w:val="en-US"/>
        </w:rPr>
      </w:pPr>
    </w:p>
    <w:p w14:paraId="1B394826" w14:textId="77777777" w:rsidR="00A61D97" w:rsidRDefault="00967A05">
      <w:pPr>
        <w:pStyle w:val="Standard"/>
        <w:jc w:val="center"/>
      </w:pPr>
      <w:r>
        <w:rPr>
          <w:rStyle w:val="a0"/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33BA1997" wp14:editId="05747CBE">
            <wp:extent cx="4089791" cy="2508491"/>
            <wp:effectExtent l="0" t="0" r="5959" b="6109"/>
            <wp:docPr id="1156105189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9791" cy="250849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F919BF6" w14:textId="77777777" w:rsidR="00A61D97" w:rsidRDefault="00A61D97">
      <w:pPr>
        <w:pStyle w:val="Standard"/>
      </w:pPr>
    </w:p>
    <w:p w14:paraId="10193B7C" w14:textId="77777777" w:rsidR="00A61D97" w:rsidRPr="00967A05" w:rsidRDefault="00967A05">
      <w:pPr>
        <w:spacing w:line="480" w:lineRule="auto"/>
        <w:rPr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Fig. 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Absorption spectra of pigment extracts from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A.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negudo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leaves and branch chlorenchyma.</w:t>
      </w:r>
    </w:p>
    <w:p w14:paraId="330BB520" w14:textId="77777777" w:rsidR="00A61D97" w:rsidRDefault="00A61D97">
      <w:pPr>
        <w:pStyle w:val="Standard"/>
        <w:rPr>
          <w:sz w:val="20"/>
          <w:szCs w:val="20"/>
          <w:lang w:val="en-US"/>
        </w:rPr>
      </w:pPr>
    </w:p>
    <w:p w14:paraId="6330657D" w14:textId="77777777" w:rsidR="00A61D97" w:rsidRDefault="00A61D97">
      <w:pPr>
        <w:rPr>
          <w:sz w:val="20"/>
          <w:szCs w:val="20"/>
          <w:lang w:val="en-US"/>
        </w:rPr>
      </w:pPr>
    </w:p>
    <w:p w14:paraId="52B25695" w14:textId="77777777" w:rsidR="00A61D97" w:rsidRDefault="00A61D97">
      <w:pPr>
        <w:pStyle w:val="Standard"/>
        <w:rPr>
          <w:lang w:val="en-US"/>
        </w:rPr>
      </w:pPr>
    </w:p>
    <w:p w14:paraId="1EB07ABB" w14:textId="77777777" w:rsidR="00A61D97" w:rsidRDefault="00A61D97">
      <w:pPr>
        <w:pStyle w:val="Standard"/>
        <w:rPr>
          <w:lang w:val="en-US"/>
        </w:rPr>
      </w:pPr>
    </w:p>
    <w:p w14:paraId="73612149" w14:textId="77777777" w:rsidR="00A61D97" w:rsidRPr="00967A05" w:rsidRDefault="00967A05">
      <w:pPr>
        <w:pStyle w:val="Standard"/>
        <w:rPr>
          <w:lang w:val="en-US"/>
        </w:rPr>
      </w:pPr>
      <w:r>
        <w:rPr>
          <w:rStyle w:val="a0"/>
          <w:rFonts w:ascii="Times New Roman" w:hAnsi="Times New Roman" w:cs="Times New Roman"/>
          <w:sz w:val="20"/>
          <w:szCs w:val="20"/>
          <w:lang w:val="en-US"/>
        </w:rPr>
        <w:t>Supplementary Table 2. Comparison of surface area of leaves and branches in ​​</w:t>
      </w:r>
      <w:r>
        <w:rPr>
          <w:rStyle w:val="a0"/>
          <w:rFonts w:ascii="Times New Roman" w:hAnsi="Times New Roman" w:cs="Times New Roman"/>
          <w:i/>
          <w:iCs/>
          <w:sz w:val="20"/>
          <w:szCs w:val="20"/>
          <w:lang w:val="en-US"/>
        </w:rPr>
        <w:t>A. negundo</w:t>
      </w:r>
      <w:r>
        <w:rPr>
          <w:rStyle w:val="a0"/>
          <w:rFonts w:ascii="Times New Roman" w:hAnsi="Times New Roman" w:cs="Times New Roman"/>
          <w:sz w:val="20"/>
          <w:szCs w:val="20"/>
          <w:lang w:val="en-US"/>
        </w:rPr>
        <w:t>.</w:t>
      </w:r>
    </w:p>
    <w:p w14:paraId="7046E70D" w14:textId="77777777" w:rsidR="00A61D97" w:rsidRDefault="00A61D97">
      <w:pPr>
        <w:pStyle w:val="Standard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8"/>
        <w:gridCol w:w="1419"/>
        <w:gridCol w:w="1816"/>
        <w:gridCol w:w="1814"/>
        <w:gridCol w:w="1345"/>
        <w:gridCol w:w="1456"/>
      </w:tblGrid>
      <w:tr w:rsidR="00A61D97" w:rsidRPr="00967A05" w14:paraId="20A79137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ACF89" w14:textId="77777777" w:rsidR="00A61D97" w:rsidRDefault="00967A0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No. of internode starting from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apex of the branch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8B7AC" w14:textId="77777777" w:rsidR="00A61D97" w:rsidRDefault="00967A0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Internode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length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cm</w:t>
            </w:r>
            <w:proofErr w:type="spellEnd"/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B39E5" w14:textId="77777777" w:rsidR="00A61D97" w:rsidRDefault="00967A0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Branch diameter at the middle of the internode, cm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8DC22" w14:textId="77777777" w:rsidR="00A61D97" w:rsidRPr="00967A05" w:rsidRDefault="00967A05">
            <w:pPr>
              <w:pStyle w:val="TableContents"/>
              <w:rPr>
                <w:lang w:val="en-US"/>
              </w:rPr>
            </w:pPr>
            <w:r>
              <w:rPr>
                <w:rStyle w:val="a0"/>
                <w:rFonts w:ascii="Times New Roman" w:hAnsi="Times New Roman" w:cs="Times New Roman"/>
                <w:sz w:val="20"/>
                <w:szCs w:val="20"/>
                <w:lang w:val="en-US"/>
              </w:rPr>
              <w:t>Branch cortex surface area, cm</w:t>
            </w:r>
            <w:r>
              <w:rPr>
                <w:rStyle w:val="a0"/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1EB4E" w14:textId="77777777" w:rsidR="00A61D97" w:rsidRDefault="00967A05">
            <w:pPr>
              <w:pStyle w:val="TableContents"/>
            </w:pPr>
            <w:r>
              <w:rPr>
                <w:rStyle w:val="a0"/>
                <w:rFonts w:ascii="Times New Roman" w:hAnsi="Times New Roman" w:cs="Times New Roman"/>
                <w:sz w:val="20"/>
                <w:szCs w:val="20"/>
                <w:lang w:val="en-US"/>
              </w:rPr>
              <w:t>Lea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cm</w:t>
            </w:r>
            <w:r>
              <w:rPr>
                <w:rStyle w:val="a0"/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CD8D7" w14:textId="77777777" w:rsidR="00A61D97" w:rsidRDefault="00967A0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Cortex area to leaf area, %</w:t>
            </w:r>
          </w:p>
        </w:tc>
      </w:tr>
      <w:tr w:rsidR="00A61D97" w14:paraId="6730B1CC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AAE0A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3A547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860FF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DE610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FBBF8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AEFDD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A61D97" w14:paraId="7B86076D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1C802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2D9F4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04EB2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7A941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4EAFE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7FDF2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</w:tr>
      <w:tr w:rsidR="00A61D97" w14:paraId="141041DC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7CA9F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5107F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6D711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575A0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E5BC8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3EDA3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</w:tr>
      <w:tr w:rsidR="00A61D97" w14:paraId="283F3F8C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B5EE0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39BEF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1CA29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5526D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7D6AB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34B5F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</w:tr>
      <w:tr w:rsidR="00A61D97" w14:paraId="76A7632A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5B501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DA45B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70B5A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B62CC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A038D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71117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</w:tr>
      <w:tr w:rsidR="00A61D97" w14:paraId="19595F02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42ADC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D0346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38DF6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A0809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309E1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EB097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</w:tr>
      <w:tr w:rsidR="00A61D97" w14:paraId="11EBE5E6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E9484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435B1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C8171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ECA75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9AE77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6DB68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</w:tr>
      <w:tr w:rsidR="00A61D97" w14:paraId="2A2A38D4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F561D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75ACC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309CC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B87BD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33314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B62CC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</w:tr>
      <w:tr w:rsidR="00A61D97" w14:paraId="3875CE70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2D54A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D3B2C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3BECE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BCB0B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90F2F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83BAB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</w:tr>
      <w:tr w:rsidR="00A61D97" w14:paraId="73D314CE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D64D3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1A6BA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610A1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8A8E9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4C3DD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AF197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</w:t>
            </w:r>
          </w:p>
        </w:tc>
      </w:tr>
      <w:tr w:rsidR="00A61D97" w14:paraId="6CBD3588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212B5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46493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3256E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FD87D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0D99F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99B06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</w:tr>
      <w:tr w:rsidR="00A61D97" w14:paraId="4D9E729F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B8217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A848D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BC0AE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BBA8B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01195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F459E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</w:tr>
      <w:tr w:rsidR="00A61D97" w14:paraId="5BB06603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02EC1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E78A7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79701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8D044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A7E72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1A8AA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</w:tr>
      <w:tr w:rsidR="00A61D97" w14:paraId="50D84C94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65C6E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4AB8C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5ED8E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7364E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28.7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B2062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62578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</w:tr>
      <w:tr w:rsidR="00A61D97" w14:paraId="42EF9935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E9765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2B810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C0465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17494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32.8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21C18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CA5C0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</w:tr>
      <w:tr w:rsidR="00A61D97" w14:paraId="77C050F2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553A7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71FDC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E0DDF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6DA69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36.2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5C309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828C2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</w:tr>
      <w:tr w:rsidR="00A61D97" w14:paraId="649D0990" w14:textId="77777777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E5624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B713A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118.4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3A938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F9998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261.1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4244D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3586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16DC6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</w:tr>
    </w:tbl>
    <w:p w14:paraId="7784C1D6" w14:textId="77777777" w:rsidR="00A61D97" w:rsidRDefault="00A61D97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14:paraId="3B0D177E" w14:textId="77777777" w:rsidR="00A61D97" w:rsidRPr="00967A05" w:rsidRDefault="00967A05">
      <w:pPr>
        <w:pStyle w:val="Standard"/>
        <w:rPr>
          <w:lang w:val="en-US"/>
        </w:rPr>
      </w:pPr>
      <w:r>
        <w:rPr>
          <w:rStyle w:val="a0"/>
          <w:rFonts w:ascii="Times New Roman" w:hAnsi="Times New Roman" w:cs="Times New Roman"/>
          <w:sz w:val="20"/>
          <w:szCs w:val="20"/>
          <w:lang w:val="en-US"/>
        </w:rPr>
        <w:t xml:space="preserve">The total fresh weight of leaf blades was 58.3 g, petioles - 15.5 g, and stems - 39.7 g. </w:t>
      </w:r>
    </w:p>
    <w:p w14:paraId="004B1438" w14:textId="77777777" w:rsidR="00A61D97" w:rsidRPr="00967A05" w:rsidRDefault="00A61D97">
      <w:pPr>
        <w:pStyle w:val="Standard"/>
        <w:rPr>
          <w:lang w:val="en-US"/>
        </w:rPr>
      </w:pPr>
    </w:p>
    <w:p w14:paraId="5B535AD8" w14:textId="77777777" w:rsidR="00A61D97" w:rsidRDefault="00967A05">
      <w:pPr>
        <w:pStyle w:val="Standard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Supplemental Table 3. Two-way ANOVA of the effective </w:t>
      </w:r>
      <w:r>
        <w:rPr>
          <w:rFonts w:ascii="Times New Roman" w:hAnsi="Times New Roman" w:cs="Times New Roman"/>
          <w:sz w:val="20"/>
          <w:szCs w:val="20"/>
          <w:lang w:val="en-US"/>
        </w:rPr>
        <w:t>quantum yield of PSII.</w:t>
      </w:r>
    </w:p>
    <w:p w14:paraId="27D0FAA5" w14:textId="77777777" w:rsidR="00A61D97" w:rsidRDefault="00A61D97">
      <w:pPr>
        <w:pStyle w:val="Standard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36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7"/>
        <w:gridCol w:w="1276"/>
      </w:tblGrid>
      <w:tr w:rsidR="00A61D97" w14:paraId="2B383E5B" w14:textId="77777777">
        <w:tblPrEx>
          <w:tblCellMar>
            <w:top w:w="0" w:type="dxa"/>
            <w:bottom w:w="0" w:type="dxa"/>
          </w:tblCellMar>
        </w:tblPrEx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C5C91" w14:textId="77777777" w:rsidR="00A61D97" w:rsidRDefault="00967A0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7EB3D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A61D97" w14:paraId="1902E9AC" w14:textId="77777777">
        <w:tblPrEx>
          <w:tblCellMar>
            <w:top w:w="0" w:type="dxa"/>
            <w:bottom w:w="0" w:type="dxa"/>
          </w:tblCellMar>
        </w:tblPrEx>
        <w:tc>
          <w:tcPr>
            <w:tcW w:w="240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CEF91" w14:textId="77777777" w:rsidR="00A61D97" w:rsidRDefault="00967A05">
            <w:pPr>
              <w:pStyle w:val="TableContents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leaf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branch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F6498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A61D97" w14:paraId="5CBD1E12" w14:textId="77777777">
        <w:tblPrEx>
          <w:tblCellMar>
            <w:top w:w="0" w:type="dxa"/>
            <w:bottom w:w="0" w:type="dxa"/>
          </w:tblCellMar>
        </w:tblPrEx>
        <w:tc>
          <w:tcPr>
            <w:tcW w:w="240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B25C8" w14:textId="77777777" w:rsidR="00A61D97" w:rsidRDefault="00967A05">
            <w:pPr>
              <w:pStyle w:val="TableContents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Orientation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52945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61D97" w14:paraId="34B20F3C" w14:textId="77777777">
        <w:tblPrEx>
          <w:tblCellMar>
            <w:top w:w="0" w:type="dxa"/>
            <w:bottom w:w="0" w:type="dxa"/>
          </w:tblCellMar>
        </w:tblPrEx>
        <w:tc>
          <w:tcPr>
            <w:tcW w:w="240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788DB" w14:textId="77777777" w:rsidR="00A61D97" w:rsidRDefault="00967A05">
            <w:pPr>
              <w:pStyle w:val="TableContents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×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Orientation</w:t>
            </w:r>
            <w:proofErr w:type="spellEnd"/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A1E1E" w14:textId="77777777" w:rsidR="00A61D97" w:rsidRDefault="00967A0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0.754</w:t>
            </w:r>
          </w:p>
        </w:tc>
      </w:tr>
    </w:tbl>
    <w:p w14:paraId="2DFF3C53" w14:textId="77777777" w:rsidR="00A61D97" w:rsidRDefault="00A61D97">
      <w:pPr>
        <w:pStyle w:val="Standard"/>
        <w:rPr>
          <w:lang w:val="en-US"/>
        </w:rPr>
      </w:pPr>
    </w:p>
    <w:sectPr w:rsidR="00A61D9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DC9A0" w14:textId="77777777" w:rsidR="00967A05" w:rsidRDefault="00967A05">
      <w:r>
        <w:separator/>
      </w:r>
    </w:p>
  </w:endnote>
  <w:endnote w:type="continuationSeparator" w:id="0">
    <w:p w14:paraId="12F0A26A" w14:textId="77777777" w:rsidR="00967A05" w:rsidRDefault="00967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7234B" w14:textId="77777777" w:rsidR="00967A05" w:rsidRDefault="00967A05">
      <w:r>
        <w:rPr>
          <w:color w:val="000000"/>
        </w:rPr>
        <w:separator/>
      </w:r>
    </w:p>
  </w:footnote>
  <w:footnote w:type="continuationSeparator" w:id="0">
    <w:p w14:paraId="6C9964A9" w14:textId="77777777" w:rsidR="00967A05" w:rsidRDefault="00967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61D97"/>
    <w:rsid w:val="00967A05"/>
    <w:rsid w:val="0098289A"/>
    <w:rsid w:val="00A61D97"/>
    <w:rsid w:val="00ED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8BCEC"/>
  <w15:docId w15:val="{B7FD02DB-EE62-4A3A-91F4-C4C0C766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ejaVu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suppressAutoHyphens/>
    </w:pPr>
  </w:style>
  <w:style w:type="character" w:customStyle="1" w:styleId="a0">
    <w:name w:val="Основной шрифт абзаца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a1">
    <w:name w:val="Список"/>
    <w:basedOn w:val="Textbody"/>
  </w:style>
  <w:style w:type="paragraph" w:customStyle="1" w:styleId="a2">
    <w:name w:val="Название объекта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character" w:customStyle="1" w:styleId="BodyTextChar">
    <w:name w:val="Body Text Char"/>
    <w:basedOn w:val="DefaultParagraphFont"/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Tanya</dc:creator>
  <cp:lastModifiedBy>Tatyana Savchenko</cp:lastModifiedBy>
  <cp:revision>3</cp:revision>
  <dcterms:created xsi:type="dcterms:W3CDTF">2026-07-17T07:14:00Z</dcterms:created>
  <dcterms:modified xsi:type="dcterms:W3CDTF">2026-07-17T07:14:00Z</dcterms:modified>
</cp:coreProperties>
</file>