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4"/>
        </w:rPr>
        <w:t>Supplementary Table 2. Variance inflation factors (VIFs)</w:t>
      </w:r>
    </w:p>
    <w:p>
      <w:r>
        <w:t>Predictor variables included in the multivariable model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Variable</w:t>
            </w:r>
          </w:p>
        </w:tc>
        <w:tc>
          <w:tcPr>
            <w:tcW w:type="dxa" w:w="4320"/>
          </w:tcPr>
          <w:p>
            <w:r>
              <w:t>VIF</w:t>
            </w:r>
          </w:p>
        </w:tc>
      </w:tr>
      <w:tr>
        <w:tc>
          <w:tcPr>
            <w:tcW w:type="dxa" w:w="4320"/>
          </w:tcPr>
          <w:p>
            <w:r>
              <w:t>Age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5.28</w:t>
            </w:r>
          </w:p>
        </w:tc>
      </w:tr>
      <w:tr>
        <w:tc>
          <w:tcPr>
            <w:tcW w:type="dxa" w:w="4320"/>
          </w:tcPr>
          <w:p>
            <w:r>
              <w:t>General medical ailments (GMA)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4.84</w:t>
            </w:r>
          </w:p>
        </w:tc>
      </w:tr>
      <w:tr>
        <w:tc>
          <w:tcPr>
            <w:tcW w:type="dxa" w:w="4320"/>
          </w:tcPr>
          <w:p>
            <w:r>
              <w:t>Hypertension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1.86</w:t>
            </w:r>
          </w:p>
        </w:tc>
      </w:tr>
      <w:tr>
        <w:tc>
          <w:tcPr>
            <w:tcW w:type="dxa" w:w="4320"/>
          </w:tcPr>
          <w:p>
            <w:r>
              <w:t>Psychotropic medication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1.69</w:t>
            </w:r>
          </w:p>
        </w:tc>
      </w:tr>
      <w:tr>
        <w:tc>
          <w:tcPr>
            <w:tcW w:type="dxa" w:w="4320"/>
          </w:tcPr>
          <w:p>
            <w:r>
              <w:t>Dyslipidaemia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1.66</w:t>
            </w:r>
          </w:p>
        </w:tc>
      </w:tr>
      <w:tr>
        <w:tc>
          <w:tcPr>
            <w:tcW w:type="dxa" w:w="4320"/>
          </w:tcPr>
          <w:p>
            <w:r>
              <w:t>Diabetes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1.32</w:t>
            </w:r>
          </w:p>
        </w:tc>
      </w:tr>
      <w:tr>
        <w:tc>
          <w:tcPr>
            <w:tcW w:type="dxa" w:w="4320"/>
          </w:tcPr>
          <w:p>
            <w:r>
              <w:t>Depression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1.31</w:t>
            </w:r>
          </w:p>
        </w:tc>
      </w:tr>
      <w:tr>
        <w:tc>
          <w:tcPr>
            <w:tcW w:type="dxa" w:w="4320"/>
          </w:tcPr>
          <w:p>
            <w:r>
              <w:t>Obesity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1.17</w:t>
            </w:r>
          </w:p>
        </w:tc>
      </w:tr>
      <w:tr>
        <w:tc>
          <w:tcPr>
            <w:tcW w:type="dxa" w:w="4320"/>
          </w:tcPr>
          <w:p>
            <w:r>
              <w:t>Smoking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1.15</w:t>
            </w:r>
          </w:p>
        </w:tc>
      </w:tr>
      <w:tr>
        <w:tc>
          <w:tcPr>
            <w:tcW w:type="dxa" w:w="4320"/>
          </w:tcPr>
          <w:p>
            <w:r>
              <w:t>Sjögren syndrome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1.01</w:t>
            </w:r>
          </w:p>
        </w:tc>
      </w:tr>
      <w:tr>
        <w:tc>
          <w:tcPr>
            <w:tcW w:type="dxa" w:w="4320"/>
          </w:tcPr>
          <w:p>
            <w:r>
              <w:t>Systemic lupus erythematosus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1.01</w:t>
            </w:r>
          </w:p>
        </w:tc>
      </w:tr>
    </w:tbl>
    <w:p/>
    <w:p>
      <w:r>
        <w:rPr>
          <w:b/>
        </w:rPr>
        <w:t xml:space="preserve">Abbreviations: </w:t>
      </w:r>
      <w:r>
        <w:t>VIF, variance inflation factor; GMA, general medical ailments.</w:t>
      </w:r>
    </w:p>
    <w:p>
      <w:r>
        <w:rPr>
          <w:b/>
        </w:rPr>
        <w:t xml:space="preserve">Note: </w:t>
      </w:r>
      <w:r>
        <w:t>VIF &gt;5 may indicate moderate multicollinearity; &gt;10 indicates high multicollinearity.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