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480" w:lineRule="auto"/>
        <w:jc w:val="both"/>
        <w:rPr>
          <w:sz w:val="36"/>
          <w:szCs w:val="36"/>
        </w:rPr>
      </w:pPr>
      <w:bookmarkStart w:colFirst="0" w:colLast="0" w:name="_cf9maphuycvj" w:id="0"/>
      <w:bookmarkEnd w:id="0"/>
      <w:r w:rsidDel="00000000" w:rsidR="00000000" w:rsidRPr="00000000">
        <w:rPr>
          <w:sz w:val="36"/>
          <w:szCs w:val="36"/>
          <w:rtl w:val="0"/>
        </w:rPr>
        <w:t xml:space="preserve">Supplementary note</w:t>
      </w:r>
    </w:p>
    <w:p w:rsidR="00000000" w:rsidDel="00000000" w:rsidP="00000000" w:rsidRDefault="00000000" w:rsidRPr="00000000" w14:paraId="00000002">
      <w:pPr>
        <w:pStyle w:val="Heading2"/>
        <w:spacing w:line="480" w:lineRule="auto"/>
        <w:jc w:val="both"/>
        <w:rPr/>
      </w:pPr>
      <w:bookmarkStart w:colFirst="0" w:colLast="0" w:name="_9vqos0slwqpq" w:id="1"/>
      <w:bookmarkEnd w:id="1"/>
      <w:r w:rsidDel="00000000" w:rsidR="00000000" w:rsidRPr="00000000">
        <w:rPr>
          <w:rtl w:val="0"/>
        </w:rPr>
        <w:t xml:space="preserve">Identification of Seed Metabolites and Microbiota members associated with Germination and Emergence in Common Bean</w:t>
      </w:r>
    </w:p>
    <w:p w:rsidR="00000000" w:rsidDel="00000000" w:rsidP="00000000" w:rsidRDefault="00000000" w:rsidRPr="00000000" w14:paraId="00000003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Louna Colaert-Sentenac¹, Élisabeth Planchet¹, Cyril Abadie</w:t>
      </w:r>
      <w:r w:rsidDel="00000000" w:rsidR="00000000" w:rsidRPr="00000000">
        <w:rPr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, Julie Lalande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 Sherif Hamdy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Coralie Marais¹, Audrey Dupont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Laurence Le Corre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Claude-Emmanuel Koutouan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, Marie-Hélène Wagner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Matthieu Barret¹, Guillaume Tcherkez¹, Béatrice Teulat¹*, Marie Simonin¹</w:t>
      </w:r>
    </w:p>
    <w:p w:rsidR="00000000" w:rsidDel="00000000" w:rsidP="00000000" w:rsidRDefault="00000000" w:rsidRPr="00000000" w14:paraId="00000004">
      <w:pPr>
        <w:spacing w:line="480" w:lineRule="auto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Institutional addresses</w:t>
      </w:r>
    </w:p>
    <w:p w:rsidR="00000000" w:rsidDel="00000000" w:rsidP="00000000" w:rsidRDefault="00000000" w:rsidRPr="00000000" w14:paraId="00000006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1: Institut Agro, INRAE, IRHS, SFR QUASAV, Université d’Angers, F-49000 Angers, France</w:t>
      </w:r>
    </w:p>
    <w:p w:rsidR="00000000" w:rsidDel="00000000" w:rsidP="00000000" w:rsidRDefault="00000000" w:rsidRPr="00000000" w14:paraId="00000007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2: GEVES, Station Nationale d’Essais de Semences, F-49071 Beaucouzé, France</w:t>
      </w:r>
    </w:p>
    <w:p w:rsidR="00000000" w:rsidDel="00000000" w:rsidP="00000000" w:rsidRDefault="00000000" w:rsidRPr="00000000" w14:paraId="00000008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3: FNAMS, Impasse de verger, 49800 Brain sur l’Authion, France</w:t>
      </w:r>
    </w:p>
    <w:p w:rsidR="00000000" w:rsidDel="00000000" w:rsidP="00000000" w:rsidRDefault="00000000" w:rsidRPr="00000000" w14:paraId="00000009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4: Ecophysiologie et Génomique Fonctionnelle de la Vigne, University of Bordeaux, Bordeaux Science Agro, INRAE, ISVV, Villenave-d'Ornon, France</w:t>
      </w:r>
    </w:p>
    <w:p w:rsidR="00000000" w:rsidDel="00000000" w:rsidP="00000000" w:rsidRDefault="00000000" w:rsidRPr="00000000" w14:paraId="0000000A">
      <w:pPr>
        <w:spacing w:line="4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Correspondence</w:t>
      </w:r>
    </w:p>
    <w:p w:rsidR="00000000" w:rsidDel="00000000" w:rsidP="00000000" w:rsidRDefault="00000000" w:rsidRPr="00000000" w14:paraId="0000000C">
      <w:pPr>
        <w:spacing w:line="480" w:lineRule="auto"/>
        <w:rPr/>
      </w:pPr>
      <w:r w:rsidDel="00000000" w:rsidR="00000000" w:rsidRPr="00000000">
        <w:rPr>
          <w:rtl w:val="0"/>
        </w:rPr>
        <w:t xml:space="preserve">*corresponding author, email: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beatrice.teulat@institut-agro.fr</w:t>
        </w:r>
      </w:hyperlink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spacing w:line="480" w:lineRule="auto"/>
        <w:rPr/>
      </w:pPr>
      <w:bookmarkStart w:colFirst="0" w:colLast="0" w:name="_i4t742xyqb5g" w:id="2"/>
      <w:bookmarkEnd w:id="2"/>
      <w:r w:rsidDel="00000000" w:rsidR="00000000" w:rsidRPr="00000000">
        <w:rPr>
          <w:rtl w:val="0"/>
        </w:rPr>
        <w:t xml:space="preserve">Statistical analyses of microbial community composition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𝛼-diversity</w:t>
      </w:r>
      <w:r w:rsidDel="00000000" w:rsidR="00000000" w:rsidRPr="00000000">
        <w:rPr>
          <w:rtl w:val="0"/>
        </w:rPr>
        <w:t xml:space="preserve">, the microbial diversity measured within a sample, was estimated on the coverage-based rarefied dataset with richness, Chao1 index (a non-parametric richness index that calculates the minimal number of taxa present in a sample) and Shannon index (that estimates the taxa diversity in a sample taking into account both abundance and evenness). Differences in alpha-diversity among seed varieties were tested using Kruskal-Wallis tests, followed by Dunn's post-hoc pairwise comparisons with Benjamini-Hochberg correction for multiple testing.</w:t>
      </w:r>
    </w:p>
    <w:p w:rsidR="00000000" w:rsidDel="00000000" w:rsidP="00000000" w:rsidRDefault="00000000" w:rsidRPr="00000000" w14:paraId="0000000F">
      <w:pPr>
        <w:spacing w:line="4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𝛽-diversity</w:t>
      </w:r>
      <w:r w:rsidDel="00000000" w:rsidR="00000000" w:rsidRPr="00000000">
        <w:rPr>
          <w:rtl w:val="0"/>
        </w:rPr>
        <w:t xml:space="preserve">, the microbial diversity compared between samples, was analyzed on unrarefied data filtered by prevalence of at least 5% of samples (454 bacterial and 132 fungal ASVs), then transformed with robust centered-log ratio with </w:t>
      </w:r>
      <w:r w:rsidDel="00000000" w:rsidR="00000000" w:rsidRPr="00000000">
        <w:rPr>
          <w:i w:val="1"/>
          <w:iCs w:val="1"/>
          <w:rtl w:val="0"/>
        </w:rPr>
        <w:t xml:space="preserve">microbiome </w:t>
      </w:r>
      <w:r w:rsidDel="00000000" w:rsidR="00000000" w:rsidRPr="00000000">
        <w:rPr>
          <w:rtl w:val="0"/>
        </w:rPr>
        <w:t xml:space="preserve">(v.1.34.0, </w:t>
      </w:r>
      <w:hyperlink r:id="rId7">
        <w:r w:rsidDel="00000000" w:rsidR="00000000" w:rsidRPr="00000000">
          <w:rPr>
            <w:rtl w:val="0"/>
          </w:rPr>
          <w:t xml:space="preserve">(Lahti and Shetty 2017)</w:t>
        </w:r>
      </w:hyperlink>
      <w:r w:rsidDel="00000000" w:rsidR="00000000" w:rsidRPr="00000000">
        <w:rPr>
          <w:rtl w:val="0"/>
        </w:rPr>
        <w:t xml:space="preserve">) which handles zero values without requiring prior imputation. Euclidean distances were computed using </w:t>
      </w:r>
      <w:r w:rsidDel="00000000" w:rsidR="00000000" w:rsidRPr="00000000">
        <w:rPr>
          <w:i w:val="1"/>
          <w:iCs w:val="1"/>
          <w:rtl w:val="0"/>
        </w:rPr>
        <w:t xml:space="preserve">stats::dist</w:t>
      </w:r>
      <w:r w:rsidDel="00000000" w:rsidR="00000000" w:rsidRPr="00000000">
        <w:rPr>
          <w:rtl w:val="0"/>
        </w:rPr>
        <w:t xml:space="preserve">. Community composition was visualized using Principal Coordinates Analysis (PCoA) implemented in the ape R package. The effect of variety on community composition was tested using permutational multivariate analysis of variance (PERMANOVA) with 999 permutations, as implemented in </w:t>
      </w:r>
      <w:r w:rsidDel="00000000" w:rsidR="00000000" w:rsidRPr="00000000">
        <w:rPr>
          <w:i w:val="1"/>
          <w:iCs w:val="1"/>
          <w:rtl w:val="0"/>
        </w:rPr>
        <w:t xml:space="preserve">vegan::adonis2 </w:t>
      </w:r>
      <w:r w:rsidDel="00000000" w:rsidR="00000000" w:rsidRPr="00000000">
        <w:rPr>
          <w:rtl w:val="0"/>
        </w:rPr>
        <w:t xml:space="preserve">(v.2.7.3, </w:t>
      </w:r>
      <w:hyperlink r:id="rId8">
        <w:r w:rsidDel="00000000" w:rsidR="00000000" w:rsidRPr="00000000">
          <w:rPr>
            <w:rtl w:val="0"/>
          </w:rPr>
          <w:t xml:space="preserve">(Oksanen et al. 2026)</w:t>
        </w:r>
      </w:hyperlink>
      <w:r w:rsidDel="00000000" w:rsidR="00000000" w:rsidRPr="00000000">
        <w:rPr>
          <w:rtl w:val="0"/>
        </w:rPr>
        <w:t xml:space="preserve">). Homogeneity of multivariate dispersions among varieties was assessed prior to PERMANOVA using </w:t>
      </w:r>
      <w:r w:rsidDel="00000000" w:rsidR="00000000" w:rsidRPr="00000000">
        <w:rPr>
          <w:i w:val="1"/>
          <w:iCs w:val="1"/>
          <w:rtl w:val="0"/>
        </w:rPr>
        <w:t xml:space="preserve">vegan::betadisper</w:t>
      </w:r>
      <w:r w:rsidDel="00000000" w:rsidR="00000000" w:rsidRPr="00000000">
        <w:rPr>
          <w:rtl w:val="0"/>
        </w:rPr>
        <w:t xml:space="preserve"> followed by a permutation test, to ensure that significant PERMANOVA results reflect differences in community position rather than dispersion. Pairwise post-hoc comparisons between varieties were performed using </w:t>
      </w:r>
      <w:r w:rsidDel="00000000" w:rsidR="00000000" w:rsidRPr="00000000">
        <w:rPr>
          <w:i w:val="1"/>
          <w:iCs w:val="1"/>
          <w:rtl w:val="0"/>
        </w:rPr>
        <w:t xml:space="preserve">pairwiseAdonis::pairwise.adonis2</w:t>
      </w:r>
      <w:r w:rsidDel="00000000" w:rsidR="00000000" w:rsidRPr="00000000">
        <w:rPr>
          <w:rtl w:val="0"/>
        </w:rPr>
        <w:t xml:space="preserve"> with Benjamini-Hochberg correction for multiple testing.</w:t>
      </w:r>
    </w:p>
    <w:p w:rsidR="00000000" w:rsidDel="00000000" w:rsidP="00000000" w:rsidRDefault="00000000" w:rsidRPr="00000000" w14:paraId="00000010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Taxonomic composition of seed-associated microbial communities was plotted at genus-level on non-rarefied read counts. ASVs were first filtered by prevalence of at least 5% with at least 50 counts across all samples, then aggregated at genus level. The mean of per-sample relative abundance was computed, and genera of below 1% maximum relative abundance were grouped as “Other” for stacked bar plots.</w:t>
      </w:r>
    </w:p>
    <w:p w:rsidR="00000000" w:rsidDel="00000000" w:rsidP="00000000" w:rsidRDefault="00000000" w:rsidRPr="00000000" w14:paraId="00000011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The taxonomic and occurrence information were used to produce a stacked bar plot of the most predominant genus from taxa with relative abundance superior to 0.1%.</w:t>
      </w:r>
    </w:p>
    <w:p w:rsidR="00000000" w:rsidDel="00000000" w:rsidP="00000000" w:rsidRDefault="00000000" w:rsidRPr="00000000" w14:paraId="00000012">
      <w:pPr>
        <w:pStyle w:val="Heading3"/>
        <w:spacing w:line="480" w:lineRule="auto"/>
        <w:jc w:val="both"/>
        <w:rPr/>
      </w:pPr>
      <w:bookmarkStart w:colFirst="0" w:colLast="0" w:name="_xm9lmkxlkbd3" w:id="3"/>
      <w:bookmarkEnd w:id="3"/>
      <w:r w:rsidDel="00000000" w:rsidR="00000000" w:rsidRPr="00000000">
        <w:rPr>
          <w:rtl w:val="0"/>
        </w:rPr>
        <w:t xml:space="preserve">Seed microbiota composition is variety-dependent for fungi, but not for bacteria</w:t>
      </w:r>
    </w:p>
    <w:p w:rsidR="00000000" w:rsidDel="00000000" w:rsidP="00000000" w:rsidRDefault="00000000" w:rsidRPr="00000000" w14:paraId="00000013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Species richness ranged from 8 to 217 taxa per seed lot/variety for bacterial communities (average: 81±70), and from 30 to 87 taxa per variety for fungal communities (average: 48±18). Flavert and Linex varieties displayed the highest richness for both bacterial and fungal communities (</w:t>
      </w:r>
      <w:r w:rsidDel="00000000" w:rsidR="00000000" w:rsidRPr="00000000">
        <w:rPr>
          <w:b w:val="1"/>
          <w:bCs w:val="1"/>
          <w:rtl w:val="0"/>
        </w:rPr>
        <w:t xml:space="preserve">Figure S4.E-F</w:t>
      </w:r>
      <w:r w:rsidDel="00000000" w:rsidR="00000000" w:rsidRPr="00000000">
        <w:rPr>
          <w:rtl w:val="0"/>
        </w:rPr>
        <w:t xml:space="preserve">). Shannon diversity index varied significantly between varieties (p = 0.034 for bacteria and p = 0.025 for fungi, Kruskal-Wallis test), but only the paired comparison between Flavert and Vanilla for fungal Chao1 index was significant. β-diversity analysis with PCoA of rCLR-transformed community profiles revealed contrasting patterns between bacterial and fungal communities (</w:t>
      </w:r>
      <w:r w:rsidDel="00000000" w:rsidR="00000000" w:rsidRPr="00000000">
        <w:rPr>
          <w:b w:val="1"/>
          <w:bCs w:val="1"/>
          <w:rtl w:val="0"/>
        </w:rPr>
        <w:t xml:space="preserve">Figure 5A-B</w:t>
      </w:r>
      <w:r w:rsidDel="00000000" w:rsidR="00000000" w:rsidRPr="00000000">
        <w:rPr>
          <w:rtl w:val="0"/>
        </w:rPr>
        <w:t xml:space="preserve">). For bacterial communities (</w:t>
      </w:r>
      <w:r w:rsidDel="00000000" w:rsidR="00000000" w:rsidRPr="00000000">
        <w:rPr>
          <w:i w:val="1"/>
          <w:iCs w:val="1"/>
          <w:rtl w:val="0"/>
        </w:rPr>
        <w:t xml:space="preserve">gyrB</w:t>
      </w:r>
      <w:r w:rsidDel="00000000" w:rsidR="00000000" w:rsidRPr="00000000">
        <w:rPr>
          <w:rtl w:val="0"/>
        </w:rPr>
        <w:t xml:space="preserve">), the first two principal coordinates explained 54.3% and 26.9% of total variance, respectively. PERMANOVA indicated no significant effect of variety on bacterial community composition (R² = 0.37, F = 1.09, p = 0.4), and multivariate dispersions were homogeneous among varieties (betadisper, p = 0.397), suggesting that seed variety did not shape bacterial community structure. For fungal communities (ITS), the first two principal coordinates captured 57.7% and 39.7% of total variance, accounting for 97.4% of total variance and indicating a strong two-dimensional structure. PERMANOVA revealed a highly significant effect of variety on fungal community composition (R² = 0.80, F = 7.65, p = 0.001), with homogeneous dispersions among varieties (betadisper, p = 0.25). Given the low number of replicates per variety (n = 2-3), pairwise post-hoc comparisons did not identify any individually significant variety pairs after Benjamini-Hochberg correction.</w:t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4" w:w="11909" w:orient="portrait"/>
      <w:pgMar w:bottom="1440" w:top="1440" w:left="1440" w:right="1440" w:header="720" w:footer="720"/>
      <w:lnNumType w:countBy="1" w:start="0" w:restart="continuous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color w:val="e06666"/>
        <w:rtl w:val="0"/>
      </w:rPr>
      <w:t xml:space="preserve">Multidimensional Drivers of Seed Germination and Emergence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beatrice.teulat@institut-agro.fr" TargetMode="External"/><Relationship Id="rId7" Type="http://schemas.openxmlformats.org/officeDocument/2006/relationships/hyperlink" Target="https://www.zotero.org/google-docs/?kAEMbp" TargetMode="External"/><Relationship Id="rId8" Type="http://schemas.openxmlformats.org/officeDocument/2006/relationships/hyperlink" Target="https://www.zotero.org/google-docs/?l3oZ8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