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05F0D" w14:textId="77777777" w:rsidR="00636ECE" w:rsidRPr="001F0175" w:rsidRDefault="00000000">
      <w:pPr>
        <w:spacing w:after="200"/>
        <w:jc w:val="center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t>Supplementary Material</w:t>
      </w:r>
    </w:p>
    <w:p w14:paraId="1A1B3B69" w14:textId="77777777" w:rsidR="00636ECE" w:rsidRPr="001F0175" w:rsidRDefault="00000000">
      <w:pPr>
        <w:spacing w:after="120" w:line="300" w:lineRule="auto"/>
        <w:jc w:val="center"/>
        <w:rPr>
          <w:sz w:val="24"/>
          <w:szCs w:val="24"/>
        </w:rPr>
      </w:pPr>
      <w:r w:rsidRPr="001F0175">
        <w:rPr>
          <w:rFonts w:eastAsia="Times New Roman"/>
          <w:i/>
          <w:iCs/>
          <w:sz w:val="24"/>
          <w:szCs w:val="24"/>
        </w:rPr>
        <w:t>Time-Specific Recovery of Shared Decision-Making Willingness: A Dual-Role Simulation Evaluating Video-Assisted Patient Decision Aids in Postgraduate Medical Education</w:t>
      </w:r>
    </w:p>
    <w:p w14:paraId="21C2DBC6" w14:textId="77777777" w:rsidR="00636ECE" w:rsidRDefault="00000000">
      <w:pPr>
        <w:spacing w:after="200" w:line="300" w:lineRule="auto"/>
        <w:jc w:val="center"/>
        <w:rPr>
          <w:sz w:val="24"/>
          <w:szCs w:val="24"/>
        </w:rPr>
      </w:pPr>
      <w:r w:rsidRPr="001F0175">
        <w:rPr>
          <w:rFonts w:eastAsia="Times New Roman"/>
          <w:sz w:val="24"/>
          <w:szCs w:val="24"/>
        </w:rPr>
        <w:t>This file contains Supplementary Tables 1–5 and Supplementary Figures 1–4. All analyses are based on the full sample of 100 postgraduate-year physicians (n = 100).</w:t>
      </w:r>
    </w:p>
    <w:p w14:paraId="1ED0A110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Table 1.</w:t>
      </w:r>
      <w:r w:rsidRPr="001F0175">
        <w:rPr>
          <w:sz w:val="24"/>
          <w:szCs w:val="24"/>
        </w:rPr>
        <w:t xml:space="preserve"> Individual-level transition matrix of implementation willingness (traditional → video-assisted SDM)</w:t>
      </w:r>
    </w:p>
    <w:p w14:paraId="44BF9E28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Table 2.</w:t>
      </w:r>
      <w:r w:rsidRPr="001F0175">
        <w:rPr>
          <w:sz w:val="24"/>
          <w:szCs w:val="24"/>
        </w:rPr>
        <w:t xml:space="preserve"> High-willingness proportions (≥70%) and McNemar comparisons across contexts</w:t>
      </w:r>
    </w:p>
    <w:p w14:paraId="062338FB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Table 3.</w:t>
      </w:r>
      <w:r w:rsidRPr="001F0175">
        <w:rPr>
          <w:sz w:val="24"/>
          <w:szCs w:val="24"/>
        </w:rPr>
        <w:t xml:space="preserve"> Robustness analyses: Holm correction, scale dimensionality, and gender sensitivity</w:t>
      </w:r>
    </w:p>
    <w:p w14:paraId="104D9D80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Table 4.</w:t>
      </w:r>
      <w:r w:rsidRPr="001F0175">
        <w:rPr>
          <w:sz w:val="24"/>
          <w:szCs w:val="24"/>
        </w:rPr>
        <w:t xml:space="preserve"> Video-assisted SDM: benefits and limitations identified through dual-role simulation</w:t>
      </w:r>
    </w:p>
    <w:p w14:paraId="0C9FE057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Table 5.</w:t>
      </w:r>
      <w:r w:rsidRPr="001F0175">
        <w:rPr>
          <w:sz w:val="24"/>
          <w:szCs w:val="24"/>
        </w:rPr>
        <w:t xml:space="preserve"> SDM benefits selected as most important</w:t>
      </w:r>
    </w:p>
    <w:p w14:paraId="6C6E1CDB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Figure 1.</w:t>
      </w:r>
      <w:r w:rsidRPr="001F0175">
        <w:rPr>
          <w:sz w:val="24"/>
          <w:szCs w:val="24"/>
        </w:rPr>
        <w:t xml:space="preserve"> Barriers to SDM implementation reported by PGY physicians, grouped by level (n = 100). Corresponds to Table 1.</w:t>
      </w:r>
    </w:p>
    <w:p w14:paraId="5755E0B0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Figure 2.</w:t>
      </w:r>
      <w:r w:rsidRPr="001F0175">
        <w:rPr>
          <w:sz w:val="24"/>
          <w:szCs w:val="24"/>
        </w:rPr>
        <w:t xml:space="preserve"> Perceived information clarity across five psoriasis content domains: video-assisted vs traditional PDA (n = 100). Corresponds to Table 2.</w:t>
      </w:r>
    </w:p>
    <w:p w14:paraId="1499A5C5" w14:textId="77777777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Figure 3.</w:t>
      </w:r>
      <w:r w:rsidRPr="001F0175">
        <w:rPr>
          <w:sz w:val="24"/>
          <w:szCs w:val="24"/>
        </w:rPr>
        <w:t xml:space="preserve"> Item-level effectiveness evaluation of traditional versus video-assisted PDAs (mean ± SD; n = 100). ***, p &lt; .001; ns, not significant. Corresponds to Table 3.</w:t>
      </w:r>
    </w:p>
    <w:p w14:paraId="24A06F71" w14:textId="65792445" w:rsidR="001F0175" w:rsidRPr="001F0175" w:rsidRDefault="001F0175" w:rsidP="001F0175">
      <w:pPr>
        <w:spacing w:after="200" w:line="300" w:lineRule="auto"/>
        <w:rPr>
          <w:sz w:val="24"/>
          <w:szCs w:val="24"/>
        </w:rPr>
      </w:pPr>
      <w:r w:rsidRPr="001F0175">
        <w:rPr>
          <w:b/>
          <w:bCs/>
          <w:sz w:val="24"/>
          <w:szCs w:val="24"/>
        </w:rPr>
        <w:t>Supplementary Figure 4.</w:t>
      </w:r>
      <w:r w:rsidRPr="001F0175">
        <w:rPr>
          <w:sz w:val="24"/>
          <w:szCs w:val="24"/>
        </w:rPr>
        <w:t xml:space="preserve"> SDM benefits selected as most important by PGY physicians (n = 97 valid responses). Corresponds to Supplementary Table 5.</w:t>
      </w:r>
    </w:p>
    <w:p w14:paraId="4B761059" w14:textId="77777777" w:rsidR="00636ECE" w:rsidRPr="001F0175" w:rsidRDefault="00000000">
      <w:pPr>
        <w:rPr>
          <w:sz w:val="24"/>
          <w:szCs w:val="24"/>
        </w:rPr>
      </w:pPr>
      <w:r w:rsidRPr="001F0175">
        <w:rPr>
          <w:sz w:val="24"/>
          <w:szCs w:val="24"/>
        </w:rPr>
        <w:br w:type="page"/>
      </w:r>
    </w:p>
    <w:p w14:paraId="0B5E02DF" w14:textId="77777777" w:rsidR="00636ECE" w:rsidRPr="001F0175" w:rsidRDefault="00000000">
      <w:pPr>
        <w:spacing w:before="200" w:after="100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>Supplementary Table 1. Individual-level transition matrix of implementation willingness (traditional → video-assisted SDM)</w:t>
      </w:r>
    </w:p>
    <w:tbl>
      <w:tblPr>
        <w:tblW w:w="7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00"/>
        <w:gridCol w:w="900"/>
        <w:gridCol w:w="900"/>
        <w:gridCol w:w="900"/>
        <w:gridCol w:w="900"/>
        <w:gridCol w:w="900"/>
        <w:gridCol w:w="900"/>
      </w:tblGrid>
      <w:tr w:rsidR="00636ECE" w:rsidRPr="001F0175" w14:paraId="04EB4B5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0A0E500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Traditional ↓ / Video →</w:t>
            </w:r>
          </w:p>
        </w:tc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7E0F7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&lt;10%</w:t>
            </w:r>
          </w:p>
        </w:tc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24E3C3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10–30%</w:t>
            </w:r>
          </w:p>
        </w:tc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426FE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30–50%</w:t>
            </w:r>
          </w:p>
        </w:tc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CBD65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50–70%</w:t>
            </w:r>
          </w:p>
        </w:tc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DEBD21B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70–90%</w:t>
            </w:r>
          </w:p>
        </w:tc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E8163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&gt;90%</w:t>
            </w:r>
          </w:p>
        </w:tc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AA50D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636ECE" w:rsidRPr="001F0175" w14:paraId="6B790643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1B684F9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&lt;10%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183705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03B09A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9AF276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15495FF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0B3E84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6A107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F0770A3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36ECE" w:rsidRPr="001F0175" w14:paraId="41ECB859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CF22B82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10–30%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7BD4C0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9D77E8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0DD4EC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7AE532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B9BF7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F3E598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4BBC11F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36ECE" w:rsidRPr="001F0175" w14:paraId="1933D04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69125D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30–50%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F2401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90B48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6B600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5018C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DD46103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79AA9B4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6D0A5F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636ECE" w:rsidRPr="001F0175" w14:paraId="0E9AC288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C91D1C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50–70%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6EB0AA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27C160B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D6664E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C39177C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46B150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0D058F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29AFAF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636ECE" w:rsidRPr="001F0175" w14:paraId="5D4E92DB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2584FE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70–90%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46BEDD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90750C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FE737A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5004BF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D2FB03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900" w:type="dxa"/>
            <w:shd w:val="clear" w:color="auto" w:fill="E8F3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F483F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376BD7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636ECE" w:rsidRPr="001F0175" w14:paraId="069EC230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64D099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&gt;90%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8A34CC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BC56E46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24303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759D3EB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FBECEC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23AB78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–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F76174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67BBDC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14:paraId="138C680F" w14:textId="77777777" w:rsidR="00636ECE" w:rsidRPr="001F0175" w:rsidRDefault="00000000">
      <w:pPr>
        <w:spacing w:after="200" w:line="230" w:lineRule="auto"/>
        <w:rPr>
          <w:sz w:val="24"/>
          <w:szCs w:val="24"/>
        </w:rPr>
      </w:pPr>
      <w:r w:rsidRPr="001F0175">
        <w:rPr>
          <w:rFonts w:eastAsia="Times New Roman"/>
          <w:sz w:val="24"/>
          <w:szCs w:val="24"/>
        </w:rPr>
        <w:t>Green cells (upper triangle) indicate increased willingness (52%); red cells (lower triangle) indicate decreased willingness (5%); the diagonal indicates no change (43%). This matrix provides the numerical basis for Fig. 2b. n = 100.</w:t>
      </w:r>
    </w:p>
    <w:p w14:paraId="60E85B7C" w14:textId="77777777" w:rsidR="001F0175" w:rsidRDefault="001F0175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0C80B8E8" w14:textId="25F27111" w:rsidR="00636ECE" w:rsidRPr="001F0175" w:rsidRDefault="00000000">
      <w:pPr>
        <w:spacing w:before="200" w:after="100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>Supplementary Table 2. High-willingness proportions (≥70%) and McNemar comparisons across contexts</w:t>
      </w:r>
    </w:p>
    <w:tbl>
      <w:tblPr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200"/>
        <w:gridCol w:w="2600"/>
        <w:gridCol w:w="1200"/>
      </w:tblGrid>
      <w:tr w:rsidR="00636ECE" w:rsidRPr="001F0175" w14:paraId="111BFFF2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1424B43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Context</w:t>
            </w:r>
          </w:p>
        </w:tc>
        <w:tc>
          <w:tcPr>
            <w:tcW w:w="22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4E1EE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High willingness, n (%)</w:t>
            </w:r>
          </w:p>
        </w:tc>
        <w:tc>
          <w:tcPr>
            <w:tcW w:w="26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B0494C0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McNemar comparison</w:t>
            </w:r>
          </w:p>
        </w:tc>
        <w:tc>
          <w:tcPr>
            <w:tcW w:w="12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9CB8E38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  <w:r w:rsidRPr="001F0175">
              <w:rPr>
                <w:rFonts w:eastAsia="Times New Roman"/>
                <w:sz w:val="24"/>
                <w:szCs w:val="24"/>
              </w:rPr>
              <w:t xml:space="preserve"> value</w:t>
            </w:r>
          </w:p>
        </w:tc>
      </w:tr>
      <w:tr w:rsidR="00636ECE" w:rsidRPr="001F0175" w14:paraId="575A352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A36954B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Ideal conditions</w:t>
            </w:r>
          </w:p>
        </w:tc>
        <w:tc>
          <w:tcPr>
            <w:tcW w:w="2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0A48CC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76 (76%)</w:t>
            </w:r>
          </w:p>
        </w:tc>
        <w:tc>
          <w:tcPr>
            <w:tcW w:w="2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9778F9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Ideal vs Traditional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08D18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&lt; .0001</w:t>
            </w:r>
          </w:p>
        </w:tc>
      </w:tr>
      <w:tr w:rsidR="00636ECE" w:rsidRPr="001F0175" w14:paraId="1EE97E35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B6EE2B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Traditional SDM</w:t>
            </w:r>
          </w:p>
        </w:tc>
        <w:tc>
          <w:tcPr>
            <w:tcW w:w="2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DBB3E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47 (47%)</w:t>
            </w:r>
          </w:p>
        </w:tc>
        <w:tc>
          <w:tcPr>
            <w:tcW w:w="2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59154F3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Traditional vs Video-assisted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374B250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&lt; .0001</w:t>
            </w:r>
          </w:p>
        </w:tc>
      </w:tr>
      <w:tr w:rsidR="00636ECE" w:rsidRPr="001F0175" w14:paraId="7A18F01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9B743E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Video-assisted SDM</w:t>
            </w:r>
          </w:p>
        </w:tc>
        <w:tc>
          <w:tcPr>
            <w:tcW w:w="2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CC7692F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77 (77%)</w:t>
            </w:r>
          </w:p>
        </w:tc>
        <w:tc>
          <w:tcPr>
            <w:tcW w:w="2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91AF0E2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Ideal vs Video-assisted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9812E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</w:t>
            </w:r>
          </w:p>
        </w:tc>
      </w:tr>
    </w:tbl>
    <w:p w14:paraId="29C09973" w14:textId="77777777" w:rsidR="00636ECE" w:rsidRPr="001F0175" w:rsidRDefault="00000000">
      <w:pPr>
        <w:spacing w:after="200" w:line="230" w:lineRule="auto"/>
        <w:rPr>
          <w:sz w:val="24"/>
          <w:szCs w:val="24"/>
        </w:rPr>
      </w:pPr>
      <w:r w:rsidRPr="001F0175">
        <w:rPr>
          <w:rFonts w:eastAsia="Times New Roman"/>
          <w:sz w:val="24"/>
          <w:szCs w:val="24"/>
        </w:rPr>
        <w:t>High willingness defined as a score ≥4 (≥70% of patients). SDM, shared decision-making. n = 100.</w:t>
      </w:r>
    </w:p>
    <w:p w14:paraId="2ADEED59" w14:textId="77777777" w:rsidR="001F0175" w:rsidRDefault="001F0175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5CCB8FA4" w14:textId="4D0A9ABC" w:rsidR="00636ECE" w:rsidRPr="001F0175" w:rsidRDefault="00000000">
      <w:pPr>
        <w:spacing w:before="200" w:after="100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>Supplementary Table 3. Robustness analyses: Holm correction, scale dimensionality, and gender sensitivity</w:t>
      </w:r>
    </w:p>
    <w:p w14:paraId="08526FA2" w14:textId="77777777" w:rsidR="00636ECE" w:rsidRPr="001F0175" w:rsidRDefault="00000000">
      <w:pPr>
        <w:spacing w:after="60" w:line="300" w:lineRule="auto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t>(a) Holm-adjusted p values for the 11 effectiveness-item comparisons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1800"/>
        <w:gridCol w:w="1800"/>
      </w:tblGrid>
      <w:tr w:rsidR="00636ECE" w:rsidRPr="001F0175" w14:paraId="1CCADAF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91404A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8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5C37B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 xml:space="preserve">Raw </w:t>
            </w:r>
            <w:r w:rsidRPr="001F0175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8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D14ED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 xml:space="preserve">Holm-adjusted </w:t>
            </w:r>
            <w:r w:rsidRPr="001F0175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636ECE" w:rsidRPr="001F0175" w14:paraId="7DA98914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3EDA39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1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F4681CA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0.2808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EEE0E5B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5B9ADAE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BFCC42A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2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FE81DB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0.2176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C89F7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48224306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CC596F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3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8FD3C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0.4395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8BCA568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6A78DAC0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721884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4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2369E6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0.5901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A2969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0E201E48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6CF029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5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462AC4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0.2234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E35AD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40069BEC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1366A88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6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A183A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0.3197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2436F04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295BD4C9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898760D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7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BF5B3A0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0.4217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F8F856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61A55A5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FED8D1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8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5D0B3C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0.2657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8E8C3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2DBB37A5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8899E6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9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84C68C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EC1D954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  <w:tr w:rsidR="00636ECE" w:rsidRPr="001F0175" w14:paraId="7305AD77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2527D67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Item 10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A17E55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0.0007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B78594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0.0076</w:t>
            </w:r>
          </w:p>
        </w:tc>
      </w:tr>
      <w:tr w:rsidR="00636ECE" w:rsidRPr="001F0175" w14:paraId="39FFFFB7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BDCA2AB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Item 11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595E74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0.7343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8943E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1.0000</w:t>
            </w:r>
          </w:p>
        </w:tc>
      </w:tr>
    </w:tbl>
    <w:p w14:paraId="2D01EBDE" w14:textId="77777777" w:rsidR="00636ECE" w:rsidRPr="001F0175" w:rsidRDefault="00000000">
      <w:pPr>
        <w:spacing w:after="60" w:line="300" w:lineRule="auto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t>(b) Principal component analysis (variance explained)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1800"/>
        <w:gridCol w:w="1800"/>
      </w:tblGrid>
      <w:tr w:rsidR="00636ECE" w:rsidRPr="001F0175" w14:paraId="08606331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DC27C10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Scale</w:t>
            </w:r>
          </w:p>
        </w:tc>
        <w:tc>
          <w:tcPr>
            <w:tcW w:w="18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1E588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1st component</w:t>
            </w:r>
          </w:p>
        </w:tc>
        <w:tc>
          <w:tcPr>
            <w:tcW w:w="18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C378118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2nd component</w:t>
            </w:r>
          </w:p>
        </w:tc>
      </w:tr>
      <w:tr w:rsidR="00636ECE" w:rsidRPr="001F0175" w14:paraId="20F715FE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4CA10BC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Traditional PDA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6F0F68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86.1%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2D969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3.1%</w:t>
            </w:r>
          </w:p>
        </w:tc>
      </w:tr>
      <w:tr w:rsidR="00636ECE" w:rsidRPr="001F0175" w14:paraId="26EDE74D" w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21383C5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Video-assisted PDA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1B2F5E3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80.8%</w:t>
            </w:r>
          </w:p>
        </w:tc>
        <w:tc>
          <w:tcPr>
            <w:tcW w:w="1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98FA65C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3.5%</w:t>
            </w:r>
          </w:p>
        </w:tc>
      </w:tr>
    </w:tbl>
    <w:p w14:paraId="0FCF3138" w14:textId="77777777" w:rsidR="00636ECE" w:rsidRPr="001F0175" w:rsidRDefault="00000000">
      <w:pPr>
        <w:spacing w:after="60" w:line="300" w:lineRule="auto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t>(c) Gender sensitivity (Mann–Whitney U tests)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2000"/>
        <w:gridCol w:w="1400"/>
      </w:tblGrid>
      <w:tr w:rsidR="00636ECE" w:rsidRPr="001F0175" w14:paraId="791D07C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9FE652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Outcome</w:t>
            </w:r>
          </w:p>
        </w:tc>
        <w:tc>
          <w:tcPr>
            <w:tcW w:w="20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539B6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Male / Female mean</w:t>
            </w:r>
          </w:p>
        </w:tc>
        <w:tc>
          <w:tcPr>
            <w:tcW w:w="14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7C859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  <w:r w:rsidRPr="001F0175">
              <w:rPr>
                <w:rFonts w:eastAsia="Times New Roman"/>
                <w:sz w:val="24"/>
                <w:szCs w:val="24"/>
              </w:rPr>
              <w:t xml:space="preserve"> value</w:t>
            </w:r>
          </w:p>
        </w:tc>
      </w:tr>
      <w:tr w:rsidR="00636ECE" w:rsidRPr="001F0175" w14:paraId="19F5454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BF8686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Ideal willingness</w:t>
            </w:r>
          </w:p>
        </w:tc>
        <w:tc>
          <w:tcPr>
            <w:tcW w:w="2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98B5F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3.92 / 4.00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48AC004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0.713</w:t>
            </w:r>
          </w:p>
        </w:tc>
      </w:tr>
      <w:tr w:rsidR="00636ECE" w:rsidRPr="001F0175" w14:paraId="46D3245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6F76E1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Traditional-SDM willingness</w:t>
            </w:r>
          </w:p>
        </w:tc>
        <w:tc>
          <w:tcPr>
            <w:tcW w:w="2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C307785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3.26 / 3.27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6604C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0.795</w:t>
            </w:r>
          </w:p>
        </w:tc>
      </w:tr>
      <w:tr w:rsidR="00636ECE" w:rsidRPr="001F0175" w14:paraId="2E1800F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26A8E0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Video-SDM willingness</w:t>
            </w:r>
          </w:p>
        </w:tc>
        <w:tc>
          <w:tcPr>
            <w:tcW w:w="2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F296FD8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3.89 / 4.20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3B47C7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0.206</w:t>
            </w:r>
          </w:p>
        </w:tc>
      </w:tr>
      <w:tr w:rsidR="00636ECE" w:rsidRPr="001F0175" w14:paraId="116931A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EA5A8C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Willingness increase (video − traditional)</w:t>
            </w:r>
          </w:p>
        </w:tc>
        <w:tc>
          <w:tcPr>
            <w:tcW w:w="2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A0A3F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0.64 / 0.93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3C0402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0.266</w:t>
            </w:r>
          </w:p>
        </w:tc>
      </w:tr>
      <w:tr w:rsidR="00636ECE" w:rsidRPr="001F0175" w14:paraId="72A21C1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BA33462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Traditional PDA total score</w:t>
            </w:r>
          </w:p>
        </w:tc>
        <w:tc>
          <w:tcPr>
            <w:tcW w:w="2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1D3D1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47.26 / 46.47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FBE4D23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0.949</w:t>
            </w:r>
          </w:p>
        </w:tc>
      </w:tr>
      <w:tr w:rsidR="00636ECE" w:rsidRPr="001F0175" w14:paraId="4951CE8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1D9406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Video-assisted PDA total score</w:t>
            </w:r>
          </w:p>
        </w:tc>
        <w:tc>
          <w:tcPr>
            <w:tcW w:w="20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C47E0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47.65 / 51.00</w:t>
            </w:r>
          </w:p>
        </w:tc>
        <w:tc>
          <w:tcPr>
            <w:tcW w:w="14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2238FD6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0.202</w:t>
            </w:r>
          </w:p>
        </w:tc>
      </w:tr>
    </w:tbl>
    <w:p w14:paraId="626DA77A" w14:textId="77777777" w:rsidR="00636ECE" w:rsidRPr="001F0175" w:rsidRDefault="00000000">
      <w:pPr>
        <w:spacing w:after="200" w:line="230" w:lineRule="auto"/>
        <w:rPr>
          <w:sz w:val="24"/>
          <w:szCs w:val="24"/>
        </w:rPr>
      </w:pPr>
      <w:r w:rsidRPr="001F0175">
        <w:rPr>
          <w:rFonts w:eastAsia="Times New Roman"/>
          <w:sz w:val="24"/>
          <w:szCs w:val="24"/>
        </w:rPr>
        <w:t>Item 10 (bold in panel a) is the only comparison surviving Holm correction. PDA, patient decision aid. n = 100.</w:t>
      </w:r>
    </w:p>
    <w:p w14:paraId="6598A719" w14:textId="77777777" w:rsidR="001F0175" w:rsidRDefault="001F0175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23BECC43" w14:textId="45443B02" w:rsidR="00636ECE" w:rsidRPr="001F0175" w:rsidRDefault="00000000">
      <w:pPr>
        <w:spacing w:before="200" w:after="100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>Supplementary Table 4. Video-assisted SDM: benefits and limitations identified through dual-role simulation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3300"/>
        <w:gridCol w:w="3800"/>
        <w:gridCol w:w="1200"/>
      </w:tblGrid>
      <w:tr w:rsidR="00636ECE" w:rsidRPr="001F0175" w14:paraId="09BCDD2A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AEF11E" w14:textId="77777777" w:rsidR="00636ECE" w:rsidRPr="001F0175" w:rsidRDefault="00636ECE">
            <w:pPr>
              <w:spacing w:line="250" w:lineRule="auto"/>
              <w:rPr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764F060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8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66682F7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2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BB33B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n (%)</w:t>
            </w:r>
          </w:p>
        </w:tc>
      </w:tr>
      <w:tr w:rsidR="00636ECE" w:rsidRPr="001F0175" w14:paraId="33F9727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7D3F45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Pros</w:t>
            </w:r>
          </w:p>
        </w:tc>
        <w:tc>
          <w:tcPr>
            <w:tcW w:w="3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8F0F795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Saving time</w:t>
            </w:r>
          </w:p>
        </w:tc>
        <w:tc>
          <w:tcPr>
            <w:tcW w:w="3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F56EDD7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Saving time in the SDM process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EF1B5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91 (91%)</w:t>
            </w:r>
          </w:p>
        </w:tc>
      </w:tr>
      <w:tr w:rsidR="00636ECE" w:rsidRPr="001F0175" w14:paraId="30F0B9C1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A9E5A1" w14:textId="77777777" w:rsidR="00636ECE" w:rsidRPr="001F0175" w:rsidRDefault="00636ECE">
            <w:pPr>
              <w:spacing w:line="250" w:lineRule="auto"/>
              <w:rPr>
                <w:sz w:val="24"/>
                <w:szCs w:val="24"/>
              </w:rPr>
            </w:pPr>
          </w:p>
        </w:tc>
        <w:tc>
          <w:tcPr>
            <w:tcW w:w="3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DAF827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Enhancing understanding</w:t>
            </w:r>
          </w:p>
        </w:tc>
        <w:tc>
          <w:tcPr>
            <w:tcW w:w="3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6EBF85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Efficiently enhancing patient disease understanding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B61281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83 (83%)</w:t>
            </w:r>
          </w:p>
        </w:tc>
      </w:tr>
      <w:tr w:rsidR="00636ECE" w:rsidRPr="001F0175" w14:paraId="27CACC56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E12E141" w14:textId="77777777" w:rsidR="00636ECE" w:rsidRPr="001F0175" w:rsidRDefault="00636ECE">
            <w:pPr>
              <w:spacing w:line="250" w:lineRule="auto"/>
              <w:rPr>
                <w:sz w:val="24"/>
                <w:szCs w:val="24"/>
              </w:rPr>
            </w:pPr>
          </w:p>
        </w:tc>
        <w:tc>
          <w:tcPr>
            <w:tcW w:w="3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5840AC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Standardizing the process</w:t>
            </w:r>
          </w:p>
        </w:tc>
        <w:tc>
          <w:tcPr>
            <w:tcW w:w="3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5B5D9F5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Minimizing inter-physician variability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C774CD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75 (75%)</w:t>
            </w:r>
          </w:p>
        </w:tc>
      </w:tr>
      <w:tr w:rsidR="00636ECE" w:rsidRPr="001F0175" w14:paraId="6A63A69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0DD3FD" w14:textId="77777777" w:rsidR="00636ECE" w:rsidRPr="001F0175" w:rsidRDefault="00636ECE">
            <w:pPr>
              <w:spacing w:line="250" w:lineRule="auto"/>
              <w:rPr>
                <w:sz w:val="24"/>
                <w:szCs w:val="24"/>
              </w:rPr>
            </w:pPr>
          </w:p>
        </w:tc>
        <w:tc>
          <w:tcPr>
            <w:tcW w:w="3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F8A5518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Feasible without full team</w:t>
            </w:r>
          </w:p>
        </w:tc>
        <w:tc>
          <w:tcPr>
            <w:tcW w:w="3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EF5ECC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Enabling SDM even without full team support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214934D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63 (63%)</w:t>
            </w:r>
          </w:p>
        </w:tc>
      </w:tr>
      <w:tr w:rsidR="00636ECE" w:rsidRPr="001F0175" w14:paraId="29A36A02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BFBFDB4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Cons</w:t>
            </w:r>
          </w:p>
        </w:tc>
        <w:tc>
          <w:tcPr>
            <w:tcW w:w="3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D40A7FF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Relationship time</w:t>
            </w:r>
          </w:p>
        </w:tc>
        <w:tc>
          <w:tcPr>
            <w:tcW w:w="3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79D807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Reduced time for building the patient–physician relationship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6137B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57 (57%)</w:t>
            </w:r>
          </w:p>
        </w:tc>
      </w:tr>
      <w:tr w:rsidR="00636ECE" w:rsidRPr="001F0175" w14:paraId="161B901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D26923C" w14:textId="77777777" w:rsidR="00636ECE" w:rsidRPr="001F0175" w:rsidRDefault="00636ECE">
            <w:pPr>
              <w:spacing w:line="250" w:lineRule="auto"/>
              <w:rPr>
                <w:sz w:val="24"/>
                <w:szCs w:val="24"/>
              </w:rPr>
            </w:pPr>
          </w:p>
        </w:tc>
        <w:tc>
          <w:tcPr>
            <w:tcW w:w="3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BC4FAE3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Accessibility for elderly</w:t>
            </w:r>
          </w:p>
        </w:tc>
        <w:tc>
          <w:tcPr>
            <w:tcW w:w="3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ED9B04D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Some elderly patients may struggle with digital devices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4D7202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8 (8%)</w:t>
            </w:r>
          </w:p>
        </w:tc>
      </w:tr>
      <w:tr w:rsidR="00636ECE" w:rsidRPr="001F0175" w14:paraId="7433B5CD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749D20" w14:textId="77777777" w:rsidR="00636ECE" w:rsidRPr="001F0175" w:rsidRDefault="00636ECE">
            <w:pPr>
              <w:spacing w:line="250" w:lineRule="auto"/>
              <w:rPr>
                <w:sz w:val="24"/>
                <w:szCs w:val="24"/>
              </w:rPr>
            </w:pPr>
          </w:p>
        </w:tc>
        <w:tc>
          <w:tcPr>
            <w:tcW w:w="33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6BCA061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Completion uncertainty</w:t>
            </w:r>
          </w:p>
        </w:tc>
        <w:tc>
          <w:tcPr>
            <w:tcW w:w="3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617538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Uncertainty about whether patients complete the video</w:t>
            </w:r>
          </w:p>
        </w:tc>
        <w:tc>
          <w:tcPr>
            <w:tcW w:w="1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EDA9FDE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5 (5%)</w:t>
            </w:r>
          </w:p>
        </w:tc>
      </w:tr>
    </w:tbl>
    <w:p w14:paraId="7ED2757A" w14:textId="77777777" w:rsidR="00636ECE" w:rsidRPr="001F0175" w:rsidRDefault="00000000">
      <w:pPr>
        <w:spacing w:after="200" w:line="230" w:lineRule="auto"/>
        <w:rPr>
          <w:sz w:val="24"/>
          <w:szCs w:val="24"/>
        </w:rPr>
      </w:pPr>
      <w:r w:rsidRPr="001F0175">
        <w:rPr>
          <w:rFonts w:eastAsia="Times New Roman"/>
          <w:sz w:val="24"/>
          <w:szCs w:val="24"/>
        </w:rPr>
        <w:t>SDM, shared decision-making. The first limitation was a fixed option; the remaining two were coded from open-ended responses. n = 100.</w:t>
      </w:r>
    </w:p>
    <w:p w14:paraId="7999D322" w14:textId="77777777" w:rsidR="001F0175" w:rsidRDefault="001F0175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6AF1BAD6" w14:textId="2C4F4F16" w:rsidR="00636ECE" w:rsidRPr="001F0175" w:rsidRDefault="00000000">
      <w:pPr>
        <w:spacing w:before="200" w:after="100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>Supplementary Table 5. SDM benefits selected as most important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2800"/>
      </w:tblGrid>
      <w:tr w:rsidR="00636ECE" w:rsidRPr="001F0175" w14:paraId="1BA4BD3D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9984C6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SDM benefit</w:t>
            </w:r>
          </w:p>
        </w:tc>
        <w:tc>
          <w:tcPr>
            <w:tcW w:w="2800" w:type="dxa"/>
            <w:shd w:val="clear" w:color="auto" w:fill="E8EEF6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878276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b/>
                <w:bCs/>
                <w:sz w:val="24"/>
                <w:szCs w:val="24"/>
              </w:rPr>
              <w:t>Times selected as most important</w:t>
            </w:r>
          </w:p>
        </w:tc>
      </w:tr>
      <w:tr w:rsidR="00636ECE" w:rsidRPr="001F0175" w14:paraId="1EEE9256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9FC94DF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Reducing medical disputes</w:t>
            </w:r>
          </w:p>
        </w:tc>
        <w:tc>
          <w:tcPr>
            <w:tcW w:w="2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9E7DBF9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59</w:t>
            </w:r>
          </w:p>
        </w:tc>
      </w:tr>
      <w:tr w:rsidR="00636ECE" w:rsidRPr="001F0175" w14:paraId="083B50A6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170AD88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Enhancing patient disease understanding</w:t>
            </w:r>
          </w:p>
        </w:tc>
        <w:tc>
          <w:tcPr>
            <w:tcW w:w="2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BE0E67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35</w:t>
            </w:r>
          </w:p>
        </w:tc>
      </w:tr>
      <w:tr w:rsidR="00636ECE" w:rsidRPr="001F0175" w14:paraId="7A069059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691B1DD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Improving treatment adherence</w:t>
            </w:r>
          </w:p>
        </w:tc>
        <w:tc>
          <w:tcPr>
            <w:tcW w:w="2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E616903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636ECE" w:rsidRPr="001F0175" w14:paraId="79C9E154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DC94B3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Building patient–physician relationship</w:t>
            </w:r>
          </w:p>
        </w:tc>
        <w:tc>
          <w:tcPr>
            <w:tcW w:w="2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41864B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23</w:t>
            </w:r>
          </w:p>
        </w:tc>
      </w:tr>
      <w:tr w:rsidR="00636ECE" w:rsidRPr="001F0175" w14:paraId="2D9E4158" w14:textId="77777777">
        <w:tblPrEx>
          <w:tblCellMar>
            <w:top w:w="0" w:type="dxa"/>
            <w:bottom w:w="0" w:type="dxa"/>
          </w:tblCellMar>
        </w:tblPrEx>
        <w:tc>
          <w:tcPr>
            <w:tcW w:w="52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0D65DE8" w14:textId="77777777" w:rsidR="00636ECE" w:rsidRPr="001F0175" w:rsidRDefault="00000000">
            <w:pPr>
              <w:spacing w:line="250" w:lineRule="auto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Enhancing treatment effect (placebo)</w:t>
            </w:r>
          </w:p>
        </w:tc>
        <w:tc>
          <w:tcPr>
            <w:tcW w:w="2800" w:type="dxa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ADD7A00" w14:textId="77777777" w:rsidR="00636ECE" w:rsidRPr="001F0175" w:rsidRDefault="00000000">
            <w:pPr>
              <w:spacing w:line="250" w:lineRule="auto"/>
              <w:jc w:val="center"/>
              <w:rPr>
                <w:sz w:val="24"/>
                <w:szCs w:val="24"/>
              </w:rPr>
            </w:pPr>
            <w:r w:rsidRPr="001F0175">
              <w:rPr>
                <w:rFonts w:eastAsia="Times New Roman"/>
                <w:sz w:val="24"/>
                <w:szCs w:val="24"/>
              </w:rPr>
              <w:t>11</w:t>
            </w:r>
          </w:p>
        </w:tc>
      </w:tr>
    </w:tbl>
    <w:p w14:paraId="2B3DA3AA" w14:textId="77777777" w:rsidR="00636ECE" w:rsidRPr="001F0175" w:rsidRDefault="00000000">
      <w:pPr>
        <w:spacing w:after="200" w:line="230" w:lineRule="auto"/>
        <w:rPr>
          <w:sz w:val="24"/>
          <w:szCs w:val="24"/>
        </w:rPr>
      </w:pPr>
      <w:r w:rsidRPr="001F0175">
        <w:rPr>
          <w:rFonts w:eastAsia="Times New Roman"/>
          <w:sz w:val="24"/>
          <w:szCs w:val="24"/>
        </w:rPr>
        <w:t>Based on 97 valid responses; participants selecting multiple benefits as most important were each counted once. n = 100.</w:t>
      </w:r>
    </w:p>
    <w:p w14:paraId="76BC6A4D" w14:textId="77777777" w:rsidR="00636ECE" w:rsidRPr="001F0175" w:rsidRDefault="00000000">
      <w:pPr>
        <w:rPr>
          <w:sz w:val="24"/>
          <w:szCs w:val="24"/>
        </w:rPr>
      </w:pPr>
      <w:r w:rsidRPr="001F0175">
        <w:rPr>
          <w:sz w:val="24"/>
          <w:szCs w:val="24"/>
        </w:rPr>
        <w:br w:type="page"/>
      </w:r>
    </w:p>
    <w:p w14:paraId="3546F8FF" w14:textId="77777777" w:rsidR="00636ECE" w:rsidRPr="001F0175" w:rsidRDefault="00000000">
      <w:pPr>
        <w:spacing w:before="200" w:after="100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>Supplementary Figures</w:t>
      </w:r>
    </w:p>
    <w:p w14:paraId="7ECB0D33" w14:textId="77777777" w:rsidR="00636ECE" w:rsidRPr="001F0175" w:rsidRDefault="00000000">
      <w:pPr>
        <w:spacing w:after="120" w:line="300" w:lineRule="auto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t xml:space="preserve">Supplementary Figure 1. </w:t>
      </w:r>
      <w:r w:rsidRPr="001F0175">
        <w:rPr>
          <w:rFonts w:eastAsia="Times New Roman"/>
          <w:sz w:val="24"/>
          <w:szCs w:val="24"/>
        </w:rPr>
        <w:t>Barriers to SDM implementation reported by PGY physicians, grouped by level (n = 100). Corresponds to Table 1.</w:t>
      </w:r>
    </w:p>
    <w:p w14:paraId="4EC65111" w14:textId="77777777" w:rsidR="00636ECE" w:rsidRPr="001F0175" w:rsidRDefault="00000000">
      <w:pPr>
        <w:spacing w:before="100" w:after="60"/>
        <w:jc w:val="center"/>
        <w:rPr>
          <w:sz w:val="24"/>
          <w:szCs w:val="24"/>
        </w:rPr>
      </w:pPr>
      <w:r w:rsidRPr="001F0175">
        <w:rPr>
          <w:noProof/>
          <w:sz w:val="24"/>
          <w:szCs w:val="24"/>
        </w:rPr>
        <w:drawing>
          <wp:inline distT="0" distB="0" distL="0" distR="0" wp14:anchorId="1DC374C9" wp14:editId="6E640F72">
            <wp:extent cx="5143500" cy="30480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89D93" w14:textId="77777777" w:rsidR="001F0175" w:rsidRDefault="001F0175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2920D69D" w14:textId="1D45BEE2" w:rsidR="00636ECE" w:rsidRPr="001F0175" w:rsidRDefault="00000000">
      <w:pPr>
        <w:spacing w:after="120" w:line="300" w:lineRule="auto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 xml:space="preserve">Supplementary Figure 2. </w:t>
      </w:r>
      <w:r w:rsidRPr="001F0175">
        <w:rPr>
          <w:rFonts w:eastAsia="Times New Roman"/>
          <w:sz w:val="24"/>
          <w:szCs w:val="24"/>
        </w:rPr>
        <w:t>Perceived information clarity across five psoriasis content domains: video-assisted vs traditional PDA (n = 100). Corresponds to Table 2.</w:t>
      </w:r>
    </w:p>
    <w:p w14:paraId="6BD60BEA" w14:textId="77777777" w:rsidR="00636ECE" w:rsidRPr="001F0175" w:rsidRDefault="00000000">
      <w:pPr>
        <w:spacing w:before="100" w:after="60"/>
        <w:jc w:val="center"/>
        <w:rPr>
          <w:sz w:val="24"/>
          <w:szCs w:val="24"/>
        </w:rPr>
      </w:pPr>
      <w:r w:rsidRPr="001F0175">
        <w:rPr>
          <w:noProof/>
          <w:sz w:val="24"/>
          <w:szCs w:val="24"/>
        </w:rPr>
        <w:drawing>
          <wp:inline distT="0" distB="0" distL="0" distR="0" wp14:anchorId="0FB16CBF" wp14:editId="24A59742">
            <wp:extent cx="5334000" cy="2933700"/>
            <wp:effectExtent l="0" t="0" r="0" b="0"/>
            <wp:docPr id="93813641" name="圖片 93813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409C5" w14:textId="77777777" w:rsidR="00636ECE" w:rsidRPr="001F0175" w:rsidRDefault="00000000">
      <w:pPr>
        <w:rPr>
          <w:sz w:val="24"/>
          <w:szCs w:val="24"/>
        </w:rPr>
      </w:pPr>
      <w:r w:rsidRPr="001F0175">
        <w:rPr>
          <w:sz w:val="24"/>
          <w:szCs w:val="24"/>
        </w:rPr>
        <w:br w:type="page"/>
      </w:r>
    </w:p>
    <w:p w14:paraId="0347847D" w14:textId="77777777" w:rsidR="00636ECE" w:rsidRPr="001F0175" w:rsidRDefault="00000000">
      <w:pPr>
        <w:spacing w:after="120" w:line="300" w:lineRule="auto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 xml:space="preserve">Supplementary Figure 3. </w:t>
      </w:r>
      <w:r w:rsidRPr="001F0175">
        <w:rPr>
          <w:rFonts w:eastAsia="Times New Roman"/>
          <w:sz w:val="24"/>
          <w:szCs w:val="24"/>
        </w:rPr>
        <w:t xml:space="preserve">Item-level effectiveness evaluation of traditional versus video-assisted PDAs (mean ± SD; n = 100). ***, </w:t>
      </w:r>
      <w:r w:rsidRPr="001F0175">
        <w:rPr>
          <w:rFonts w:eastAsia="Times New Roman"/>
          <w:i/>
          <w:iCs/>
          <w:sz w:val="24"/>
          <w:szCs w:val="24"/>
        </w:rPr>
        <w:t>p</w:t>
      </w:r>
      <w:r w:rsidRPr="001F0175">
        <w:rPr>
          <w:rFonts w:eastAsia="Times New Roman"/>
          <w:sz w:val="24"/>
          <w:szCs w:val="24"/>
        </w:rPr>
        <w:t xml:space="preserve"> &lt; .001; ns, not significant. Corresponds to Table 3.</w:t>
      </w:r>
    </w:p>
    <w:p w14:paraId="69B2728B" w14:textId="77777777" w:rsidR="00636ECE" w:rsidRPr="001F0175" w:rsidRDefault="00000000">
      <w:pPr>
        <w:spacing w:before="100" w:after="60"/>
        <w:jc w:val="center"/>
        <w:rPr>
          <w:sz w:val="24"/>
          <w:szCs w:val="24"/>
        </w:rPr>
      </w:pPr>
      <w:r w:rsidRPr="001F0175">
        <w:rPr>
          <w:noProof/>
          <w:sz w:val="24"/>
          <w:szCs w:val="24"/>
        </w:rPr>
        <w:drawing>
          <wp:inline distT="0" distB="0" distL="0" distR="0" wp14:anchorId="7FA87778" wp14:editId="7CFC3525">
            <wp:extent cx="5143500" cy="3362325"/>
            <wp:effectExtent l="0" t="0" r="0" b="0"/>
            <wp:docPr id="1444636812" name="圖片 1444636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8EB55" w14:textId="77777777" w:rsidR="001F0175" w:rsidRDefault="001F0175">
      <w:pPr>
        <w:widowControl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14:paraId="7DE1351B" w14:textId="2081D018" w:rsidR="00636ECE" w:rsidRPr="001F0175" w:rsidRDefault="00000000">
      <w:pPr>
        <w:spacing w:after="120" w:line="300" w:lineRule="auto"/>
        <w:rPr>
          <w:sz w:val="24"/>
          <w:szCs w:val="24"/>
        </w:rPr>
      </w:pPr>
      <w:r w:rsidRPr="001F0175">
        <w:rPr>
          <w:rFonts w:eastAsia="Times New Roman"/>
          <w:b/>
          <w:bCs/>
          <w:sz w:val="24"/>
          <w:szCs w:val="24"/>
        </w:rPr>
        <w:lastRenderedPageBreak/>
        <w:t xml:space="preserve">Supplementary Figure 4. </w:t>
      </w:r>
      <w:r w:rsidRPr="001F0175">
        <w:rPr>
          <w:rFonts w:eastAsia="Times New Roman"/>
          <w:sz w:val="24"/>
          <w:szCs w:val="24"/>
        </w:rPr>
        <w:t>SDM benefits selected as most important by PGY physicians (n = 97 valid responses). Corresponds to Supplementary Table 5.</w:t>
      </w:r>
    </w:p>
    <w:p w14:paraId="43BF5242" w14:textId="77777777" w:rsidR="00636ECE" w:rsidRPr="001F0175" w:rsidRDefault="00000000">
      <w:pPr>
        <w:spacing w:before="100" w:after="60"/>
        <w:jc w:val="center"/>
        <w:rPr>
          <w:sz w:val="24"/>
          <w:szCs w:val="24"/>
        </w:rPr>
      </w:pPr>
      <w:r w:rsidRPr="001F0175">
        <w:rPr>
          <w:noProof/>
          <w:sz w:val="24"/>
          <w:szCs w:val="24"/>
        </w:rPr>
        <w:drawing>
          <wp:inline distT="0" distB="0" distL="0" distR="0" wp14:anchorId="728FC4B3" wp14:editId="1079F566">
            <wp:extent cx="5143500" cy="2819400"/>
            <wp:effectExtent l="0" t="0" r="0" b="0"/>
            <wp:docPr id="1665742938" name="圖片 1665742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ECE" w:rsidRPr="001F017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A34B2"/>
    <w:multiLevelType w:val="hybridMultilevel"/>
    <w:tmpl w:val="A3A44780"/>
    <w:lvl w:ilvl="0" w:tplc="5E9CF8D2">
      <w:start w:val="1"/>
      <w:numFmt w:val="bullet"/>
      <w:lvlText w:val="●"/>
      <w:lvlJc w:val="left"/>
      <w:pPr>
        <w:ind w:left="720" w:hanging="360"/>
      </w:pPr>
    </w:lvl>
    <w:lvl w:ilvl="1" w:tplc="357E6B2C">
      <w:start w:val="1"/>
      <w:numFmt w:val="bullet"/>
      <w:lvlText w:val="○"/>
      <w:lvlJc w:val="left"/>
      <w:pPr>
        <w:ind w:left="1440" w:hanging="360"/>
      </w:pPr>
    </w:lvl>
    <w:lvl w:ilvl="2" w:tplc="FF54CE1A">
      <w:start w:val="1"/>
      <w:numFmt w:val="bullet"/>
      <w:lvlText w:val="■"/>
      <w:lvlJc w:val="left"/>
      <w:pPr>
        <w:ind w:left="2160" w:hanging="360"/>
      </w:pPr>
    </w:lvl>
    <w:lvl w:ilvl="3" w:tplc="5604409E">
      <w:start w:val="1"/>
      <w:numFmt w:val="bullet"/>
      <w:lvlText w:val="●"/>
      <w:lvlJc w:val="left"/>
      <w:pPr>
        <w:ind w:left="2880" w:hanging="360"/>
      </w:pPr>
    </w:lvl>
    <w:lvl w:ilvl="4" w:tplc="7CD2108E">
      <w:start w:val="1"/>
      <w:numFmt w:val="bullet"/>
      <w:lvlText w:val="○"/>
      <w:lvlJc w:val="left"/>
      <w:pPr>
        <w:ind w:left="3600" w:hanging="360"/>
      </w:pPr>
    </w:lvl>
    <w:lvl w:ilvl="5" w:tplc="56E6275C">
      <w:start w:val="1"/>
      <w:numFmt w:val="bullet"/>
      <w:lvlText w:val="■"/>
      <w:lvlJc w:val="left"/>
      <w:pPr>
        <w:ind w:left="4320" w:hanging="360"/>
      </w:pPr>
    </w:lvl>
    <w:lvl w:ilvl="6" w:tplc="6986D0C6">
      <w:start w:val="1"/>
      <w:numFmt w:val="bullet"/>
      <w:lvlText w:val="●"/>
      <w:lvlJc w:val="left"/>
      <w:pPr>
        <w:ind w:left="5040" w:hanging="360"/>
      </w:pPr>
    </w:lvl>
    <w:lvl w:ilvl="7" w:tplc="D2489DEE">
      <w:start w:val="1"/>
      <w:numFmt w:val="bullet"/>
      <w:lvlText w:val="●"/>
      <w:lvlJc w:val="left"/>
      <w:pPr>
        <w:ind w:left="5760" w:hanging="360"/>
      </w:pPr>
    </w:lvl>
    <w:lvl w:ilvl="8" w:tplc="5A32C98C">
      <w:start w:val="1"/>
      <w:numFmt w:val="bullet"/>
      <w:lvlText w:val="●"/>
      <w:lvlJc w:val="left"/>
      <w:pPr>
        <w:ind w:left="6480" w:hanging="360"/>
      </w:pPr>
    </w:lvl>
  </w:abstractNum>
  <w:num w:numId="1" w16cid:durableId="10265202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ECE"/>
    <w:rsid w:val="001F0175"/>
    <w:rsid w:val="00636ECE"/>
    <w:rsid w:val="00A1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0940"/>
  <w15:docId w15:val="{E268ADDC-9775-4A72-B1EB-FB83782C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誌聰 洪</cp:lastModifiedBy>
  <cp:revision>2</cp:revision>
  <dcterms:created xsi:type="dcterms:W3CDTF">2026-07-17T07:38:00Z</dcterms:created>
  <dcterms:modified xsi:type="dcterms:W3CDTF">2026-07-17T07:59:00Z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9696ae73-4099-4461-a4df-251a447900eb</vt:lpwstr>
  </property>
</Properties>
</file>