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20"/>
      </w:pPr>
      <w:r>
        <w:rPr>
          <w:rFonts w:ascii="Calibri" w:cs="Calibri" w:eastAsia="Calibri" w:hAnsi="Calibri"/>
          <w:b/>
          <w:bCs/>
          <w:i w:val="false"/>
          <w:iCs w:val="false"/>
          <w:sz w:val="26"/>
          <w:szCs w:val="26"/>
        </w:rPr>
        <w:t xml:space="preserve">Additional file 2. Study questionnaire (English translation)</w:t>
      </w:r>
    </w:p>
    <w:p>
      <w:pPr>
        <w:spacing w:after="100" w:line="262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This questionnaire was administered to postgraduate-year (PGY) physicians. It was originally in Traditional Chinese; this English translation is provided for reference. Response options are shown in italics.</w:t>
      </w:r>
    </w:p>
    <w:p>
      <w:pPr>
        <w:spacing w:after="60" w:line="262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Provenance.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The 11-item effectiveness scale (Section F) was adapted from the practitioner version of the Preparation for Decision Making Scale [Bennett C, Graham ID, Kristjansson E, Kearing SA, Clay KF, O’Connor AM. Validation of a preparation for decision making scale. Patient Educ Couns. 2010;78(1):130-133], as implemented in the shared decision-making (SDM) evaluation instrument distributed by the Ministry of Health and Welfare of Taiwan; it was administered referring to the SDM video. All other sections were developed by the authors for this study.</w:t>
      </w:r>
    </w:p>
    <w:p>
      <w:pPr>
        <w:pBdr>
          <w:bottom w:val="single" w:color="999999" w:sz="6"/>
        </w:pBdr>
        <w:spacing w:after="110"/>
      </w:pPr>
    </w:p>
    <w:p>
      <w:pPr>
        <w:spacing w:after="100" w:before="200"/>
      </w:pPr>
      <w:r>
        <w:rPr>
          <w:rFonts w:ascii="Calibri" w:cs="Calibri" w:eastAsia="Calibri" w:hAnsi="Calibri"/>
          <w:b/>
          <w:bCs/>
          <w:i w:val="false"/>
          <w:iCs w:val="false"/>
          <w:sz w:val="23"/>
          <w:szCs w:val="23"/>
        </w:rPr>
        <w:t xml:space="preserve">Section A. Respondent background</w:t>
      </w:r>
    </w:p>
    <w:p>
      <w:pPr>
        <w:spacing w:after="110" w:line="262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A1. Sex. </w:t>
      </w:r>
      <w:r>
        <w:rPr>
          <w:rFonts w:ascii="Calibri" w:cs="Calibri" w:eastAsia="Calibri" w:hAnsi="Calibri"/>
          <w:b w:val="false"/>
          <w:bCs w:val="false"/>
          <w:i/>
          <w:iCs/>
          <w:sz w:val="21"/>
          <w:szCs w:val="21"/>
        </w:rPr>
        <w:t xml:space="preserve">Male / Female</w:t>
      </w:r>
    </w:p>
    <w:p>
      <w:pPr>
        <w:spacing w:after="100" w:before="200"/>
      </w:pPr>
      <w:r>
        <w:rPr>
          <w:rFonts w:ascii="Calibri" w:cs="Calibri" w:eastAsia="Calibri" w:hAnsi="Calibri"/>
          <w:b/>
          <w:bCs/>
          <w:i w:val="false"/>
          <w:iCs w:val="false"/>
          <w:sz w:val="23"/>
          <w:szCs w:val="23"/>
        </w:rPr>
        <w:t xml:space="preserve">Section B. Willingness to implement SDM (three contexts, six-band scale)</w:t>
      </w:r>
    </w:p>
    <w:p>
      <w:pPr>
        <w:spacing w:after="80" w:line="262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For each context, participants selected the proportion of patients with whom they would use SDM.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Response options for B1–B3: </w:t>
      </w:r>
      <w:r>
        <w:rPr>
          <w:rFonts w:ascii="Calibri" w:cs="Calibri" w:eastAsia="Calibri" w:hAnsi="Calibri"/>
          <w:b w:val="false"/>
          <w:bCs w:val="false"/>
          <w:i/>
          <w:iCs/>
          <w:sz w:val="21"/>
          <w:szCs w:val="21"/>
        </w:rPr>
        <w:t xml:space="preserve">&gt;90% / 70–90% / 50–70% / 30–50% / 10–30% / &lt;10%</w:t>
      </w:r>
    </w:p>
    <w:p>
      <w:pPr>
        <w:spacing w:after="60" w:line="262"/>
        <w:ind w:left="6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B1.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In your clinical work, what is your level of willingness to implement SDM? (ideal-context intention)</w:t>
      </w:r>
    </w:p>
    <w:p>
      <w:pPr>
        <w:spacing w:after="60" w:line="262"/>
        <w:ind w:left="6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B2.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In an actual psoriasis outpatient clinic, for what proportion of patients would you use the provided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paper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educational material to implement SDM (considering time and effort)?</w:t>
      </w:r>
    </w:p>
    <w:p>
      <w:pPr>
        <w:spacing w:after="60" w:line="262"/>
        <w:ind w:left="6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B3.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In actual psoriasis patient care, for what proportion of patients would you use the provided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video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educational material to implement SDM?</w:t>
      </w:r>
    </w:p>
    <w:p>
      <w:pPr>
        <w:spacing w:after="100" w:before="200"/>
      </w:pPr>
      <w:r>
        <w:rPr>
          <w:rFonts w:ascii="Calibri" w:cs="Calibri" w:eastAsia="Calibri" w:hAnsi="Calibri"/>
          <w:b/>
          <w:bCs/>
          <w:i w:val="false"/>
          <w:iCs w:val="false"/>
          <w:sz w:val="23"/>
          <w:szCs w:val="23"/>
        </w:rPr>
        <w:t xml:space="preserve">Section C. Barriers to implementing SDM (multiple choice)</w:t>
      </w:r>
    </w:p>
    <w:p>
      <w:pPr>
        <w:spacing w:after="70" w:line="262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21"/>
          <w:szCs w:val="21"/>
        </w:rPr>
        <w:t xml:space="preserve">In real clinical work, what problems do you encounter when implementing SDM? (select all that apply)</w:t>
      </w:r>
    </w:p>
    <w:p>
      <w:pPr>
        <w:spacing w:after="48" w:line="262"/>
        <w:ind w:left="6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C1.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SDM takes too much time.</w:t>
      </w:r>
    </w:p>
    <w:p>
      <w:pPr>
        <w:spacing w:after="48" w:line="262"/>
        <w:ind w:left="6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C2.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I am unfamiliar with the content of the SDM tool (lack of relevant training).</w:t>
      </w:r>
    </w:p>
    <w:p>
      <w:pPr>
        <w:spacing w:after="48" w:line="262"/>
        <w:ind w:left="6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C3.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I find the content of the SDM tool unsuitable (e.g., too much information).</w:t>
      </w:r>
    </w:p>
    <w:p>
      <w:pPr>
        <w:spacing w:after="48" w:line="262"/>
        <w:ind w:left="6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C4.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Patients have low health awareness (limited understanding of their disease).</w:t>
      </w:r>
    </w:p>
    <w:p>
      <w:pPr>
        <w:spacing w:after="48" w:line="262"/>
        <w:ind w:left="6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C5.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Outpatient consultation fees are not increased for performing SDM.</w:t>
      </w:r>
    </w:p>
    <w:p>
      <w:pPr>
        <w:spacing w:after="48" w:line="262"/>
        <w:ind w:left="6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C6.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Performing SDM in the clinic lacks team support.</w:t>
      </w:r>
    </w:p>
    <w:p>
      <w:pPr>
        <w:spacing w:after="48" w:line="262"/>
        <w:ind w:left="6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C7.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Patients have limited willingness to participate in SDM.</w:t>
      </w:r>
    </w:p>
    <w:p>
      <w:pPr>
        <w:spacing w:after="48" w:line="262"/>
        <w:ind w:left="6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C8.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Offering patients too many treatment options would suggest that I am not competent.</w:t>
      </w:r>
    </w:p>
    <w:p>
      <w:pPr>
        <w:spacing w:after="48" w:line="262"/>
        <w:ind w:left="6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C9.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Other (free text).</w:t>
      </w:r>
    </w:p>
    <w:p>
      <w:pPr>
        <w:spacing w:after="100" w:before="200"/>
      </w:pPr>
      <w:r>
        <w:rPr>
          <w:rFonts w:ascii="Calibri" w:cs="Calibri" w:eastAsia="Calibri" w:hAnsi="Calibri"/>
          <w:b/>
          <w:bCs/>
          <w:i w:val="false"/>
          <w:iCs w:val="false"/>
          <w:sz w:val="23"/>
          <w:szCs w:val="23"/>
        </w:rPr>
        <w:t xml:space="preserve">Section D. Most valuable aspect of SDM (rank 1 = most important to 5 = least important)</w:t>
      </w:r>
    </w:p>
    <w:p>
      <w:pPr>
        <w:spacing w:after="48" w:line="262"/>
        <w:ind w:left="6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D1.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Building the doctor–patient relationship.</w:t>
      </w:r>
    </w:p>
    <w:p>
      <w:pPr>
        <w:spacing w:after="48" w:line="262"/>
        <w:ind w:left="6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D2.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Reducing medical disputes.</w:t>
      </w:r>
    </w:p>
    <w:p>
      <w:pPr>
        <w:spacing w:after="48" w:line="262"/>
        <w:ind w:left="6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D3.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Improving the patient’s understanding of their disease.</w:t>
      </w:r>
    </w:p>
    <w:p>
      <w:pPr>
        <w:spacing w:after="48" w:line="262"/>
        <w:ind w:left="6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D4.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Improving patient treatment adherence.</w:t>
      </w:r>
    </w:p>
    <w:p>
      <w:pPr>
        <w:spacing w:after="48" w:line="262"/>
        <w:ind w:left="6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D5.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Improving treatment effect (placebo effect).</w:t>
      </w:r>
    </w:p>
    <w:p>
      <w:pPr>
        <w:spacing w:after="100" w:before="200"/>
      </w:pPr>
      <w:r>
        <w:rPr>
          <w:rFonts w:ascii="Calibri" w:cs="Calibri" w:eastAsia="Calibri" w:hAnsi="Calibri"/>
          <w:b/>
          <w:bCs/>
          <w:i w:val="false"/>
          <w:iCs w:val="false"/>
          <w:sz w:val="23"/>
          <w:szCs w:val="23"/>
        </w:rPr>
        <w:t xml:space="preserve">Section E. Perceived clarity: which format is clearer? (video vs. paper)</w:t>
      </w:r>
    </w:p>
    <w:p>
      <w:pPr>
        <w:spacing w:after="70" w:line="262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For each aspect, which format presents the information more clearly? </w:t>
      </w:r>
      <w:r>
        <w:rPr>
          <w:rFonts w:ascii="Calibri" w:cs="Calibri" w:eastAsia="Calibri" w:hAnsi="Calibri"/>
          <w:b w:val="false"/>
          <w:bCs w:val="false"/>
          <w:i/>
          <w:iCs/>
          <w:sz w:val="21"/>
          <w:szCs w:val="21"/>
        </w:rPr>
        <w:t xml:space="preserve">Video / Paper / Equally clear</w:t>
      </w:r>
    </w:p>
    <w:p>
      <w:pPr>
        <w:spacing w:after="48" w:line="262"/>
        <w:ind w:left="6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E1.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Causes (pathogenesis) of psoriasis.</w:t>
      </w:r>
    </w:p>
    <w:p>
      <w:pPr>
        <w:spacing w:after="48" w:line="262"/>
        <w:ind w:left="6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E2.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Comorbidities of psoriasis.</w:t>
      </w:r>
    </w:p>
    <w:p>
      <w:pPr>
        <w:spacing w:after="48" w:line="262"/>
        <w:ind w:left="6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E3.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Methods for assessing psoriasis severity.</w:t>
      </w:r>
    </w:p>
    <w:p>
      <w:pPr>
        <w:spacing w:after="48" w:line="262"/>
        <w:ind w:left="6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E4.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Types of psoriasis treatment.</w:t>
      </w:r>
    </w:p>
    <w:p>
      <w:pPr>
        <w:spacing w:after="48" w:line="262"/>
        <w:ind w:left="6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E5.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Advantages and disadvantages of each psoriasis treatment.</w:t>
      </w:r>
    </w:p>
    <w:p>
      <w:pPr>
        <w:spacing w:after="100" w:before="200"/>
      </w:pPr>
      <w:r>
        <w:rPr>
          <w:rFonts w:ascii="Calibri" w:cs="Calibri" w:eastAsia="Calibri" w:hAnsi="Calibri"/>
          <w:b/>
          <w:bCs/>
          <w:i w:val="false"/>
          <w:iCs w:val="false"/>
          <w:sz w:val="23"/>
          <w:szCs w:val="23"/>
        </w:rPr>
        <w:t xml:space="preserve">Section F. Effectiveness of the SDM video (11 items; adapted from the Preparation for Decision Making Scale, practitioner version)</w:t>
      </w:r>
    </w:p>
    <w:p>
      <w:pPr>
        <w:spacing w:after="80" w:line="262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Each item rated on a 5-point scale (</w:t>
      </w:r>
      <w:r>
        <w:rPr>
          <w:rFonts w:ascii="Calibri" w:cs="Calibri" w:eastAsia="Calibri" w:hAnsi="Calibri"/>
          <w:b w:val="false"/>
          <w:bCs w:val="false"/>
          <w:i/>
          <w:iCs/>
          <w:sz w:val="21"/>
          <w:szCs w:val="21"/>
        </w:rPr>
        <w:t xml:space="preserve">1 = very much to 5 = not at all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). The same 11 items were also administered referring to the paper decision aid.</w:t>
      </w:r>
    </w:p>
    <w:p>
      <w:pPr>
        <w:spacing w:after="44" w:line="262"/>
        <w:ind w:left="6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F1.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The SDM video helps the patient fully understand the risks and benefits of the decision options.</w:t>
      </w:r>
    </w:p>
    <w:p>
      <w:pPr>
        <w:spacing w:after="44" w:line="262"/>
        <w:ind w:left="6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F2.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The SDM video helps the patient understand how much they value these risks and benefits.</w:t>
      </w:r>
    </w:p>
    <w:p>
      <w:pPr>
        <w:spacing w:after="44" w:line="262"/>
        <w:ind w:left="6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F3.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The SDM video helps the patient prepare for the decision-making consultation.</w:t>
      </w:r>
    </w:p>
    <w:p>
      <w:pPr>
        <w:spacing w:after="44" w:line="262"/>
        <w:ind w:left="6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F4.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The SDM video helps the patient participate in the decision process in their own way.</w:t>
      </w:r>
    </w:p>
    <w:p>
      <w:pPr>
        <w:spacing w:after="44" w:line="262"/>
        <w:ind w:left="6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F5.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The SDM video helps the patient make a decision with fuller understanding.</w:t>
      </w:r>
    </w:p>
    <w:p>
      <w:pPr>
        <w:spacing w:after="44" w:line="262"/>
        <w:ind w:left="6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F6.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The SDM video helps you understand more fully what matters most to the patient.</w:t>
      </w:r>
    </w:p>
    <w:p>
      <w:pPr>
        <w:spacing w:after="44" w:line="262"/>
        <w:ind w:left="6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F7.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The SDM video helps you tailor your consultation to the patient’s preferred level of participation.</w:t>
      </w:r>
    </w:p>
    <w:p>
      <w:pPr>
        <w:spacing w:after="44" w:line="262"/>
        <w:ind w:left="6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F8.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The SDM video helps this decision-making consultation proceed smoothly.</w:t>
      </w:r>
    </w:p>
    <w:p>
      <w:pPr>
        <w:spacing w:after="44" w:line="262"/>
        <w:ind w:left="6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F9.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The SDM video improves the doctor–patient relationship.</w:t>
      </w:r>
    </w:p>
    <w:p>
      <w:pPr>
        <w:spacing w:after="44" w:line="262"/>
        <w:ind w:left="6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F10.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The SDM video improves the use of time during the decision-making consultation.</w:t>
      </w:r>
    </w:p>
    <w:p>
      <w:pPr>
        <w:spacing w:after="44" w:line="262"/>
        <w:ind w:left="6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F11.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The SDM video improves the quality of the decision-making consultation.</w:t>
      </w:r>
    </w:p>
    <w:p>
      <w:pPr>
        <w:spacing w:after="100" w:before="200"/>
      </w:pPr>
      <w:r>
        <w:rPr>
          <w:rFonts w:ascii="Calibri" w:cs="Calibri" w:eastAsia="Calibri" w:hAnsi="Calibri"/>
          <w:b/>
          <w:bCs/>
          <w:i w:val="false"/>
          <w:iCs w:val="false"/>
          <w:sz w:val="23"/>
          <w:szCs w:val="23"/>
        </w:rPr>
        <w:t xml:space="preserve">Section G. Perceived advantages and disadvantages of using video for SDM</w:t>
      </w:r>
    </w:p>
    <w:p>
      <w:pPr>
        <w:spacing w:after="56" w:line="262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G-advantages (select all): </w:t>
      </w:r>
      <w:r>
        <w:rPr>
          <w:rFonts w:ascii="Calibri" w:cs="Calibri" w:eastAsia="Calibri" w:hAnsi="Calibri"/>
          <w:b w:val="false"/>
          <w:bCs w:val="false"/>
          <w:i/>
          <w:iCs/>
          <w:sz w:val="21"/>
          <w:szCs w:val="21"/>
        </w:rPr>
        <w:t xml:space="preserve">saves the time required for SDM; effectively improves patients’ awareness of their disease; SDM can still be performed when team support is lacking; standardizes the SDM process and reduces variation between physicians; other (free text).</w:t>
      </w:r>
    </w:p>
    <w:p>
      <w:pPr>
        <w:spacing w:after="110" w:line="262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G-disadvantages (select all): </w:t>
      </w:r>
      <w:r>
        <w:rPr>
          <w:rFonts w:ascii="Calibri" w:cs="Calibri" w:eastAsia="Calibri" w:hAnsi="Calibri"/>
          <w:b w:val="false"/>
          <w:bCs w:val="false"/>
          <w:i/>
          <w:iCs/>
          <w:sz w:val="21"/>
          <w:szCs w:val="21"/>
        </w:rPr>
        <w:t xml:space="preserve">reduces the interaction time for building the doctor–patient relationship; other (free text).</w:t>
      </w:r>
    </w:p>
    <w:p>
      <w:pPr>
        <w:pBdr>
          <w:bottom w:val="single" w:color="999999" w:sz="6"/>
        </w:pBdr>
        <w:spacing w:after="110"/>
      </w:pPr>
    </w:p>
    <w:p>
      <w:pPr>
        <w:spacing w:after="0" w:line="262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Open-ended items.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The questionnaire also asked which aspects patients might find hard to understand, whether any decision-relevant information was missing, and any other suggestions about the decision aid. These qualitative responses were used to contextualize the quantitative findings.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2026-07-20T13:20:03.231Z</dcterms:created>
  <dcterms:modified xsi:type="dcterms:W3CDTF">2026-07-20T13:20:03.247Z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