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t>Additional file 1. Supplementary material</w:t>
      </w:r>
    </w:p>
    <w:p>
      <w:pPr>
        <w:jc w:val="center"/>
      </w:pPr>
      <w:r>
        <w:rPr>
          <w:rFonts w:ascii="Times New Roman" w:hAnsi="Times New Roman" w:eastAsia="Times New Roman"/>
          <w:sz w:val="24"/>
        </w:rPr>
        <w:t>Regular Exercise and Subsequent Loss of Functional Independence or Death Among Chinese Older Adults With Multimorbidity: A Longitudinal CLHLS Study</w:t>
      </w:r>
    </w:p>
    <w:p>
      <w:pPr>
        <w:pStyle w:val="Heading2"/>
      </w:pPr>
      <w:r>
        <w:rPr>
          <w:rFonts w:ascii="Times New Roman" w:hAnsi="Times New Roman" w:eastAsia="Times New Roman"/>
          <w:b/>
        </w:rPr>
        <w:t>Supplementary Table S1. Variable definitions and coding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3312"/>
        <w:gridCol w:w="3312"/>
        <w:gridCol w:w="3312"/>
      </w:tblGrid>
      <w:tr>
        <w:trPr>
          <w:tblHeader/>
          <w:cantSplit/>
        </w:trPr>
        <w:tc>
          <w:tcPr>
            <w:tcW w:type="dxa" w:w="3312"/>
            <w:vAlign w:val="center"/>
          </w:tcPr>
          <w:p>
            <w:r>
              <w:t>Construct</w:t>
            </w:r>
          </w:p>
        </w:tc>
        <w:tc>
          <w:tcPr>
            <w:tcW w:type="dxa" w:w="3312"/>
            <w:vAlign w:val="center"/>
          </w:tcPr>
          <w:p>
            <w:r>
              <w:t>Operational definition</w:t>
            </w:r>
          </w:p>
        </w:tc>
        <w:tc>
          <w:tcPr>
            <w:tcW w:type="dxa" w:w="3312"/>
            <w:vAlign w:val="center"/>
          </w:tcPr>
          <w:p>
            <w:r>
              <w:t>Notes</w:t>
            </w:r>
          </w:p>
        </w:tc>
      </w:tr>
      <w:tr>
        <w:trPr>
          <w:cantSplit/>
        </w:trPr>
        <w:tc>
          <w:tcPr>
            <w:tcW w:type="dxa" w:w="3312"/>
            <w:vAlign w:val="center"/>
          </w:tcPr>
          <w:p>
            <w:r>
              <w:t>Multimorbidity</w:t>
            </w:r>
          </w:p>
        </w:tc>
        <w:tc>
          <w:tcPr>
            <w:tcW w:type="dxa" w:w="3312"/>
            <w:vAlign w:val="center"/>
          </w:tcPr>
          <w:p>
            <w:r>
              <w:t>Interval-start chronic disease count &gt;=2; sensitivity threshold &gt;=3</w:t>
            </w:r>
          </w:p>
        </w:tc>
        <w:tc>
          <w:tcPr>
            <w:tcW w:type="dxa" w:w="3312"/>
            <w:vAlign w:val="center"/>
          </w:tcPr>
          <w:p>
            <w:r>
              <w:t>Self-reported chronic disease items available across waves</w:t>
            </w:r>
          </w:p>
        </w:tc>
      </w:tr>
      <w:tr>
        <w:trPr>
          <w:cantSplit/>
        </w:trPr>
        <w:tc>
          <w:tcPr>
            <w:tcW w:type="dxa" w:w="3312"/>
            <w:vAlign w:val="center"/>
          </w:tcPr>
          <w:p>
            <w:r>
              <w:t>Functional independence</w:t>
            </w:r>
          </w:p>
        </w:tc>
        <w:tc>
          <w:tcPr>
            <w:tcW w:type="dxa" w:w="3312"/>
            <w:vAlign w:val="center"/>
          </w:tcPr>
          <w:p>
            <w:r>
              <w:t>No ADL or IADL limitation at interval start</w:t>
            </w:r>
          </w:p>
        </w:tc>
        <w:tc>
          <w:tcPr>
            <w:tcW w:type="dxa" w:w="3312"/>
            <w:vAlign w:val="center"/>
          </w:tcPr>
          <w:p>
            <w:r>
              <w:t>ADL and IADL/mobility items listed in Methods</w:t>
            </w:r>
          </w:p>
        </w:tc>
      </w:tr>
      <w:tr>
        <w:trPr>
          <w:cantSplit/>
        </w:trPr>
        <w:tc>
          <w:tcPr>
            <w:tcW w:type="dxa" w:w="3312"/>
            <w:vAlign w:val="center"/>
          </w:tcPr>
          <w:p>
            <w:r>
              <w:t>Primary outcome</w:t>
            </w:r>
          </w:p>
        </w:tc>
        <w:tc>
          <w:tcPr>
            <w:tcW w:type="dxa" w:w="3312"/>
            <w:vAlign w:val="center"/>
          </w:tcPr>
          <w:p>
            <w:r>
              <w:t>Incident ADL/IADL limitation among survivors or death before next wave</w:t>
            </w:r>
          </w:p>
        </w:tc>
        <w:tc>
          <w:tcPr>
            <w:tcW w:type="dxa" w:w="3312"/>
            <w:vAlign w:val="center"/>
          </w:tcPr>
          <w:p>
            <w:r>
              <w:t>Composite adverse transition</w:t>
            </w:r>
          </w:p>
        </w:tc>
      </w:tr>
      <w:tr>
        <w:trPr>
          <w:cantSplit/>
        </w:trPr>
        <w:tc>
          <w:tcPr>
            <w:tcW w:type="dxa" w:w="3312"/>
            <w:vAlign w:val="center"/>
          </w:tcPr>
          <w:p>
            <w:r>
              <w:t>ADL-only sensitivity outcome</w:t>
            </w:r>
          </w:p>
        </w:tc>
        <w:tc>
          <w:tcPr>
            <w:tcW w:type="dxa" w:w="3312"/>
            <w:vAlign w:val="center"/>
          </w:tcPr>
          <w:p>
            <w:r>
              <w:t>Incident basic ADL limitation among survivors, and incident basic ADL limitation or death</w:t>
            </w:r>
          </w:p>
        </w:tc>
        <w:tc>
          <w:tcPr>
            <w:tcW w:type="dxa" w:w="3312"/>
            <w:vAlign w:val="center"/>
          </w:tcPr>
          <w:p>
            <w:r>
              <w:t>Outcome-component sensitivity analysis using six basic ADL items</w:t>
            </w:r>
          </w:p>
        </w:tc>
      </w:tr>
      <w:tr>
        <w:trPr>
          <w:cantSplit/>
        </w:trPr>
        <w:tc>
          <w:tcPr>
            <w:tcW w:type="dxa" w:w="3312"/>
            <w:vAlign w:val="center"/>
          </w:tcPr>
          <w:p>
            <w:r>
              <w:t>Social participation</w:t>
            </w:r>
          </w:p>
        </w:tc>
        <w:tc>
          <w:tcPr>
            <w:tcW w:type="dxa" w:w="3312"/>
            <w:vAlign w:val="center"/>
          </w:tcPr>
          <w:p>
            <w:r>
              <w:t>Any current participation in social activities</w:t>
            </w:r>
          </w:p>
        </w:tc>
        <w:tc>
          <w:tcPr>
            <w:tcW w:type="dxa" w:w="3312"/>
            <w:vAlign w:val="center"/>
          </w:tcPr>
          <w:p>
            <w:r>
              <w:t>Binary indicator</w:t>
            </w:r>
          </w:p>
        </w:tc>
      </w:tr>
      <w:tr>
        <w:trPr>
          <w:cantSplit/>
        </w:trPr>
        <w:tc>
          <w:tcPr>
            <w:tcW w:type="dxa" w:w="3312"/>
            <w:vAlign w:val="center"/>
          </w:tcPr>
          <w:p>
            <w:r>
              <w:t>Regular exercise</w:t>
            </w:r>
          </w:p>
        </w:tc>
        <w:tc>
          <w:tcPr>
            <w:tcW w:type="dxa" w:w="3312"/>
            <w:vAlign w:val="center"/>
          </w:tcPr>
          <w:p>
            <w:r>
              <w:t>Currently exercises regularly</w:t>
            </w:r>
          </w:p>
        </w:tc>
        <w:tc>
          <w:tcPr>
            <w:tcW w:type="dxa" w:w="3312"/>
            <w:vAlign w:val="center"/>
          </w:tcPr>
          <w:p>
            <w:r>
              <w:t>Binary indicator; no intensity/duration available</w:t>
            </w:r>
          </w:p>
        </w:tc>
      </w:tr>
      <w:tr>
        <w:trPr>
          <w:cantSplit/>
        </w:trPr>
        <w:tc>
          <w:tcPr>
            <w:tcW w:type="dxa" w:w="3312"/>
            <w:vAlign w:val="center"/>
          </w:tcPr>
          <w:p>
            <w:r>
              <w:t>Good sleep</w:t>
            </w:r>
          </w:p>
        </w:tc>
        <w:tc>
          <w:tcPr>
            <w:tcW w:type="dxa" w:w="3312"/>
            <w:vAlign w:val="center"/>
          </w:tcPr>
          <w:p>
            <w:r>
              <w:t>Acceptable sleep quality and usual sleep duration of 6–9 hours</w:t>
            </w:r>
          </w:p>
        </w:tc>
        <w:tc>
          <w:tcPr>
            <w:tcW w:type="dxa" w:w="3312"/>
            <w:vAlign w:val="center"/>
          </w:tcPr>
          <w:p>
            <w:r>
              <w:t>Binary indicator</w:t>
            </w:r>
          </w:p>
        </w:tc>
      </w:tr>
      <w:tr>
        <w:trPr>
          <w:cantSplit/>
        </w:trPr>
        <w:tc>
          <w:tcPr>
            <w:tcW w:type="dxa" w:w="3312"/>
            <w:vAlign w:val="center"/>
          </w:tcPr>
          <w:p>
            <w:r>
              <w:t>Resource score</w:t>
            </w:r>
          </w:p>
        </w:tc>
        <w:tc>
          <w:tcPr>
            <w:tcW w:type="dxa" w:w="3312"/>
            <w:vAlign w:val="center"/>
          </w:tcPr>
          <w:p>
            <w:r>
              <w:t>Sum of social participation, regular exercise, and good sleep</w:t>
            </w:r>
          </w:p>
        </w:tc>
        <w:tc>
          <w:tcPr>
            <w:tcW w:type="dxa" w:w="3312"/>
            <w:vAlign w:val="center"/>
          </w:tcPr>
          <w:p>
            <w:r>
              <w:t>Range 0–3</w:t>
            </w:r>
          </w:p>
        </w:tc>
      </w:tr>
      <w:tr>
        <w:trPr>
          <w:cantSplit/>
        </w:trPr>
        <w:tc>
          <w:tcPr>
            <w:tcW w:type="dxa" w:w="3312"/>
            <w:vAlign w:val="center"/>
          </w:tcPr>
          <w:p>
            <w:r>
              <w:t>Covariates</w:t>
            </w:r>
          </w:p>
        </w:tc>
        <w:tc>
          <w:tcPr>
            <w:tcW w:type="dxa" w:w="3312"/>
            <w:vAlign w:val="center"/>
          </w:tcPr>
          <w:p>
            <w:r>
              <w:t>Age, sex, rural residence, education, marital status, logged household income, chronic disease count, interval</w:t>
            </w:r>
          </w:p>
        </w:tc>
        <w:tc>
          <w:tcPr>
            <w:tcW w:type="dxa" w:w="3312"/>
            <w:vAlign w:val="center"/>
          </w:tcPr>
          <w:p>
            <w:r>
              <w:t>Measured at interval start where available</w:t>
            </w:r>
          </w:p>
        </w:tc>
      </w:tr>
      <w:tr>
        <w:trPr>
          <w:cantSplit/>
        </w:trPr>
        <w:tc>
          <w:tcPr>
            <w:tcW w:type="dxa" w:w="3312"/>
          </w:tcPr>
          <w:p>
            <w:r>
              <w:t>Health-reserve robustness covariates</w:t>
            </w:r>
          </w:p>
        </w:tc>
        <w:tc>
          <w:tcPr>
            <w:tcW w:type="dxa" w:w="3312"/>
          </w:tcPr>
          <w:p>
            <w:r>
              <w:t>Self-rated health, interviewer-rated health, orientation score, verbal fluency, BMI, current smoking, current drinking, visual function, interviewer-assessed hearing, and recent serious illness count.</w:t>
            </w:r>
          </w:p>
        </w:tc>
        <w:tc>
          <w:tcPr>
            <w:tcW w:type="dxa" w:w="3312"/>
          </w:tcPr>
          <w:p>
            <w:r>
              <w:t>Added only in the enhanced robustness model to assess measured baseline health reserve; not treated as the primary model because some variables may capture incipient decline or downstream health state.</w:t>
            </w:r>
          </w:p>
        </w:tc>
      </w:tr>
      <w:tr>
        <w:trPr>
          <w:cantSplit/>
        </w:trPr>
        <w:tc>
          <w:tcPr>
            <w:tcW w:type="dxa" w:w="3312"/>
          </w:tcPr>
          <w:p>
            <w:r>
              <w:t>Self-rated health</w:t>
            </w:r>
          </w:p>
        </w:tc>
        <w:tc>
          <w:tcPr>
            <w:tcW w:type="dxa" w:w="3312"/>
          </w:tcPr>
          <w:p>
            <w:r>
              <w:t>CLHLS b12 item at interval start.</w:t>
            </w:r>
          </w:p>
        </w:tc>
        <w:tc>
          <w:tcPr>
            <w:tcW w:type="dxa" w:w="3312"/>
          </w:tcPr>
          <w:p>
            <w:r>
              <w:t>Original ordinal scale retained for valid values 1–5: 1 = very good, 5 = very bad; lower values indicate better self-rated health.</w:t>
            </w:r>
          </w:p>
        </w:tc>
      </w:tr>
      <w:tr>
        <w:trPr>
          <w:cantSplit/>
        </w:trPr>
        <w:tc>
          <w:tcPr>
            <w:tcW w:type="dxa" w:w="3312"/>
          </w:tcPr>
          <w:p>
            <w:r>
              <w:t>Interviewer-rated health</w:t>
            </w:r>
          </w:p>
        </w:tc>
        <w:tc>
          <w:tcPr>
            <w:tcW w:type="dxa" w:w="3312"/>
          </w:tcPr>
          <w:p>
            <w:r>
              <w:t>CLHLS h3 item at interval start.</w:t>
            </w:r>
          </w:p>
        </w:tc>
        <w:tc>
          <w:tcPr>
            <w:tcW w:type="dxa" w:w="3312"/>
          </w:tcPr>
          <w:p>
            <w:r>
              <w:t>Original ordinal scale retained for valid values 1–4: 1 = surprisingly healthy, 4 = very ill; lower values indicate better interviewer-rated health.</w:t>
            </w:r>
          </w:p>
        </w:tc>
      </w:tr>
      <w:tr>
        <w:trPr>
          <w:cantSplit/>
        </w:trPr>
        <w:tc>
          <w:tcPr>
            <w:tcW w:type="dxa" w:w="3312"/>
          </w:tcPr>
          <w:p>
            <w:r>
              <w:t>Orientation score</w:t>
            </w:r>
          </w:p>
        </w:tc>
        <w:tc>
          <w:tcPr>
            <w:tcW w:type="dxa" w:w="3312"/>
          </w:tcPr>
          <w:p>
            <w:r>
              <w:t>Sum of correct responses to five orientation items (c11-c15) at interval start.</w:t>
            </w:r>
          </w:p>
        </w:tc>
        <w:tc>
          <w:tcPr>
            <w:tcW w:type="dxa" w:w="3312"/>
          </w:tcPr>
          <w:p>
            <w:r>
              <w:t>Range 0–5; higher values indicate better orientation. Missing if all five item responses were missing.</w:t>
            </w:r>
          </w:p>
        </w:tc>
      </w:tr>
      <w:tr>
        <w:trPr>
          <w:cantSplit/>
        </w:trPr>
        <w:tc>
          <w:tcPr>
            <w:tcW w:type="dxa" w:w="3312"/>
          </w:tcPr>
          <w:p>
            <w:r>
              <w:t>Verbal fluency</w:t>
            </w:r>
          </w:p>
        </w:tc>
        <w:tc>
          <w:tcPr>
            <w:tcW w:type="dxa" w:w="3312"/>
          </w:tcPr>
          <w:p>
            <w:r>
              <w:t>Number of kinds of food named in one minute (c16) at interval start.</w:t>
            </w:r>
          </w:p>
        </w:tc>
        <w:tc>
          <w:tcPr>
            <w:tcW w:type="dxa" w:w="3312"/>
          </w:tcPr>
          <w:p>
            <w:r>
              <w:t>Continuous count; valid range 0–60; higher values indicate better verbal fluency.</w:t>
            </w:r>
          </w:p>
        </w:tc>
      </w:tr>
      <w:tr>
        <w:trPr>
          <w:cantSplit/>
        </w:trPr>
        <w:tc>
          <w:tcPr>
            <w:tcW w:type="dxa" w:w="3312"/>
          </w:tcPr>
          <w:p>
            <w:r>
              <w:t>Body mass index</w:t>
            </w:r>
          </w:p>
        </w:tc>
        <w:tc>
          <w:tcPr>
            <w:tcW w:type="dxa" w:w="3312"/>
          </w:tcPr>
          <w:p>
            <w:r>
              <w:t>Weight in kilograms divided by measured height in meters squared, using interval-start weight (g101) and directly measured height (g1021).</w:t>
            </w:r>
          </w:p>
        </w:tc>
        <w:tc>
          <w:tcPr>
            <w:tcW w:type="dxa" w:w="3312"/>
          </w:tcPr>
          <w:p>
            <w:r>
              <w:t>Weight values outside 25–200 kg, height values outside 100–220 cm, and BMI values outside 12–45 kg/m2 were set to missing.</w:t>
            </w:r>
          </w:p>
        </w:tc>
      </w:tr>
      <w:tr>
        <w:trPr>
          <w:cantSplit/>
        </w:trPr>
        <w:tc>
          <w:tcPr>
            <w:tcW w:type="dxa" w:w="3312"/>
          </w:tcPr>
          <w:p>
            <w:r>
              <w:t>Current smoking</w:t>
            </w:r>
          </w:p>
        </w:tc>
        <w:tc>
          <w:tcPr>
            <w:tcW w:type="dxa" w:w="3312"/>
          </w:tcPr>
          <w:p>
            <w:r>
              <w:t>Current smoking item (d71) at interval start.</w:t>
            </w:r>
          </w:p>
        </w:tc>
        <w:tc>
          <w:tcPr>
            <w:tcW w:type="dxa" w:w="3312"/>
          </w:tcPr>
          <w:p>
            <w:r>
              <w:t>Binary indicator: 1 = current smoking, 0 = otherwise, among valid yes/no responses.</w:t>
            </w:r>
          </w:p>
        </w:tc>
      </w:tr>
      <w:tr>
        <w:trPr>
          <w:cantSplit/>
        </w:trPr>
        <w:tc>
          <w:tcPr>
            <w:tcW w:type="dxa" w:w="3312"/>
          </w:tcPr>
          <w:p>
            <w:r>
              <w:t>Current drinking</w:t>
            </w:r>
          </w:p>
        </w:tc>
        <w:tc>
          <w:tcPr>
            <w:tcW w:type="dxa" w:w="3312"/>
          </w:tcPr>
          <w:p>
            <w:r>
              <w:t>Current drinking item (d81) at interval start.</w:t>
            </w:r>
          </w:p>
        </w:tc>
        <w:tc>
          <w:tcPr>
            <w:tcW w:type="dxa" w:w="3312"/>
          </w:tcPr>
          <w:p>
            <w:r>
              <w:t>Binary indicator: 1 = current drinking, 0 = otherwise, among valid yes/no responses.</w:t>
            </w:r>
          </w:p>
        </w:tc>
      </w:tr>
      <w:tr>
        <w:trPr>
          <w:cantSplit/>
        </w:trPr>
        <w:tc>
          <w:tcPr>
            <w:tcW w:type="dxa" w:w="3312"/>
          </w:tcPr>
          <w:p>
            <w:r>
              <w:t>Visual function</w:t>
            </w:r>
          </w:p>
        </w:tc>
        <w:tc>
          <w:tcPr>
            <w:tcW w:type="dxa" w:w="3312"/>
          </w:tcPr>
          <w:p>
            <w:r>
              <w:t>CLHLS g1 visual-function item at interval start.</w:t>
            </w:r>
          </w:p>
        </w:tc>
        <w:tc>
          <w:tcPr>
            <w:tcW w:type="dxa" w:w="3312"/>
          </w:tcPr>
          <w:p>
            <w:r>
              <w:t>Original ordinal scale retained for valid values 1–4: 1 = can see and distinguish, 4 = blind; lower values indicate better visual function.</w:t>
            </w:r>
          </w:p>
        </w:tc>
      </w:tr>
      <w:tr>
        <w:trPr>
          <w:cantSplit/>
        </w:trPr>
        <w:tc>
          <w:tcPr>
            <w:tcW w:type="dxa" w:w="3312"/>
          </w:tcPr>
          <w:p>
            <w:r>
              <w:t>Interviewer-assessed hearing</w:t>
            </w:r>
          </w:p>
        </w:tc>
        <w:tc>
          <w:tcPr>
            <w:tcW w:type="dxa" w:w="3312"/>
          </w:tcPr>
          <w:p>
            <w:r>
              <w:t>CLHLS h1 interviewer-assessed hearing item at interval start.</w:t>
            </w:r>
          </w:p>
        </w:tc>
        <w:tc>
          <w:tcPr>
            <w:tcW w:type="dxa" w:w="3312"/>
          </w:tcPr>
          <w:p>
            <w:r>
              <w:t>Original ordinal scale retained for valid values 1–4: 1 = hears without aid, 4 = cannot hear; lower values indicate better hearing.</w:t>
            </w:r>
          </w:p>
        </w:tc>
      </w:tr>
      <w:tr>
        <w:trPr>
          <w:cantSplit/>
        </w:trPr>
        <w:tc>
          <w:tcPr>
            <w:tcW w:type="dxa" w:w="3312"/>
          </w:tcPr>
          <w:p>
            <w:r>
              <w:t>Recent serious illness count</w:t>
            </w:r>
          </w:p>
        </w:tc>
        <w:tc>
          <w:tcPr>
            <w:tcW w:type="dxa" w:w="3312"/>
          </w:tcPr>
          <w:p>
            <w:r>
              <w:t>Number of times suffering from serious illness within the preceding two years (g131) at interval start.</w:t>
            </w:r>
          </w:p>
        </w:tc>
        <w:tc>
          <w:tcPr>
            <w:tcW w:type="dxa" w:w="3312"/>
          </w:tcPr>
          <w:p>
            <w:r>
              <w:t>Non-negative count; valid range 0–20.</w:t>
            </w:r>
          </w:p>
        </w:tc>
      </w:tr>
      <w:tr>
        <w:trPr>
          <w:cantSplit/>
        </w:trPr>
        <w:tc>
          <w:tcPr>
            <w:tcW w:type="dxa" w:w="3312"/>
          </w:tcPr>
          <w:p>
            <w:r>
              <w:t>IPW model for observed follow-up</w:t>
            </w:r>
          </w:p>
        </w:tc>
        <w:tc>
          <w:tcPr>
            <w:tcW w:type="dxa" w:w="3312"/>
          </w:tcPr>
          <w:p>
            <w:r>
              <w:t>Observed follow-up outcome status was modeled using interval-start demographic, socioeconomic, disease-burden, resource, and health-reserve variables.</w:t>
            </w:r>
          </w:p>
        </w:tc>
        <w:tc>
          <w:tcPr>
            <w:tcW w:type="dxa" w:w="3312"/>
          </w:tcPr>
          <w:p>
            <w:r>
              <w:t>Missing predictor values were imputed to medians with missingness indicators. The final attrition prediction used a lightly regularized binomial GLM; stabilized weights were trimmed at the 5th and 95th percentiles for the main IPW sensitivity analysis.</w:t>
            </w:r>
          </w:p>
        </w:tc>
      </w:tr>
      <w:tr>
        <w:trPr>
          <w:cantSplit/>
        </w:trPr>
        <w:tc>
          <w:tcPr>
            <w:tcW w:type="dxa" w:w="3312"/>
          </w:tcPr>
          <w:p>
            <w:r>
              <w:t>Mobility items closely related to exercise</w:t>
            </w:r>
          </w:p>
        </w:tc>
        <w:tc>
          <w:tcPr>
            <w:tcW w:type="dxa" w:w="3312"/>
          </w:tcPr>
          <w:p>
            <w:r>
              <w:t>Walking one kilometer, carrying 5 kg, and crouching/standing.</w:t>
            </w:r>
          </w:p>
        </w:tc>
        <w:tc>
          <w:tcPr>
            <w:tcW w:type="dxa" w:w="3312"/>
          </w:tcPr>
          <w:p>
            <w:r>
              <w:t>Excluded together in the main construct-overlap sensitivity analysis because these items are closest to the physical capacity needed to report regular exercise.</w:t>
            </w:r>
          </w:p>
        </w:tc>
      </w:tr>
      <w:tr>
        <w:trPr>
          <w:cantSplit/>
        </w:trPr>
        <w:tc>
          <w:tcPr>
            <w:tcW w:type="dxa" w:w="3312"/>
          </w:tcPr>
          <w:p>
            <w:r>
              <w:t>Community/domestic IADL or death</w:t>
            </w:r>
          </w:p>
        </w:tc>
        <w:tc>
          <w:tcPr>
            <w:tcW w:type="dxa" w:w="3312"/>
          </w:tcPr>
          <w:p>
            <w:r>
              <w:t>Going outside to visit neighbors, shopping, cooking, washing clothes, taking public transportation, or death before the next wave.</w:t>
            </w:r>
          </w:p>
        </w:tc>
        <w:tc>
          <w:tcPr>
            <w:tcW w:type="dxa" w:w="3312"/>
          </w:tcPr>
          <w:p>
            <w:r>
              <w:t>Used to test whether the exercise association persisted after removing mobility items closely related to exercise.</w:t>
            </w:r>
          </w:p>
        </w:tc>
      </w:tr>
      <w:tr>
        <w:trPr>
          <w:cantSplit/>
        </w:trPr>
        <w:tc>
          <w:tcPr>
            <w:tcW w:type="dxa" w:w="3312"/>
          </w:tcPr>
          <w:p>
            <w:r>
              <w:t>Physical mobility items among survivors</w:t>
            </w:r>
          </w:p>
        </w:tc>
        <w:tc>
          <w:tcPr>
            <w:tcW w:type="dxa" w:w="3312"/>
          </w:tcPr>
          <w:p>
            <w:r>
              <w:t>Walking one kilometer, carrying 5 kg, crouching/standing, and taking public transportation.</w:t>
            </w:r>
          </w:p>
        </w:tc>
        <w:tc>
          <w:tcPr>
            <w:tcW w:type="dxa" w:w="3312"/>
          </w:tcPr>
          <w:p>
            <w:r>
              <w:t>Used as an outcome-component diagnostic, not as the primary endpoint.</w:t>
            </w:r>
          </w:p>
        </w:tc>
      </w:tr>
    </w:tbl>
    <w:p/>
    <w:p>
      <w:pPr>
        <w:pStyle w:val="Heading2"/>
      </w:pPr>
      <w:r>
        <w:rPr>
          <w:rFonts w:ascii="Times New Roman" w:hAnsi="Times New Roman" w:eastAsia="Times New Roman"/>
          <w:b/>
        </w:rPr>
        <w:t>Supplementary Table S2. Primary modified Poisson/GEE resource models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1656"/>
        <w:gridCol w:w="1656"/>
        <w:gridCol w:w="1656"/>
        <w:gridCol w:w="1656"/>
        <w:gridCol w:w="1656"/>
        <w:gridCol w:w="1656"/>
      </w:tblGrid>
      <w:tr>
        <w:trPr>
          <w:tblHeader/>
          <w:cantSplit/>
        </w:trPr>
        <w:tc>
          <w:tcPr>
            <w:tcW w:type="dxa" w:w="1656"/>
            <w:vAlign w:val="center"/>
          </w:tcPr>
          <w:p>
            <w:r>
              <w:t>Model</w:t>
            </w:r>
          </w:p>
        </w:tc>
        <w:tc>
          <w:tcPr>
            <w:tcW w:type="dxa" w:w="1656"/>
            <w:vAlign w:val="center"/>
          </w:tcPr>
          <w:p>
            <w:r>
              <w:t>Variable</w:t>
            </w:r>
          </w:p>
        </w:tc>
        <w:tc>
          <w:tcPr>
            <w:tcW w:type="dxa" w:w="1656"/>
            <w:vAlign w:val="center"/>
          </w:tcPr>
          <w:p>
            <w:r>
              <w:t>RR (95% CI)</w:t>
            </w:r>
          </w:p>
        </w:tc>
        <w:tc>
          <w:tcPr>
            <w:tcW w:type="dxa" w:w="1656"/>
            <w:vAlign w:val="center"/>
          </w:tcPr>
          <w:p>
            <w:r>
              <w:t>P value</w:t>
            </w:r>
          </w:p>
        </w:tc>
        <w:tc>
          <w:tcPr>
            <w:tcW w:type="dxa" w:w="1656"/>
            <w:vAlign w:val="center"/>
          </w:tcPr>
          <w:p>
            <w:r>
              <w:t>N intervals</w:t>
            </w:r>
          </w:p>
        </w:tc>
        <w:tc>
          <w:tcPr>
            <w:tcW w:type="dxa" w:w="1656"/>
            <w:vAlign w:val="center"/>
          </w:tcPr>
          <w:p>
            <w:r>
              <w:t>Events</w:t>
            </w:r>
          </w:p>
        </w:tc>
      </w:tr>
      <w:tr>
        <w:trPr>
          <w:cantSplit/>
        </w:trPr>
        <w:tc>
          <w:tcPr>
            <w:tcW w:type="dxa" w:w="1656"/>
            <w:vAlign w:val="center"/>
          </w:tcPr>
          <w:p>
            <w:r>
              <w:t>Primary</w:t>
            </w:r>
          </w:p>
        </w:tc>
        <w:tc>
          <w:tcPr>
            <w:tcW w:type="dxa" w:w="1656"/>
            <w:vAlign w:val="center"/>
          </w:tcPr>
          <w:p>
            <w:r>
              <w:t>Social participation</w:t>
            </w:r>
          </w:p>
        </w:tc>
        <w:tc>
          <w:tcPr>
            <w:tcW w:type="dxa" w:w="1656"/>
            <w:vAlign w:val="center"/>
          </w:tcPr>
          <w:p>
            <w:r>
              <w:t>1.02 (0.91–1.14)</w:t>
            </w:r>
          </w:p>
        </w:tc>
        <w:tc>
          <w:tcPr>
            <w:tcW w:type="dxa" w:w="1656"/>
            <w:vAlign w:val="center"/>
          </w:tcPr>
          <w:p>
            <w:r>
              <w:t>0.792</w:t>
            </w:r>
          </w:p>
        </w:tc>
        <w:tc>
          <w:tcPr>
            <w:tcW w:type="dxa" w:w="1656"/>
            <w:vAlign w:val="center"/>
          </w:tcPr>
          <w:p>
            <w:r>
              <w:t>1241</w:t>
            </w:r>
          </w:p>
        </w:tc>
        <w:tc>
          <w:tcPr>
            <w:tcW w:type="dxa" w:w="1656"/>
            <w:vAlign w:val="center"/>
          </w:tcPr>
          <w:p>
            <w:r>
              <w:t>696</w:t>
            </w:r>
          </w:p>
        </w:tc>
      </w:tr>
      <w:tr>
        <w:trPr>
          <w:cantSplit/>
        </w:trPr>
        <w:tc>
          <w:tcPr>
            <w:tcW w:type="dxa" w:w="1656"/>
            <w:vAlign w:val="center"/>
          </w:tcPr>
          <w:p>
            <w:r>
              <w:t>Primary</w:t>
            </w:r>
          </w:p>
        </w:tc>
        <w:tc>
          <w:tcPr>
            <w:tcW w:type="dxa" w:w="1656"/>
            <w:vAlign w:val="center"/>
          </w:tcPr>
          <w:p>
            <w:r>
              <w:t>Regular exercise</w:t>
            </w:r>
          </w:p>
        </w:tc>
        <w:tc>
          <w:tcPr>
            <w:tcW w:type="dxa" w:w="1656"/>
            <w:vAlign w:val="center"/>
          </w:tcPr>
          <w:p>
            <w:r>
              <w:t>0.87 (0.78–0.96)</w:t>
            </w:r>
          </w:p>
        </w:tc>
        <w:tc>
          <w:tcPr>
            <w:tcW w:type="dxa" w:w="1656"/>
            <w:vAlign w:val="center"/>
          </w:tcPr>
          <w:p>
            <w:r>
              <w:t>0.007</w:t>
            </w:r>
          </w:p>
        </w:tc>
        <w:tc>
          <w:tcPr>
            <w:tcW w:type="dxa" w:w="1656"/>
            <w:vAlign w:val="center"/>
          </w:tcPr>
          <w:p>
            <w:r>
              <w:t>1241</w:t>
            </w:r>
          </w:p>
        </w:tc>
        <w:tc>
          <w:tcPr>
            <w:tcW w:type="dxa" w:w="1656"/>
            <w:vAlign w:val="center"/>
          </w:tcPr>
          <w:p>
            <w:r>
              <w:t>696</w:t>
            </w:r>
          </w:p>
        </w:tc>
      </w:tr>
      <w:tr>
        <w:trPr>
          <w:cantSplit/>
        </w:trPr>
        <w:tc>
          <w:tcPr>
            <w:tcW w:type="dxa" w:w="1656"/>
            <w:vAlign w:val="center"/>
          </w:tcPr>
          <w:p>
            <w:r>
              <w:t>Primary</w:t>
            </w:r>
          </w:p>
        </w:tc>
        <w:tc>
          <w:tcPr>
            <w:tcW w:type="dxa" w:w="1656"/>
            <w:vAlign w:val="center"/>
          </w:tcPr>
          <w:p>
            <w:r>
              <w:t>Good sleep</w:t>
            </w:r>
          </w:p>
        </w:tc>
        <w:tc>
          <w:tcPr>
            <w:tcW w:type="dxa" w:w="1656"/>
            <w:vAlign w:val="center"/>
          </w:tcPr>
          <w:p>
            <w:r>
              <w:t>1.00 (0.91–1.10)</w:t>
            </w:r>
          </w:p>
        </w:tc>
        <w:tc>
          <w:tcPr>
            <w:tcW w:type="dxa" w:w="1656"/>
            <w:vAlign w:val="center"/>
          </w:tcPr>
          <w:p>
            <w:r>
              <w:t>0.961</w:t>
            </w:r>
          </w:p>
        </w:tc>
        <w:tc>
          <w:tcPr>
            <w:tcW w:type="dxa" w:w="1656"/>
            <w:vAlign w:val="center"/>
          </w:tcPr>
          <w:p>
            <w:r>
              <w:t>1241</w:t>
            </w:r>
          </w:p>
        </w:tc>
        <w:tc>
          <w:tcPr>
            <w:tcW w:type="dxa" w:w="1656"/>
            <w:vAlign w:val="center"/>
          </w:tcPr>
          <w:p>
            <w:r>
              <w:t>696</w:t>
            </w:r>
          </w:p>
        </w:tc>
      </w:tr>
      <w:tr>
        <w:trPr>
          <w:cantSplit/>
        </w:trPr>
        <w:tc>
          <w:tcPr>
            <w:tcW w:type="dxa" w:w="1656"/>
            <w:vAlign w:val="center"/>
          </w:tcPr>
          <w:p>
            <w:r>
              <w:t>Resource-score model</w:t>
            </w:r>
          </w:p>
        </w:tc>
        <w:tc>
          <w:tcPr>
            <w:tcW w:type="dxa" w:w="1656"/>
            <w:vAlign w:val="center"/>
          </w:tcPr>
          <w:p>
            <w:r>
              <w:t>Per additional resource</w:t>
            </w:r>
          </w:p>
        </w:tc>
        <w:tc>
          <w:tcPr>
            <w:tcW w:type="dxa" w:w="1656"/>
            <w:vAlign w:val="center"/>
          </w:tcPr>
          <w:p>
            <w:r>
              <w:t>0.96 (0.91–1.01)</w:t>
            </w:r>
          </w:p>
        </w:tc>
        <w:tc>
          <w:tcPr>
            <w:tcW w:type="dxa" w:w="1656"/>
            <w:vAlign w:val="center"/>
          </w:tcPr>
          <w:p>
            <w:r>
              <w:t>0.125</w:t>
            </w:r>
          </w:p>
        </w:tc>
        <w:tc>
          <w:tcPr>
            <w:tcW w:type="dxa" w:w="1656"/>
            <w:vAlign w:val="center"/>
          </w:tcPr>
          <w:p>
            <w:r>
              <w:t>1241</w:t>
            </w:r>
          </w:p>
        </w:tc>
        <w:tc>
          <w:tcPr>
            <w:tcW w:type="dxa" w:w="1656"/>
            <w:vAlign w:val="center"/>
          </w:tcPr>
          <w:p>
            <w:r>
              <w:t>696</w:t>
            </w:r>
          </w:p>
        </w:tc>
      </w:tr>
    </w:tbl>
    <w:p/>
    <w:p>
      <w:pPr>
        <w:spacing w:line="240" w:lineRule="auto" w:after="120"/>
      </w:pPr>
      <w:r>
        <w:t>Note: Models used modified Poisson generalized estimating equations with respondent clustering. The individual-resource model included social participation, regular exercise, and good sleep; the score model replaced the three indicators with a 0–3 resource score. Both models adjusted for the prespecified sociodemographic, chronic disease, and interval covariates.</w:t>
      </w:r>
    </w:p>
    <w:p>
      <w:r>
        <w:br w:type="page"/>
      </w:r>
    </w:p>
    <w:p>
      <w:pPr>
        <w:pStyle w:val="Heading2"/>
      </w:pPr>
      <w:r>
        <w:rPr>
          <w:rFonts w:ascii="Times New Roman" w:hAnsi="Times New Roman" w:eastAsia="Times New Roman"/>
          <w:b/>
        </w:rPr>
        <w:t>Supplementary Table S3. Standardized absolute risks for regular exercise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1987"/>
        <w:gridCol w:w="1987"/>
        <w:gridCol w:w="1987"/>
        <w:gridCol w:w="1987"/>
        <w:gridCol w:w="1987"/>
      </w:tblGrid>
      <w:tr>
        <w:trPr>
          <w:tblHeader/>
          <w:cantSplit/>
        </w:trPr>
        <w:tc>
          <w:tcPr>
            <w:tcW w:type="dxa" w:w="1987"/>
            <w:vAlign w:val="center"/>
          </w:tcPr>
          <w:p>
            <w:r>
              <w:t>Model</w:t>
            </w:r>
          </w:p>
        </w:tc>
        <w:tc>
          <w:tcPr>
            <w:tcW w:type="dxa" w:w="1987"/>
            <w:vAlign w:val="center"/>
          </w:tcPr>
          <w:p>
            <w:r>
              <w:t>Exercise contrast</w:t>
            </w:r>
          </w:p>
        </w:tc>
        <w:tc>
          <w:tcPr>
            <w:tcW w:type="dxa" w:w="1987"/>
            <w:vAlign w:val="center"/>
          </w:tcPr>
          <w:p>
            <w:r>
              <w:t>Adjusted risk or difference (95% CI)</w:t>
            </w:r>
          </w:p>
        </w:tc>
        <w:tc>
          <w:tcPr>
            <w:tcW w:type="dxa" w:w="1987"/>
            <w:vAlign w:val="center"/>
          </w:tcPr>
          <w:p>
            <w:r>
              <w:t>N intervals</w:t>
            </w:r>
          </w:p>
        </w:tc>
        <w:tc>
          <w:tcPr>
            <w:tcW w:type="dxa" w:w="1987"/>
            <w:vAlign w:val="center"/>
          </w:tcPr>
          <w:p>
            <w:r>
              <w:t>Events</w:t>
            </w:r>
          </w:p>
        </w:tc>
      </w:tr>
      <w:tr>
        <w:trPr>
          <w:cantSplit/>
        </w:trPr>
        <w:tc>
          <w:tcPr>
            <w:tcW w:type="dxa" w:w="1987"/>
            <w:vAlign w:val="center"/>
          </w:tcPr>
          <w:p>
            <w:r>
              <w:t>Primary modified Poisson</w:t>
            </w:r>
          </w:p>
        </w:tc>
        <w:tc>
          <w:tcPr>
            <w:tcW w:type="dxa" w:w="1987"/>
            <w:vAlign w:val="center"/>
          </w:tcPr>
          <w:p>
            <w:r>
              <w:t>No regular exercise</w:t>
            </w:r>
          </w:p>
        </w:tc>
        <w:tc>
          <w:tcPr>
            <w:tcW w:type="dxa" w:w="1987"/>
            <w:vAlign w:val="center"/>
          </w:tcPr>
          <w:p>
            <w:r>
              <w:t>60.5% (56.3%−64.6%)</w:t>
            </w:r>
          </w:p>
        </w:tc>
        <w:tc>
          <w:tcPr>
            <w:tcW w:type="dxa" w:w="1987"/>
            <w:vAlign w:val="center"/>
          </w:tcPr>
          <w:p>
            <w:r>
              <w:t>1241</w:t>
            </w:r>
          </w:p>
        </w:tc>
        <w:tc>
          <w:tcPr>
            <w:tcW w:type="dxa" w:w="1987"/>
            <w:vAlign w:val="center"/>
          </w:tcPr>
          <w:p>
            <w:r>
              <w:t>696</w:t>
            </w:r>
          </w:p>
        </w:tc>
      </w:tr>
      <w:tr>
        <w:trPr>
          <w:cantSplit/>
        </w:trPr>
        <w:tc>
          <w:tcPr>
            <w:tcW w:type="dxa" w:w="1987"/>
            <w:vAlign w:val="center"/>
          </w:tcPr>
          <w:p>
            <w:r>
              <w:t>Primary modified Poisson</w:t>
            </w:r>
          </w:p>
        </w:tc>
        <w:tc>
          <w:tcPr>
            <w:tcW w:type="dxa" w:w="1987"/>
            <w:vAlign w:val="center"/>
          </w:tcPr>
          <w:p>
            <w:r>
              <w:t>Regular exercise</w:t>
            </w:r>
          </w:p>
        </w:tc>
        <w:tc>
          <w:tcPr>
            <w:tcW w:type="dxa" w:w="1987"/>
            <w:vAlign w:val="center"/>
          </w:tcPr>
          <w:p>
            <w:r>
              <w:t>52.5% (48.9%−56.1%)</w:t>
            </w:r>
          </w:p>
        </w:tc>
        <w:tc>
          <w:tcPr>
            <w:tcW w:type="dxa" w:w="1987"/>
            <w:vAlign w:val="center"/>
          </w:tcPr>
          <w:p>
            <w:r>
              <w:t>1241</w:t>
            </w:r>
          </w:p>
        </w:tc>
        <w:tc>
          <w:tcPr>
            <w:tcW w:type="dxa" w:w="1987"/>
            <w:vAlign w:val="center"/>
          </w:tcPr>
          <w:p>
            <w:r>
              <w:t>696</w:t>
            </w:r>
          </w:p>
        </w:tc>
      </w:tr>
      <w:tr>
        <w:trPr>
          <w:cantSplit/>
        </w:trPr>
        <w:tc>
          <w:tcPr>
            <w:tcW w:type="dxa" w:w="1987"/>
            <w:vAlign w:val="center"/>
          </w:tcPr>
          <w:p>
            <w:r>
              <w:t>Primary modified Poisson</w:t>
            </w:r>
          </w:p>
        </w:tc>
        <w:tc>
          <w:tcPr>
            <w:tcW w:type="dxa" w:w="1987"/>
            <w:vAlign w:val="center"/>
          </w:tcPr>
          <w:p>
            <w:r>
              <w:t>Risk difference: exercise minus no exercise</w:t>
            </w:r>
          </w:p>
        </w:tc>
        <w:tc>
          <w:tcPr>
            <w:tcW w:type="dxa" w:w="1987"/>
            <w:vAlign w:val="center"/>
          </w:tcPr>
          <w:p>
            <w:r>
              <w:t>−8.0 percentage points (95% CI −13.8 to −2.2)</w:t>
            </w:r>
          </w:p>
        </w:tc>
        <w:tc>
          <w:tcPr>
            <w:tcW w:type="dxa" w:w="1987"/>
            <w:vAlign w:val="center"/>
          </w:tcPr>
          <w:p>
            <w:r>
              <w:t>1241</w:t>
            </w:r>
          </w:p>
        </w:tc>
        <w:tc>
          <w:tcPr>
            <w:tcW w:type="dxa" w:w="1987"/>
            <w:vAlign w:val="center"/>
          </w:tcPr>
          <w:p>
            <w:r>
              <w:t>696</w:t>
            </w:r>
          </w:p>
        </w:tc>
      </w:tr>
      <w:tr>
        <w:trPr>
          <w:cantSplit/>
        </w:trPr>
        <w:tc>
          <w:tcPr>
            <w:tcW w:type="dxa" w:w="1987"/>
            <w:vAlign w:val="center"/>
          </w:tcPr>
          <w:p>
            <w:r>
              <w:t>Health-reserve modified Poisson</w:t>
            </w:r>
          </w:p>
        </w:tc>
        <w:tc>
          <w:tcPr>
            <w:tcW w:type="dxa" w:w="1987"/>
            <w:vAlign w:val="center"/>
          </w:tcPr>
          <w:p>
            <w:r>
              <w:t>No regular exercise</w:t>
            </w:r>
          </w:p>
        </w:tc>
        <w:tc>
          <w:tcPr>
            <w:tcW w:type="dxa" w:w="1987"/>
            <w:vAlign w:val="center"/>
          </w:tcPr>
          <w:p>
            <w:r>
              <w:t>59.4% (55.1%−63.7%)</w:t>
            </w:r>
          </w:p>
        </w:tc>
        <w:tc>
          <w:tcPr>
            <w:tcW w:type="dxa" w:w="1987"/>
            <w:vAlign w:val="center"/>
          </w:tcPr>
          <w:p>
            <w:r>
              <w:t>1184</w:t>
            </w:r>
          </w:p>
        </w:tc>
        <w:tc>
          <w:tcPr>
            <w:tcW w:type="dxa" w:w="1987"/>
            <w:vAlign w:val="center"/>
          </w:tcPr>
          <w:p>
            <w:r>
              <w:t>662</w:t>
            </w:r>
          </w:p>
        </w:tc>
      </w:tr>
      <w:tr>
        <w:trPr>
          <w:cantSplit/>
        </w:trPr>
        <w:tc>
          <w:tcPr>
            <w:tcW w:type="dxa" w:w="1987"/>
            <w:vAlign w:val="center"/>
          </w:tcPr>
          <w:p>
            <w:r>
              <w:t>Health-reserve modified Poisson</w:t>
            </w:r>
          </w:p>
        </w:tc>
        <w:tc>
          <w:tcPr>
            <w:tcW w:type="dxa" w:w="1987"/>
            <w:vAlign w:val="center"/>
          </w:tcPr>
          <w:p>
            <w:r>
              <w:t>Regular exercise</w:t>
            </w:r>
          </w:p>
        </w:tc>
        <w:tc>
          <w:tcPr>
            <w:tcW w:type="dxa" w:w="1987"/>
            <w:vAlign w:val="center"/>
          </w:tcPr>
          <w:p>
            <w:r>
              <w:t>52.8% (49.1%−56.6%)</w:t>
            </w:r>
          </w:p>
        </w:tc>
        <w:tc>
          <w:tcPr>
            <w:tcW w:type="dxa" w:w="1987"/>
            <w:vAlign w:val="center"/>
          </w:tcPr>
          <w:p>
            <w:r>
              <w:t>1184</w:t>
            </w:r>
          </w:p>
        </w:tc>
        <w:tc>
          <w:tcPr>
            <w:tcW w:type="dxa" w:w="1987"/>
            <w:vAlign w:val="center"/>
          </w:tcPr>
          <w:p>
            <w:r>
              <w:t>662</w:t>
            </w:r>
          </w:p>
        </w:tc>
      </w:tr>
      <w:tr>
        <w:trPr>
          <w:cantSplit/>
        </w:trPr>
        <w:tc>
          <w:tcPr>
            <w:tcW w:type="dxa" w:w="1987"/>
            <w:vAlign w:val="center"/>
          </w:tcPr>
          <w:p>
            <w:r>
              <w:t>Health-reserve modified Poisson</w:t>
            </w:r>
          </w:p>
        </w:tc>
        <w:tc>
          <w:tcPr>
            <w:tcW w:type="dxa" w:w="1987"/>
            <w:vAlign w:val="center"/>
          </w:tcPr>
          <w:p>
            <w:r>
              <w:t>Risk difference: exercise minus no exercise</w:t>
            </w:r>
          </w:p>
        </w:tc>
        <w:tc>
          <w:tcPr>
            <w:tcW w:type="dxa" w:w="1987"/>
            <w:vAlign w:val="center"/>
          </w:tcPr>
          <w:p>
            <w:r>
              <w:t>−6.6 percentage points (95% CI −12.7 to −0.4)</w:t>
            </w:r>
          </w:p>
        </w:tc>
        <w:tc>
          <w:tcPr>
            <w:tcW w:type="dxa" w:w="1987"/>
            <w:vAlign w:val="center"/>
          </w:tcPr>
          <w:p>
            <w:r>
              <w:t>1184</w:t>
            </w:r>
          </w:p>
        </w:tc>
        <w:tc>
          <w:tcPr>
            <w:tcW w:type="dxa" w:w="1987"/>
            <w:vAlign w:val="center"/>
          </w:tcPr>
          <w:p>
            <w:r>
              <w:t>662</w:t>
            </w:r>
          </w:p>
        </w:tc>
      </w:tr>
    </w:tbl>
    <w:p/>
    <w:p>
      <w:pPr>
        <w:spacing w:line="240" w:lineRule="auto" w:after="120"/>
      </w:pPr>
      <w:r>
        <w:rPr>
          <w:rFonts w:ascii="Times New Roman" w:hAnsi="Times New Roman" w:eastAsia="Times New Roman"/>
          <w:b/>
          <w:sz w:val="20"/>
        </w:rPr>
        <w:t xml:space="preserve">Note: </w:t>
      </w:r>
      <w:r>
        <w:rPr>
          <w:rFonts w:ascii="Times New Roman" w:hAnsi="Times New Roman" w:eastAsia="Times New Roman"/>
          <w:sz w:val="20"/>
        </w:rPr>
        <w:t>Risk differences are standardized model-based associations and should not be interpreted as intervention effects.</w:t>
      </w:r>
    </w:p>
    <w:p>
      <w:pPr>
        <w:pStyle w:val="Heading2"/>
      </w:pPr>
      <w:r>
        <w:rPr>
          <w:rFonts w:ascii="Times New Roman" w:hAnsi="Times New Roman" w:eastAsia="Times New Roman"/>
          <w:b/>
        </w:rPr>
        <w:t>Supplementary Table S4. Key robustness and outcome-boundary analyses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1419"/>
        <w:gridCol w:w="1419"/>
        <w:gridCol w:w="1419"/>
        <w:gridCol w:w="1419"/>
        <w:gridCol w:w="1419"/>
        <w:gridCol w:w="1419"/>
        <w:gridCol w:w="1419"/>
      </w:tblGrid>
      <w:tr>
        <w:trPr>
          <w:tblHeader/>
          <w:cantSplit/>
        </w:trPr>
        <w:tc>
          <w:tcPr>
            <w:tcW w:type="dxa" w:w="1419"/>
            <w:vAlign w:val="center"/>
          </w:tcPr>
          <w:p>
            <w:r>
              <w:t>Analysis</w:t>
            </w:r>
          </w:p>
        </w:tc>
        <w:tc>
          <w:tcPr>
            <w:tcW w:type="dxa" w:w="1419"/>
            <w:vAlign w:val="center"/>
          </w:tcPr>
          <w:p>
            <w:r>
              <w:t>Metric</w:t>
            </w:r>
          </w:p>
        </w:tc>
        <w:tc>
          <w:tcPr>
            <w:tcW w:type="dxa" w:w="1419"/>
            <w:vAlign w:val="center"/>
          </w:tcPr>
          <w:p>
            <w:r>
              <w:t>Outcome</w:t>
            </w:r>
          </w:p>
        </w:tc>
        <w:tc>
          <w:tcPr>
            <w:tcW w:type="dxa" w:w="1419"/>
            <w:vAlign w:val="center"/>
          </w:tcPr>
          <w:p>
            <w:r>
              <w:t>Estimate (95% CI)</w:t>
            </w:r>
          </w:p>
        </w:tc>
        <w:tc>
          <w:tcPr>
            <w:tcW w:type="dxa" w:w="1419"/>
            <w:vAlign w:val="center"/>
          </w:tcPr>
          <w:p>
            <w:r>
              <w:t>P value</w:t>
            </w:r>
          </w:p>
        </w:tc>
        <w:tc>
          <w:tcPr>
            <w:tcW w:type="dxa" w:w="1419"/>
            <w:vAlign w:val="center"/>
          </w:tcPr>
          <w:p>
            <w:r>
              <w:t>N intervals</w:t>
            </w:r>
          </w:p>
        </w:tc>
        <w:tc>
          <w:tcPr>
            <w:tcW w:type="dxa" w:w="1419"/>
            <w:vAlign w:val="center"/>
          </w:tcPr>
          <w:p>
            <w:r>
              <w:t>Events</w:t>
            </w:r>
          </w:p>
        </w:tc>
      </w:tr>
      <w:tr>
        <w:trPr>
          <w:cantSplit/>
        </w:trPr>
        <w:tc>
          <w:tcPr>
            <w:tcW w:type="dxa" w:w="1419"/>
            <w:vAlign w:val="center"/>
          </w:tcPr>
          <w:p>
            <w:r>
              <w:t>Primary model</w:t>
            </w:r>
          </w:p>
        </w:tc>
        <w:tc>
          <w:tcPr>
            <w:tcW w:type="dxa" w:w="1419"/>
            <w:vAlign w:val="center"/>
          </w:tcPr>
          <w:p>
            <w:r>
              <w:t>RR</w:t>
            </w:r>
          </w:p>
        </w:tc>
        <w:tc>
          <w:tcPr>
            <w:tcW w:type="dxa" w:w="1419"/>
            <w:vAlign w:val="center"/>
          </w:tcPr>
          <w:p>
            <w:r>
              <w:t>ADL/IADL limitation or death</w:t>
            </w:r>
          </w:p>
        </w:tc>
        <w:tc>
          <w:tcPr>
            <w:tcW w:type="dxa" w:w="1419"/>
            <w:vAlign w:val="center"/>
          </w:tcPr>
          <w:p>
            <w:r>
              <w:t>0.87 (0.78–0.96)</w:t>
            </w:r>
          </w:p>
        </w:tc>
        <w:tc>
          <w:tcPr>
            <w:tcW w:type="dxa" w:w="1419"/>
            <w:vAlign w:val="center"/>
          </w:tcPr>
          <w:p>
            <w:r>
              <w:t>0.007</w:t>
            </w:r>
          </w:p>
        </w:tc>
        <w:tc>
          <w:tcPr>
            <w:tcW w:type="dxa" w:w="1419"/>
            <w:vAlign w:val="center"/>
          </w:tcPr>
          <w:p>
            <w:r>
              <w:t>1241</w:t>
            </w:r>
          </w:p>
        </w:tc>
        <w:tc>
          <w:tcPr>
            <w:tcW w:type="dxa" w:w="1419"/>
            <w:vAlign w:val="center"/>
          </w:tcPr>
          <w:p>
            <w:r>
              <w:t>696</w:t>
            </w:r>
          </w:p>
        </w:tc>
      </w:tr>
      <w:tr>
        <w:trPr>
          <w:cantSplit/>
        </w:trPr>
        <w:tc>
          <w:tcPr>
            <w:tcW w:type="dxa" w:w="1419"/>
            <w:vAlign w:val="center"/>
          </w:tcPr>
          <w:p>
            <w:r>
              <w:t>Health-reserve model</w:t>
            </w:r>
          </w:p>
        </w:tc>
        <w:tc>
          <w:tcPr>
            <w:tcW w:type="dxa" w:w="1419"/>
            <w:vAlign w:val="center"/>
          </w:tcPr>
          <w:p>
            <w:r>
              <w:t>RR</w:t>
            </w:r>
          </w:p>
        </w:tc>
        <w:tc>
          <w:tcPr>
            <w:tcW w:type="dxa" w:w="1419"/>
            <w:vAlign w:val="center"/>
          </w:tcPr>
          <w:p>
            <w:r>
              <w:t>ADL/IADL limitation or death</w:t>
            </w:r>
          </w:p>
        </w:tc>
        <w:tc>
          <w:tcPr>
            <w:tcW w:type="dxa" w:w="1419"/>
            <w:vAlign w:val="center"/>
          </w:tcPr>
          <w:p>
            <w:r>
              <w:t>0.89 (0.80–0.99)</w:t>
            </w:r>
          </w:p>
        </w:tc>
        <w:tc>
          <w:tcPr>
            <w:tcW w:type="dxa" w:w="1419"/>
            <w:vAlign w:val="center"/>
          </w:tcPr>
          <w:p>
            <w:r>
              <w:t>0.033</w:t>
            </w:r>
          </w:p>
        </w:tc>
        <w:tc>
          <w:tcPr>
            <w:tcW w:type="dxa" w:w="1419"/>
            <w:vAlign w:val="center"/>
          </w:tcPr>
          <w:p>
            <w:r>
              <w:t>1184</w:t>
            </w:r>
          </w:p>
        </w:tc>
        <w:tc>
          <w:tcPr>
            <w:tcW w:type="dxa" w:w="1419"/>
            <w:vAlign w:val="center"/>
          </w:tcPr>
          <w:p>
            <w:r>
              <w:t>662</w:t>
            </w:r>
          </w:p>
        </w:tc>
      </w:tr>
      <w:tr>
        <w:trPr>
          <w:cantSplit/>
        </w:trPr>
        <w:tc>
          <w:tcPr>
            <w:tcW w:type="dxa" w:w="1419"/>
            <w:vAlign w:val="center"/>
          </w:tcPr>
          <w:p>
            <w:r>
              <w:t>IPW model (5th-95th trim)</w:t>
            </w:r>
          </w:p>
        </w:tc>
        <w:tc>
          <w:tcPr>
            <w:tcW w:type="dxa" w:w="1419"/>
            <w:vAlign w:val="center"/>
          </w:tcPr>
          <w:p>
            <w:r>
              <w:t>RR</w:t>
            </w:r>
          </w:p>
        </w:tc>
        <w:tc>
          <w:tcPr>
            <w:tcW w:type="dxa" w:w="1419"/>
            <w:vAlign w:val="center"/>
          </w:tcPr>
          <w:p>
            <w:r>
              <w:t>ADL/IADL limitation or death</w:t>
            </w:r>
          </w:p>
        </w:tc>
        <w:tc>
          <w:tcPr>
            <w:tcW w:type="dxa" w:w="1419"/>
            <w:vAlign w:val="center"/>
          </w:tcPr>
          <w:p>
            <w:r>
              <w:t>0.87 (0.78–0.96)</w:t>
            </w:r>
          </w:p>
        </w:tc>
        <w:tc>
          <w:tcPr>
            <w:tcW w:type="dxa" w:w="1419"/>
            <w:vAlign w:val="center"/>
          </w:tcPr>
          <w:p>
            <w:r>
              <w:t>0.007</w:t>
            </w:r>
          </w:p>
        </w:tc>
        <w:tc>
          <w:tcPr>
            <w:tcW w:type="dxa" w:w="1419"/>
            <w:vAlign w:val="center"/>
          </w:tcPr>
          <w:p>
            <w:r>
              <w:t>1241</w:t>
            </w:r>
          </w:p>
        </w:tc>
        <w:tc>
          <w:tcPr>
            <w:tcW w:type="dxa" w:w="1419"/>
            <w:vAlign w:val="center"/>
          </w:tcPr>
          <w:p>
            <w:r>
              <w:t>696</w:t>
            </w:r>
          </w:p>
        </w:tc>
      </w:tr>
      <w:tr>
        <w:trPr>
          <w:cantSplit/>
        </w:trPr>
        <w:tc>
          <w:tcPr>
            <w:tcW w:type="dxa" w:w="1419"/>
            <w:vAlign w:val="center"/>
          </w:tcPr>
          <w:p>
            <w:r>
              <w:t>IPW + health-reserve model</w:t>
            </w:r>
          </w:p>
        </w:tc>
        <w:tc>
          <w:tcPr>
            <w:tcW w:type="dxa" w:w="1419"/>
            <w:vAlign w:val="center"/>
          </w:tcPr>
          <w:p>
            <w:r>
              <w:t>RR</w:t>
            </w:r>
          </w:p>
        </w:tc>
        <w:tc>
          <w:tcPr>
            <w:tcW w:type="dxa" w:w="1419"/>
            <w:vAlign w:val="center"/>
          </w:tcPr>
          <w:p>
            <w:r>
              <w:t>ADL/IADL limitation or death</w:t>
            </w:r>
          </w:p>
        </w:tc>
        <w:tc>
          <w:tcPr>
            <w:tcW w:type="dxa" w:w="1419"/>
            <w:vAlign w:val="center"/>
          </w:tcPr>
          <w:p>
            <w:r>
              <w:t>0.89 (0.80–0.99)</w:t>
            </w:r>
          </w:p>
        </w:tc>
        <w:tc>
          <w:tcPr>
            <w:tcW w:type="dxa" w:w="1419"/>
            <w:vAlign w:val="center"/>
          </w:tcPr>
          <w:p>
            <w:r>
              <w:t>0.031</w:t>
            </w:r>
          </w:p>
        </w:tc>
        <w:tc>
          <w:tcPr>
            <w:tcW w:type="dxa" w:w="1419"/>
            <w:vAlign w:val="center"/>
          </w:tcPr>
          <w:p>
            <w:r>
              <w:t>1184</w:t>
            </w:r>
          </w:p>
        </w:tc>
        <w:tc>
          <w:tcPr>
            <w:tcW w:type="dxa" w:w="1419"/>
            <w:vAlign w:val="center"/>
          </w:tcPr>
          <w:p>
            <w:r>
              <w:t>662</w:t>
            </w:r>
          </w:p>
        </w:tc>
      </w:tr>
      <w:tr>
        <w:trPr>
          <w:cantSplit/>
        </w:trPr>
        <w:tc>
          <w:tcPr>
            <w:tcW w:type="dxa" w:w="1419"/>
            <w:vAlign w:val="center"/>
          </w:tcPr>
          <w:p>
            <w:r>
              <w:t>Logistic regression model</w:t>
            </w:r>
          </w:p>
        </w:tc>
        <w:tc>
          <w:tcPr>
            <w:tcW w:type="dxa" w:w="1419"/>
            <w:vAlign w:val="center"/>
          </w:tcPr>
          <w:p>
            <w:r>
              <w:t>OR</w:t>
            </w:r>
          </w:p>
        </w:tc>
        <w:tc>
          <w:tcPr>
            <w:tcW w:type="dxa" w:w="1419"/>
            <w:vAlign w:val="center"/>
          </w:tcPr>
          <w:p>
            <w:r>
              <w:t>ADL/IADL limitation or death</w:t>
            </w:r>
          </w:p>
        </w:tc>
        <w:tc>
          <w:tcPr>
            <w:tcW w:type="dxa" w:w="1419"/>
            <w:vAlign w:val="center"/>
          </w:tcPr>
          <w:p>
            <w:r>
              <w:t>0.68 (0.51–0.89)</w:t>
            </w:r>
          </w:p>
        </w:tc>
        <w:tc>
          <w:tcPr>
            <w:tcW w:type="dxa" w:w="1419"/>
            <w:vAlign w:val="center"/>
          </w:tcPr>
          <w:p>
            <w:r>
              <w:t>0.004</w:t>
            </w:r>
          </w:p>
        </w:tc>
        <w:tc>
          <w:tcPr>
            <w:tcW w:type="dxa" w:w="1419"/>
            <w:vAlign w:val="center"/>
          </w:tcPr>
          <w:p>
            <w:r>
              <w:t>1241</w:t>
            </w:r>
          </w:p>
        </w:tc>
        <w:tc>
          <w:tcPr>
            <w:tcW w:type="dxa" w:w="1419"/>
            <w:vAlign w:val="center"/>
          </w:tcPr>
          <w:p>
            <w:r>
              <w:t>696</w:t>
            </w:r>
          </w:p>
        </w:tc>
      </w:tr>
      <w:tr>
        <w:trPr>
          <w:cantSplit/>
        </w:trPr>
        <w:tc>
          <w:tcPr>
            <w:tcW w:type="dxa" w:w="1419"/>
            <w:vAlign w:val="center"/>
          </w:tcPr>
          <w:p>
            <w:r>
              <w:t>Composite excluding mobility items</w:t>
            </w:r>
          </w:p>
        </w:tc>
        <w:tc>
          <w:tcPr>
            <w:tcW w:type="dxa" w:w="1419"/>
            <w:vAlign w:val="center"/>
          </w:tcPr>
          <w:p>
            <w:r>
              <w:t>RR</w:t>
            </w:r>
          </w:p>
        </w:tc>
        <w:tc>
          <w:tcPr>
            <w:tcW w:type="dxa" w:w="1419"/>
            <w:vAlign w:val="center"/>
          </w:tcPr>
          <w:p>
            <w:r>
              <w:t>Composite without 3 mobility items</w:t>
            </w:r>
          </w:p>
        </w:tc>
        <w:tc>
          <w:tcPr>
            <w:tcW w:type="dxa" w:w="1419"/>
            <w:vAlign w:val="center"/>
          </w:tcPr>
          <w:p>
            <w:r>
              <w:t>0.84 (0.73–0.97)</w:t>
            </w:r>
          </w:p>
        </w:tc>
        <w:tc>
          <w:tcPr>
            <w:tcW w:type="dxa" w:w="1419"/>
            <w:vAlign w:val="center"/>
          </w:tcPr>
          <w:p>
            <w:r>
              <w:t>0.015</w:t>
            </w:r>
          </w:p>
        </w:tc>
        <w:tc>
          <w:tcPr>
            <w:tcW w:type="dxa" w:w="1419"/>
            <w:vAlign w:val="center"/>
          </w:tcPr>
          <w:p>
            <w:r>
              <w:t>1241</w:t>
            </w:r>
          </w:p>
        </w:tc>
        <w:tc>
          <w:tcPr>
            <w:tcW w:type="dxa" w:w="1419"/>
            <w:vAlign w:val="center"/>
          </w:tcPr>
          <w:p>
            <w:r>
              <w:t>513</w:t>
            </w:r>
          </w:p>
        </w:tc>
      </w:tr>
      <w:tr>
        <w:trPr>
          <w:cantSplit/>
        </w:trPr>
        <w:tc>
          <w:tcPr>
            <w:tcW w:type="dxa" w:w="1419"/>
            <w:vAlign w:val="center"/>
          </w:tcPr>
          <w:p>
            <w:r>
              <w:t>Community/domestic + death</w:t>
            </w:r>
          </w:p>
        </w:tc>
        <w:tc>
          <w:tcPr>
            <w:tcW w:type="dxa" w:w="1419"/>
            <w:vAlign w:val="center"/>
          </w:tcPr>
          <w:p>
            <w:r>
              <w:t>RR</w:t>
            </w:r>
          </w:p>
        </w:tc>
        <w:tc>
          <w:tcPr>
            <w:tcW w:type="dxa" w:w="1419"/>
            <w:vAlign w:val="center"/>
          </w:tcPr>
          <w:p>
            <w:r>
              <w:t>Community/domestic IADL limitation or death</w:t>
            </w:r>
          </w:p>
        </w:tc>
        <w:tc>
          <w:tcPr>
            <w:tcW w:type="dxa" w:w="1419"/>
            <w:vAlign w:val="center"/>
          </w:tcPr>
          <w:p>
            <w:r>
              <w:t>0.83 (0.72–0.96)</w:t>
            </w:r>
          </w:p>
        </w:tc>
        <w:tc>
          <w:tcPr>
            <w:tcW w:type="dxa" w:w="1419"/>
            <w:vAlign w:val="center"/>
          </w:tcPr>
          <w:p>
            <w:r>
              <w:t>0.010</w:t>
            </w:r>
          </w:p>
        </w:tc>
        <w:tc>
          <w:tcPr>
            <w:tcW w:type="dxa" w:w="1419"/>
            <w:vAlign w:val="center"/>
          </w:tcPr>
          <w:p>
            <w:r>
              <w:t>1241</w:t>
            </w:r>
          </w:p>
        </w:tc>
        <w:tc>
          <w:tcPr>
            <w:tcW w:type="dxa" w:w="1419"/>
            <w:vAlign w:val="center"/>
          </w:tcPr>
          <w:p>
            <w:r>
              <w:t>490</w:t>
            </w:r>
          </w:p>
        </w:tc>
      </w:tr>
      <w:tr>
        <w:trPr>
          <w:cantSplit/>
        </w:trPr>
        <w:tc>
          <w:tcPr>
            <w:tcW w:type="dxa" w:w="1419"/>
            <w:vAlign w:val="center"/>
          </w:tcPr>
          <w:p>
            <w:r>
              <w:t>Community/domestic + death; health reserve</w:t>
            </w:r>
          </w:p>
        </w:tc>
        <w:tc>
          <w:tcPr>
            <w:tcW w:type="dxa" w:w="1419"/>
            <w:vAlign w:val="center"/>
          </w:tcPr>
          <w:p>
            <w:r>
              <w:t>RR</w:t>
            </w:r>
          </w:p>
        </w:tc>
        <w:tc>
          <w:tcPr>
            <w:tcW w:type="dxa" w:w="1419"/>
            <w:vAlign w:val="center"/>
          </w:tcPr>
          <w:p>
            <w:r>
              <w:t>Community/domestic IADL limitation or death</w:t>
            </w:r>
          </w:p>
        </w:tc>
        <w:tc>
          <w:tcPr>
            <w:tcW w:type="dxa" w:w="1419"/>
            <w:vAlign w:val="center"/>
          </w:tcPr>
          <w:p>
            <w:r>
              <w:t>0.83 (0.71–0.96)</w:t>
            </w:r>
          </w:p>
        </w:tc>
        <w:tc>
          <w:tcPr>
            <w:tcW w:type="dxa" w:w="1419"/>
            <w:vAlign w:val="center"/>
          </w:tcPr>
          <w:p>
            <w:r>
              <w:t>0.015</w:t>
            </w:r>
          </w:p>
        </w:tc>
        <w:tc>
          <w:tcPr>
            <w:tcW w:type="dxa" w:w="1419"/>
            <w:vAlign w:val="center"/>
          </w:tcPr>
          <w:p>
            <w:r>
              <w:t>1184</w:t>
            </w:r>
          </w:p>
        </w:tc>
        <w:tc>
          <w:tcPr>
            <w:tcW w:type="dxa" w:w="1419"/>
            <w:vAlign w:val="center"/>
          </w:tcPr>
          <w:p>
            <w:r>
              <w:t>464</w:t>
            </w:r>
          </w:p>
        </w:tc>
      </w:tr>
    </w:tbl>
    <w:p/>
    <w:p>
      <w:pPr>
        <w:pStyle w:val="Heading2"/>
      </w:pPr>
      <w:r>
        <w:rPr>
          <w:rFonts w:ascii="Times New Roman" w:hAnsi="Times New Roman" w:eastAsia="Times New Roman"/>
          <w:b/>
        </w:rPr>
        <w:t>Supplementary Table S5. Events by follow-up interval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1656"/>
        <w:gridCol w:w="1656"/>
        <w:gridCol w:w="1656"/>
        <w:gridCol w:w="1656"/>
        <w:gridCol w:w="1656"/>
        <w:gridCol w:w="1656"/>
      </w:tblGrid>
      <w:tr>
        <w:trPr>
          <w:tblHeader/>
          <w:cantSplit/>
        </w:trPr>
        <w:tc>
          <w:tcPr>
            <w:tcW w:type="dxa" w:w="1656"/>
            <w:vAlign w:val="center"/>
          </w:tcPr>
          <w:p>
            <w:r>
              <w:t>From wave</w:t>
            </w:r>
          </w:p>
        </w:tc>
        <w:tc>
          <w:tcPr>
            <w:tcW w:type="dxa" w:w="1656"/>
            <w:vAlign w:val="center"/>
          </w:tcPr>
          <w:p>
            <w:r>
              <w:t>To wave</w:t>
            </w:r>
          </w:p>
        </w:tc>
        <w:tc>
          <w:tcPr>
            <w:tcW w:type="dxa" w:w="1656"/>
            <w:vAlign w:val="center"/>
          </w:tcPr>
          <w:p>
            <w:r>
              <w:t>At-risk intervals</w:t>
            </w:r>
          </w:p>
        </w:tc>
        <w:tc>
          <w:tcPr>
            <w:tcW w:type="dxa" w:w="1656"/>
            <w:vAlign w:val="center"/>
          </w:tcPr>
          <w:p>
            <w:r>
              <w:t>Composite events</w:t>
            </w:r>
          </w:p>
        </w:tc>
        <w:tc>
          <w:tcPr>
            <w:tcW w:type="dxa" w:w="1656"/>
            <w:vAlign w:val="center"/>
          </w:tcPr>
          <w:p>
            <w:r>
              <w:t>Deaths</w:t>
            </w:r>
          </w:p>
        </w:tc>
        <w:tc>
          <w:tcPr>
            <w:tcW w:type="dxa" w:w="1656"/>
            <w:vAlign w:val="center"/>
          </w:tcPr>
          <w:p>
            <w:r>
              <w:t>Functional limitation</w:t>
            </w:r>
          </w:p>
        </w:tc>
      </w:tr>
      <w:tr>
        <w:trPr>
          <w:cantSplit/>
        </w:trPr>
        <w:tc>
          <w:tcPr>
            <w:tcW w:type="dxa" w:w="1656"/>
            <w:vAlign w:val="center"/>
          </w:tcPr>
          <w:p>
            <w:r>
              <w:t>2008</w:t>
            </w:r>
          </w:p>
        </w:tc>
        <w:tc>
          <w:tcPr>
            <w:tcW w:type="dxa" w:w="1656"/>
            <w:vAlign w:val="center"/>
          </w:tcPr>
          <w:p>
            <w:r>
              <w:t>2011/2012</w:t>
            </w:r>
          </w:p>
        </w:tc>
        <w:tc>
          <w:tcPr>
            <w:tcW w:type="dxa" w:w="1656"/>
            <w:vAlign w:val="center"/>
          </w:tcPr>
          <w:p>
            <w:r>
              <w:t>645</w:t>
            </w:r>
          </w:p>
        </w:tc>
        <w:tc>
          <w:tcPr>
            <w:tcW w:type="dxa" w:w="1656"/>
            <w:vAlign w:val="center"/>
          </w:tcPr>
          <w:p>
            <w:r>
              <w:t>361</w:t>
            </w:r>
          </w:p>
        </w:tc>
        <w:tc>
          <w:tcPr>
            <w:tcW w:type="dxa" w:w="1656"/>
            <w:vAlign w:val="center"/>
          </w:tcPr>
          <w:p>
            <w:r>
              <w:t>93</w:t>
            </w:r>
          </w:p>
        </w:tc>
        <w:tc>
          <w:tcPr>
            <w:tcW w:type="dxa" w:w="1656"/>
            <w:vAlign w:val="center"/>
          </w:tcPr>
          <w:p>
            <w:r>
              <w:t>268</w:t>
            </w:r>
          </w:p>
        </w:tc>
      </w:tr>
      <w:tr>
        <w:trPr>
          <w:cantSplit/>
        </w:trPr>
        <w:tc>
          <w:tcPr>
            <w:tcW w:type="dxa" w:w="1656"/>
            <w:vAlign w:val="center"/>
          </w:tcPr>
          <w:p>
            <w:r>
              <w:t>2011/2012</w:t>
            </w:r>
          </w:p>
        </w:tc>
        <w:tc>
          <w:tcPr>
            <w:tcW w:type="dxa" w:w="1656"/>
            <w:vAlign w:val="center"/>
          </w:tcPr>
          <w:p>
            <w:r>
              <w:t>2014</w:t>
            </w:r>
          </w:p>
        </w:tc>
        <w:tc>
          <w:tcPr>
            <w:tcW w:type="dxa" w:w="1656"/>
            <w:vAlign w:val="center"/>
          </w:tcPr>
          <w:p>
            <w:r>
              <w:t>374</w:t>
            </w:r>
          </w:p>
        </w:tc>
        <w:tc>
          <w:tcPr>
            <w:tcW w:type="dxa" w:w="1656"/>
            <w:vAlign w:val="center"/>
          </w:tcPr>
          <w:p>
            <w:r>
              <w:t>198</w:t>
            </w:r>
          </w:p>
        </w:tc>
        <w:tc>
          <w:tcPr>
            <w:tcW w:type="dxa" w:w="1656"/>
            <w:vAlign w:val="center"/>
          </w:tcPr>
          <w:p>
            <w:r>
              <w:t>45</w:t>
            </w:r>
          </w:p>
        </w:tc>
        <w:tc>
          <w:tcPr>
            <w:tcW w:type="dxa" w:w="1656"/>
            <w:vAlign w:val="center"/>
          </w:tcPr>
          <w:p>
            <w:r>
              <w:t>153</w:t>
            </w:r>
          </w:p>
        </w:tc>
      </w:tr>
      <w:tr>
        <w:trPr>
          <w:cantSplit/>
        </w:trPr>
        <w:tc>
          <w:tcPr>
            <w:tcW w:type="dxa" w:w="1656"/>
            <w:vAlign w:val="center"/>
          </w:tcPr>
          <w:p>
            <w:r>
              <w:t>2014</w:t>
            </w:r>
          </w:p>
        </w:tc>
        <w:tc>
          <w:tcPr>
            <w:tcW w:type="dxa" w:w="1656"/>
            <w:vAlign w:val="center"/>
          </w:tcPr>
          <w:p>
            <w:r>
              <w:t>2018</w:t>
            </w:r>
          </w:p>
        </w:tc>
        <w:tc>
          <w:tcPr>
            <w:tcW w:type="dxa" w:w="1656"/>
            <w:vAlign w:val="center"/>
          </w:tcPr>
          <w:p>
            <w:r>
              <w:t>222</w:t>
            </w:r>
          </w:p>
        </w:tc>
        <w:tc>
          <w:tcPr>
            <w:tcW w:type="dxa" w:w="1656"/>
            <w:vAlign w:val="center"/>
          </w:tcPr>
          <w:p>
            <w:r>
              <w:t>137</w:t>
            </w:r>
          </w:p>
        </w:tc>
        <w:tc>
          <w:tcPr>
            <w:tcW w:type="dxa" w:w="1656"/>
            <w:vAlign w:val="center"/>
          </w:tcPr>
          <w:p>
            <w:r>
              <w:t>31</w:t>
            </w:r>
          </w:p>
        </w:tc>
        <w:tc>
          <w:tcPr>
            <w:tcW w:type="dxa" w:w="1656"/>
            <w:vAlign w:val="center"/>
          </w:tcPr>
          <w:p>
            <w:r>
              <w:t>106</w:t>
            </w:r>
          </w:p>
        </w:tc>
      </w:tr>
    </w:tbl>
    <w:p/>
    <w:p>
      <w:pPr>
        <w:pStyle w:val="Heading2"/>
      </w:pPr>
      <w:r>
        <w:rPr>
          <w:rFonts w:ascii="Times New Roman" w:hAnsi="Times New Roman" w:eastAsia="Times New Roman"/>
          <w:b/>
        </w:rPr>
        <w:t>Supplementary Table S6. Complete at-risk intervals included versus excluded because of missing follow-up outcome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2484"/>
        <w:gridCol w:w="2484"/>
        <w:gridCol w:w="2484"/>
        <w:gridCol w:w="2484"/>
      </w:tblGrid>
      <w:tr>
        <w:trPr>
          <w:tblHeader/>
          <w:cantSplit/>
        </w:trPr>
        <w:tc>
          <w:tcPr>
            <w:tcW w:type="dxa" w:w="2484"/>
            <w:vAlign w:val="center"/>
          </w:tcPr>
          <w:p>
            <w:r>
              <w:t>Characteristic</w:t>
            </w:r>
          </w:p>
        </w:tc>
        <w:tc>
          <w:tcPr>
            <w:tcW w:type="dxa" w:w="2484"/>
            <w:vAlign w:val="center"/>
          </w:tcPr>
          <w:p>
            <w:r>
              <w:t>All complete at-risk intervals</w:t>
            </w:r>
          </w:p>
        </w:tc>
        <w:tc>
          <w:tcPr>
            <w:tcW w:type="dxa" w:w="2484"/>
            <w:vAlign w:val="center"/>
          </w:tcPr>
          <w:p>
            <w:r>
              <w:t>Included in analytic file</w:t>
            </w:r>
          </w:p>
        </w:tc>
        <w:tc>
          <w:tcPr>
            <w:tcW w:type="dxa" w:w="2484"/>
            <w:vAlign w:val="center"/>
          </w:tcPr>
          <w:p>
            <w:r>
              <w:t>Excluded: no observed follow-up outcome</w:t>
            </w:r>
          </w:p>
        </w:tc>
      </w:tr>
      <w:tr>
        <w:trPr>
          <w:cantSplit/>
        </w:trPr>
        <w:tc>
          <w:tcPr>
            <w:tcW w:type="dxa" w:w="2484"/>
            <w:vAlign w:val="center"/>
          </w:tcPr>
          <w:p>
            <w:r>
              <w:t>N person-intervals</w:t>
            </w:r>
          </w:p>
        </w:tc>
        <w:tc>
          <w:tcPr>
            <w:tcW w:type="dxa" w:w="2484"/>
            <w:vAlign w:val="center"/>
          </w:tcPr>
          <w:p>
            <w:r>
              <w:t>1,499</w:t>
            </w:r>
          </w:p>
        </w:tc>
        <w:tc>
          <w:tcPr>
            <w:tcW w:type="dxa" w:w="2484"/>
            <w:vAlign w:val="center"/>
          </w:tcPr>
          <w:p>
            <w:r>
              <w:t>1,241</w:t>
            </w:r>
          </w:p>
        </w:tc>
        <w:tc>
          <w:tcPr>
            <w:tcW w:type="dxa" w:w="2484"/>
            <w:vAlign w:val="center"/>
          </w:tcPr>
          <w:p>
            <w:r>
              <w:t>258</w:t>
            </w:r>
          </w:p>
        </w:tc>
      </w:tr>
      <w:tr>
        <w:trPr>
          <w:cantSplit/>
        </w:trPr>
        <w:tc>
          <w:tcPr>
            <w:tcW w:type="dxa" w:w="2484"/>
            <w:vAlign w:val="center"/>
          </w:tcPr>
          <w:p>
            <w:r>
              <w:t>Age, years</w:t>
            </w:r>
          </w:p>
        </w:tc>
        <w:tc>
          <w:tcPr>
            <w:tcW w:type="dxa" w:w="2484"/>
            <w:vAlign w:val="center"/>
          </w:tcPr>
          <w:p>
            <w:r>
              <w:t>76.3 (7.5)</w:t>
            </w:r>
          </w:p>
        </w:tc>
        <w:tc>
          <w:tcPr>
            <w:tcW w:type="dxa" w:w="2484"/>
            <w:vAlign w:val="center"/>
          </w:tcPr>
          <w:p>
            <w:r>
              <w:t>76.3 (7.5)</w:t>
            </w:r>
          </w:p>
        </w:tc>
        <w:tc>
          <w:tcPr>
            <w:tcW w:type="dxa" w:w="2484"/>
            <w:vAlign w:val="center"/>
          </w:tcPr>
          <w:p>
            <w:r>
              <w:t>76.4 (7.4)</w:t>
            </w:r>
          </w:p>
        </w:tc>
      </w:tr>
      <w:tr>
        <w:trPr>
          <w:cantSplit/>
        </w:trPr>
        <w:tc>
          <w:tcPr>
            <w:tcW w:type="dxa" w:w="2484"/>
            <w:vAlign w:val="center"/>
          </w:tcPr>
          <w:p>
            <w:r>
              <w:t>Female</w:t>
            </w:r>
          </w:p>
        </w:tc>
        <w:tc>
          <w:tcPr>
            <w:tcW w:type="dxa" w:w="2484"/>
            <w:vAlign w:val="center"/>
          </w:tcPr>
          <w:p>
            <w:r>
              <w:t>693 (46.2%)</w:t>
            </w:r>
          </w:p>
        </w:tc>
        <w:tc>
          <w:tcPr>
            <w:tcW w:type="dxa" w:w="2484"/>
            <w:vAlign w:val="center"/>
          </w:tcPr>
          <w:p>
            <w:r>
              <w:t>552 (44.5%)</w:t>
            </w:r>
          </w:p>
        </w:tc>
        <w:tc>
          <w:tcPr>
            <w:tcW w:type="dxa" w:w="2484"/>
            <w:vAlign w:val="center"/>
          </w:tcPr>
          <w:p>
            <w:r>
              <w:t>141 (54.7%)</w:t>
            </w:r>
          </w:p>
        </w:tc>
      </w:tr>
      <w:tr>
        <w:trPr>
          <w:cantSplit/>
        </w:trPr>
        <w:tc>
          <w:tcPr>
            <w:tcW w:type="dxa" w:w="2484"/>
            <w:vAlign w:val="center"/>
          </w:tcPr>
          <w:p>
            <w:r>
              <w:t>Rural residence</w:t>
            </w:r>
          </w:p>
        </w:tc>
        <w:tc>
          <w:tcPr>
            <w:tcW w:type="dxa" w:w="2484"/>
            <w:vAlign w:val="center"/>
          </w:tcPr>
          <w:p>
            <w:r>
              <w:t>636 (42.4%)</w:t>
            </w:r>
          </w:p>
        </w:tc>
        <w:tc>
          <w:tcPr>
            <w:tcW w:type="dxa" w:w="2484"/>
            <w:vAlign w:val="center"/>
          </w:tcPr>
          <w:p>
            <w:r>
              <w:t>551 (44.4%)</w:t>
            </w:r>
          </w:p>
        </w:tc>
        <w:tc>
          <w:tcPr>
            <w:tcW w:type="dxa" w:w="2484"/>
            <w:vAlign w:val="center"/>
          </w:tcPr>
          <w:p>
            <w:r>
              <w:t>85 (32.9%)</w:t>
            </w:r>
          </w:p>
        </w:tc>
      </w:tr>
      <w:tr>
        <w:trPr>
          <w:cantSplit/>
        </w:trPr>
        <w:tc>
          <w:tcPr>
            <w:tcW w:type="dxa" w:w="2484"/>
            <w:vAlign w:val="center"/>
          </w:tcPr>
          <w:p>
            <w:r>
              <w:t>Education, years</w:t>
            </w:r>
          </w:p>
        </w:tc>
        <w:tc>
          <w:tcPr>
            <w:tcW w:type="dxa" w:w="2484"/>
            <w:vAlign w:val="center"/>
          </w:tcPr>
          <w:p>
            <w:r>
              <w:t>4.2 (4.3)</w:t>
            </w:r>
          </w:p>
        </w:tc>
        <w:tc>
          <w:tcPr>
            <w:tcW w:type="dxa" w:w="2484"/>
            <w:vAlign w:val="center"/>
          </w:tcPr>
          <w:p>
            <w:r>
              <w:t>4.0 (4.3)</w:t>
            </w:r>
          </w:p>
        </w:tc>
        <w:tc>
          <w:tcPr>
            <w:tcW w:type="dxa" w:w="2484"/>
            <w:vAlign w:val="center"/>
          </w:tcPr>
          <w:p>
            <w:r>
              <w:t>4.9 (4.7)</w:t>
            </w:r>
          </w:p>
        </w:tc>
      </w:tr>
      <w:tr>
        <w:trPr>
          <w:cantSplit/>
        </w:trPr>
        <w:tc>
          <w:tcPr>
            <w:tcW w:type="dxa" w:w="2484"/>
            <w:vAlign w:val="center"/>
          </w:tcPr>
          <w:p>
            <w:r>
              <w:t>Currently married</w:t>
            </w:r>
          </w:p>
        </w:tc>
        <w:tc>
          <w:tcPr>
            <w:tcW w:type="dxa" w:w="2484"/>
            <w:vAlign w:val="center"/>
          </w:tcPr>
          <w:p>
            <w:r>
              <w:t>915 (61.0%)</w:t>
            </w:r>
          </w:p>
        </w:tc>
        <w:tc>
          <w:tcPr>
            <w:tcW w:type="dxa" w:w="2484"/>
            <w:vAlign w:val="center"/>
          </w:tcPr>
          <w:p>
            <w:r>
              <w:t>765 (61.6%)</w:t>
            </w:r>
          </w:p>
        </w:tc>
        <w:tc>
          <w:tcPr>
            <w:tcW w:type="dxa" w:w="2484"/>
            <w:vAlign w:val="center"/>
          </w:tcPr>
          <w:p>
            <w:r>
              <w:t>150 (58.1%)</w:t>
            </w:r>
          </w:p>
        </w:tc>
      </w:tr>
      <w:tr>
        <w:trPr>
          <w:cantSplit/>
        </w:trPr>
        <w:tc>
          <w:tcPr>
            <w:tcW w:type="dxa" w:w="2484"/>
            <w:vAlign w:val="center"/>
          </w:tcPr>
          <w:p>
            <w:r>
              <w:t>Chronic disease count</w:t>
            </w:r>
          </w:p>
        </w:tc>
        <w:tc>
          <w:tcPr>
            <w:tcW w:type="dxa" w:w="2484"/>
            <w:vAlign w:val="center"/>
          </w:tcPr>
          <w:p>
            <w:r>
              <w:t>2.4 (0.7)</w:t>
            </w:r>
          </w:p>
        </w:tc>
        <w:tc>
          <w:tcPr>
            <w:tcW w:type="dxa" w:w="2484"/>
            <w:vAlign w:val="center"/>
          </w:tcPr>
          <w:p>
            <w:r>
              <w:t>2.4 (0.7)</w:t>
            </w:r>
          </w:p>
        </w:tc>
        <w:tc>
          <w:tcPr>
            <w:tcW w:type="dxa" w:w="2484"/>
            <w:vAlign w:val="center"/>
          </w:tcPr>
          <w:p>
            <w:r>
              <w:t>2.5 (0.7)</w:t>
            </w:r>
          </w:p>
        </w:tc>
      </w:tr>
      <w:tr>
        <w:trPr>
          <w:cantSplit/>
        </w:trPr>
        <w:tc>
          <w:tcPr>
            <w:tcW w:type="dxa" w:w="2484"/>
            <w:vAlign w:val="center"/>
          </w:tcPr>
          <w:p>
            <w:r>
              <w:t>Social participation</w:t>
            </w:r>
          </w:p>
        </w:tc>
        <w:tc>
          <w:tcPr>
            <w:tcW w:type="dxa" w:w="2484"/>
            <w:vAlign w:val="center"/>
          </w:tcPr>
          <w:p>
            <w:r>
              <w:t>432 (28.8%)</w:t>
            </w:r>
          </w:p>
        </w:tc>
        <w:tc>
          <w:tcPr>
            <w:tcW w:type="dxa" w:w="2484"/>
            <w:vAlign w:val="center"/>
          </w:tcPr>
          <w:p>
            <w:r>
              <w:t>349 (28.1%)</w:t>
            </w:r>
          </w:p>
        </w:tc>
        <w:tc>
          <w:tcPr>
            <w:tcW w:type="dxa" w:w="2484"/>
            <w:vAlign w:val="center"/>
          </w:tcPr>
          <w:p>
            <w:r>
              <w:t>83 (32.2%)</w:t>
            </w:r>
          </w:p>
        </w:tc>
      </w:tr>
      <w:tr>
        <w:trPr>
          <w:cantSplit/>
        </w:trPr>
        <w:tc>
          <w:tcPr>
            <w:tcW w:type="dxa" w:w="2484"/>
            <w:vAlign w:val="center"/>
          </w:tcPr>
          <w:p>
            <w:r>
              <w:t>Regular exercise</w:t>
            </w:r>
          </w:p>
        </w:tc>
        <w:tc>
          <w:tcPr>
            <w:tcW w:type="dxa" w:w="2484"/>
            <w:vAlign w:val="center"/>
          </w:tcPr>
          <w:p>
            <w:r>
              <w:t>844 (56.3%)</w:t>
            </w:r>
          </w:p>
        </w:tc>
        <w:tc>
          <w:tcPr>
            <w:tcW w:type="dxa" w:w="2484"/>
            <w:vAlign w:val="center"/>
          </w:tcPr>
          <w:p>
            <w:r>
              <w:t>691 (55.7%)</w:t>
            </w:r>
          </w:p>
        </w:tc>
        <w:tc>
          <w:tcPr>
            <w:tcW w:type="dxa" w:w="2484"/>
            <w:vAlign w:val="center"/>
          </w:tcPr>
          <w:p>
            <w:r>
              <w:t>153 (59.3%)</w:t>
            </w:r>
          </w:p>
        </w:tc>
      </w:tr>
      <w:tr>
        <w:trPr>
          <w:cantSplit/>
        </w:trPr>
        <w:tc>
          <w:tcPr>
            <w:tcW w:type="dxa" w:w="2484"/>
            <w:vAlign w:val="center"/>
          </w:tcPr>
          <w:p>
            <w:r>
              <w:t>Good sleep</w:t>
            </w:r>
          </w:p>
        </w:tc>
        <w:tc>
          <w:tcPr>
            <w:tcW w:type="dxa" w:w="2484"/>
            <w:vAlign w:val="center"/>
          </w:tcPr>
          <w:p>
            <w:r>
              <w:t>935 (62.4%)</w:t>
            </w:r>
          </w:p>
        </w:tc>
        <w:tc>
          <w:tcPr>
            <w:tcW w:type="dxa" w:w="2484"/>
            <w:vAlign w:val="center"/>
          </w:tcPr>
          <w:p>
            <w:r>
              <w:t>773 (62.3%)</w:t>
            </w:r>
          </w:p>
        </w:tc>
        <w:tc>
          <w:tcPr>
            <w:tcW w:type="dxa" w:w="2484"/>
            <w:vAlign w:val="center"/>
          </w:tcPr>
          <w:p>
            <w:r>
              <w:t>162 (62.8%)</w:t>
            </w:r>
          </w:p>
        </w:tc>
      </w:tr>
      <w:tr>
        <w:trPr>
          <w:cantSplit/>
        </w:trPr>
        <w:tc>
          <w:tcPr>
            <w:tcW w:type="dxa" w:w="2484"/>
            <w:vAlign w:val="center"/>
          </w:tcPr>
          <w:p>
            <w:r>
              <w:t>Resource score</w:t>
            </w:r>
          </w:p>
        </w:tc>
        <w:tc>
          <w:tcPr>
            <w:tcW w:type="dxa" w:w="2484"/>
            <w:vAlign w:val="center"/>
          </w:tcPr>
          <w:p>
            <w:r>
              <w:t>1.5 (0.9)</w:t>
            </w:r>
          </w:p>
        </w:tc>
        <w:tc>
          <w:tcPr>
            <w:tcW w:type="dxa" w:w="2484"/>
            <w:vAlign w:val="center"/>
          </w:tcPr>
          <w:p>
            <w:r>
              <w:t>1.5 (0.9)</w:t>
            </w:r>
          </w:p>
        </w:tc>
        <w:tc>
          <w:tcPr>
            <w:tcW w:type="dxa" w:w="2484"/>
            <w:vAlign w:val="center"/>
          </w:tcPr>
          <w:p>
            <w:r>
              <w:t>1.5 (0.9)</w:t>
            </w:r>
          </w:p>
        </w:tc>
      </w:tr>
    </w:tbl>
    <w:p/>
    <w:p>
      <w:pPr>
        <w:pStyle w:val="Heading2"/>
      </w:pPr>
      <w:r>
        <w:rPr>
          <w:rFonts w:ascii="Times New Roman" w:hAnsi="Times New Roman" w:eastAsia="Times New Roman"/>
          <w:b/>
        </w:rPr>
        <w:t>Supplementary Table S7. Interval-specific regular-exercise associations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1419"/>
        <w:gridCol w:w="1419"/>
        <w:gridCol w:w="1419"/>
        <w:gridCol w:w="1419"/>
        <w:gridCol w:w="1419"/>
        <w:gridCol w:w="1419"/>
        <w:gridCol w:w="1419"/>
      </w:tblGrid>
      <w:tr>
        <w:trPr>
          <w:tblHeader/>
          <w:cantSplit/>
        </w:trPr>
        <w:tc>
          <w:tcPr>
            <w:tcW w:type="dxa" w:w="1419"/>
            <w:vAlign w:val="center"/>
          </w:tcPr>
          <w:p>
            <w:r>
              <w:t>Model</w:t>
            </w:r>
          </w:p>
        </w:tc>
        <w:tc>
          <w:tcPr>
            <w:tcW w:type="dxa" w:w="1419"/>
            <w:vAlign w:val="center"/>
          </w:tcPr>
          <w:p>
            <w:r>
              <w:t>Interval start</w:t>
            </w:r>
          </w:p>
        </w:tc>
        <w:tc>
          <w:tcPr>
            <w:tcW w:type="dxa" w:w="1419"/>
            <w:vAlign w:val="center"/>
          </w:tcPr>
          <w:p>
            <w:r>
              <w:t>RR (95% CI)</w:t>
            </w:r>
          </w:p>
        </w:tc>
        <w:tc>
          <w:tcPr>
            <w:tcW w:type="dxa" w:w="1419"/>
            <w:vAlign w:val="center"/>
          </w:tcPr>
          <w:p>
            <w:r>
              <w:t>P value</w:t>
            </w:r>
          </w:p>
        </w:tc>
        <w:tc>
          <w:tcPr>
            <w:tcW w:type="dxa" w:w="1419"/>
            <w:vAlign w:val="center"/>
          </w:tcPr>
          <w:p>
            <w:r>
              <w:t>N intervals</w:t>
            </w:r>
          </w:p>
        </w:tc>
        <w:tc>
          <w:tcPr>
            <w:tcW w:type="dxa" w:w="1419"/>
            <w:vAlign w:val="center"/>
          </w:tcPr>
          <w:p>
            <w:r>
              <w:t>Events</w:t>
            </w:r>
          </w:p>
        </w:tc>
        <w:tc>
          <w:tcPr>
            <w:tcW w:type="dxa" w:w="1419"/>
            <w:vAlign w:val="center"/>
          </w:tcPr>
          <w:p>
            <w:r>
              <w:t>Global interaction P</w:t>
            </w:r>
          </w:p>
        </w:tc>
      </w:tr>
      <w:tr>
        <w:trPr>
          <w:cantSplit/>
        </w:trPr>
        <w:tc>
          <w:tcPr>
            <w:tcW w:type="dxa" w:w="1419"/>
            <w:vAlign w:val="center"/>
          </w:tcPr>
          <w:p>
            <w:r>
              <w:t>Primary model</w:t>
            </w:r>
          </w:p>
        </w:tc>
        <w:tc>
          <w:tcPr>
            <w:tcW w:type="dxa" w:w="1419"/>
            <w:vAlign w:val="center"/>
          </w:tcPr>
          <w:p>
            <w:r>
              <w:t>2008</w:t>
            </w:r>
          </w:p>
        </w:tc>
        <w:tc>
          <w:tcPr>
            <w:tcW w:type="dxa" w:w="1419"/>
            <w:vAlign w:val="center"/>
          </w:tcPr>
          <w:p>
            <w:r>
              <w:t>0.80 (0.69–0.92)</w:t>
            </w:r>
          </w:p>
        </w:tc>
        <w:tc>
          <w:tcPr>
            <w:tcW w:type="dxa" w:w="1419"/>
            <w:vAlign w:val="center"/>
          </w:tcPr>
          <w:p>
            <w:r>
              <w:t>0.002</w:t>
            </w:r>
          </w:p>
        </w:tc>
        <w:tc>
          <w:tcPr>
            <w:tcW w:type="dxa" w:w="1419"/>
            <w:vAlign w:val="center"/>
          </w:tcPr>
          <w:p>
            <w:r>
              <w:t>645</w:t>
            </w:r>
          </w:p>
        </w:tc>
        <w:tc>
          <w:tcPr>
            <w:tcW w:type="dxa" w:w="1419"/>
            <w:vAlign w:val="center"/>
          </w:tcPr>
          <w:p>
            <w:r>
              <w:t>361</w:t>
            </w:r>
          </w:p>
        </w:tc>
        <w:tc>
          <w:tcPr>
            <w:tcW w:type="dxa" w:w="1419"/>
            <w:vAlign w:val="center"/>
          </w:tcPr>
          <w:p>
            <w:r>
              <w:t>0.051</w:t>
            </w:r>
          </w:p>
        </w:tc>
      </w:tr>
      <w:tr>
        <w:trPr>
          <w:cantSplit/>
        </w:trPr>
        <w:tc>
          <w:tcPr>
            <w:tcW w:type="dxa" w:w="1419"/>
            <w:vAlign w:val="center"/>
          </w:tcPr>
          <w:p>
            <w:r>
              <w:t>Primary model</w:t>
            </w:r>
          </w:p>
        </w:tc>
        <w:tc>
          <w:tcPr>
            <w:tcW w:type="dxa" w:w="1419"/>
            <w:vAlign w:val="center"/>
          </w:tcPr>
          <w:p>
            <w:r>
              <w:t>2011</w:t>
            </w:r>
          </w:p>
        </w:tc>
        <w:tc>
          <w:tcPr>
            <w:tcW w:type="dxa" w:w="1419"/>
            <w:vAlign w:val="center"/>
          </w:tcPr>
          <w:p>
            <w:r>
              <w:t>0.98 (0.80–1.20)</w:t>
            </w:r>
          </w:p>
        </w:tc>
        <w:tc>
          <w:tcPr>
            <w:tcW w:type="dxa" w:w="1419"/>
            <w:vAlign w:val="center"/>
          </w:tcPr>
          <w:p>
            <w:r>
              <w:t>0.818</w:t>
            </w:r>
          </w:p>
        </w:tc>
        <w:tc>
          <w:tcPr>
            <w:tcW w:type="dxa" w:w="1419"/>
            <w:vAlign w:val="center"/>
          </w:tcPr>
          <w:p>
            <w:r>
              <w:t>374</w:t>
            </w:r>
          </w:p>
        </w:tc>
        <w:tc>
          <w:tcPr>
            <w:tcW w:type="dxa" w:w="1419"/>
            <w:vAlign w:val="center"/>
          </w:tcPr>
          <w:p>
            <w:r>
              <w:t>198</w:t>
            </w:r>
          </w:p>
        </w:tc>
        <w:tc>
          <w:tcPr>
            <w:tcW w:type="dxa" w:w="1419"/>
            <w:vAlign w:val="center"/>
          </w:tcPr>
          <w:p>
            <w:r>
              <w:t>0.051</w:t>
            </w:r>
          </w:p>
        </w:tc>
      </w:tr>
      <w:tr>
        <w:trPr>
          <w:cantSplit/>
        </w:trPr>
        <w:tc>
          <w:tcPr>
            <w:tcW w:type="dxa" w:w="1419"/>
            <w:vAlign w:val="center"/>
          </w:tcPr>
          <w:p>
            <w:r>
              <w:t>Primary model</w:t>
            </w:r>
          </w:p>
        </w:tc>
        <w:tc>
          <w:tcPr>
            <w:tcW w:type="dxa" w:w="1419"/>
            <w:vAlign w:val="center"/>
          </w:tcPr>
          <w:p>
            <w:r>
              <w:t>2014</w:t>
            </w:r>
          </w:p>
        </w:tc>
        <w:tc>
          <w:tcPr>
            <w:tcW w:type="dxa" w:w="1419"/>
            <w:vAlign w:val="center"/>
          </w:tcPr>
          <w:p>
            <w:r>
              <w:t>0.87 (0.69–1.09)</w:t>
            </w:r>
          </w:p>
        </w:tc>
        <w:tc>
          <w:tcPr>
            <w:tcW w:type="dxa" w:w="1419"/>
            <w:vAlign w:val="center"/>
          </w:tcPr>
          <w:p>
            <w:r>
              <w:t>0.222</w:t>
            </w:r>
          </w:p>
        </w:tc>
        <w:tc>
          <w:tcPr>
            <w:tcW w:type="dxa" w:w="1419"/>
            <w:vAlign w:val="center"/>
          </w:tcPr>
          <w:p>
            <w:r>
              <w:t>222</w:t>
            </w:r>
          </w:p>
        </w:tc>
        <w:tc>
          <w:tcPr>
            <w:tcW w:type="dxa" w:w="1419"/>
            <w:vAlign w:val="center"/>
          </w:tcPr>
          <w:p>
            <w:r>
              <w:t>137</w:t>
            </w:r>
          </w:p>
        </w:tc>
        <w:tc>
          <w:tcPr>
            <w:tcW w:type="dxa" w:w="1419"/>
            <w:vAlign w:val="center"/>
          </w:tcPr>
          <w:p>
            <w:r>
              <w:t>0.051</w:t>
            </w:r>
          </w:p>
        </w:tc>
      </w:tr>
      <w:tr>
        <w:trPr>
          <w:cantSplit/>
        </w:trPr>
        <w:tc>
          <w:tcPr>
            <w:tcW w:type="dxa" w:w="1419"/>
            <w:vAlign w:val="center"/>
          </w:tcPr>
          <w:p>
            <w:r>
              <w:t>Health-reserve model</w:t>
            </w:r>
          </w:p>
        </w:tc>
        <w:tc>
          <w:tcPr>
            <w:tcW w:type="dxa" w:w="1419"/>
            <w:vAlign w:val="center"/>
          </w:tcPr>
          <w:p>
            <w:r>
              <w:t>2008</w:t>
            </w:r>
          </w:p>
        </w:tc>
        <w:tc>
          <w:tcPr>
            <w:tcW w:type="dxa" w:w="1419"/>
            <w:vAlign w:val="center"/>
          </w:tcPr>
          <w:p>
            <w:r>
              <w:t>0.83 (0.71–0.96)</w:t>
            </w:r>
          </w:p>
        </w:tc>
        <w:tc>
          <w:tcPr>
            <w:tcW w:type="dxa" w:w="1419"/>
            <w:vAlign w:val="center"/>
          </w:tcPr>
          <w:p>
            <w:r>
              <w:t>0.014</w:t>
            </w:r>
          </w:p>
        </w:tc>
        <w:tc>
          <w:tcPr>
            <w:tcW w:type="dxa" w:w="1419"/>
            <w:vAlign w:val="center"/>
          </w:tcPr>
          <w:p>
            <w:r>
              <w:t>638</w:t>
            </w:r>
          </w:p>
        </w:tc>
        <w:tc>
          <w:tcPr>
            <w:tcW w:type="dxa" w:w="1419"/>
            <w:vAlign w:val="center"/>
          </w:tcPr>
          <w:p>
            <w:r>
              <w:t>356</w:t>
            </w:r>
          </w:p>
        </w:tc>
        <w:tc>
          <w:tcPr>
            <w:tcW w:type="dxa" w:w="1419"/>
            <w:vAlign w:val="center"/>
          </w:tcPr>
          <w:p>
            <w:r>
              <w:t>0.072</w:t>
            </w:r>
          </w:p>
        </w:tc>
      </w:tr>
      <w:tr>
        <w:trPr>
          <w:cantSplit/>
        </w:trPr>
        <w:tc>
          <w:tcPr>
            <w:tcW w:type="dxa" w:w="1419"/>
            <w:vAlign w:val="center"/>
          </w:tcPr>
          <w:p>
            <w:r>
              <w:t>Health-reserve model</w:t>
            </w:r>
          </w:p>
        </w:tc>
        <w:tc>
          <w:tcPr>
            <w:tcW w:type="dxa" w:w="1419"/>
            <w:vAlign w:val="center"/>
          </w:tcPr>
          <w:p>
            <w:r>
              <w:t>2011</w:t>
            </w:r>
          </w:p>
        </w:tc>
        <w:tc>
          <w:tcPr>
            <w:tcW w:type="dxa" w:w="1419"/>
            <w:vAlign w:val="center"/>
          </w:tcPr>
          <w:p>
            <w:r>
              <w:t>1.05 (0.84–1.30)</w:t>
            </w:r>
          </w:p>
        </w:tc>
        <w:tc>
          <w:tcPr>
            <w:tcW w:type="dxa" w:w="1419"/>
            <w:vAlign w:val="center"/>
          </w:tcPr>
          <w:p>
            <w:r>
              <w:t>0.674</w:t>
            </w:r>
          </w:p>
        </w:tc>
        <w:tc>
          <w:tcPr>
            <w:tcW w:type="dxa" w:w="1419"/>
            <w:vAlign w:val="center"/>
          </w:tcPr>
          <w:p>
            <w:r>
              <w:t>340</w:t>
            </w:r>
          </w:p>
        </w:tc>
        <w:tc>
          <w:tcPr>
            <w:tcW w:type="dxa" w:w="1419"/>
            <w:vAlign w:val="center"/>
          </w:tcPr>
          <w:p>
            <w:r>
              <w:t>179</w:t>
            </w:r>
          </w:p>
        </w:tc>
        <w:tc>
          <w:tcPr>
            <w:tcW w:type="dxa" w:w="1419"/>
            <w:vAlign w:val="center"/>
          </w:tcPr>
          <w:p>
            <w:r>
              <w:t>0.072</w:t>
            </w:r>
          </w:p>
        </w:tc>
      </w:tr>
      <w:tr>
        <w:trPr>
          <w:cantSplit/>
        </w:trPr>
        <w:tc>
          <w:tcPr>
            <w:tcW w:type="dxa" w:w="1419"/>
            <w:vAlign w:val="center"/>
          </w:tcPr>
          <w:p>
            <w:r>
              <w:t>Health-reserve model</w:t>
            </w:r>
          </w:p>
        </w:tc>
        <w:tc>
          <w:tcPr>
            <w:tcW w:type="dxa" w:w="1419"/>
            <w:vAlign w:val="center"/>
          </w:tcPr>
          <w:p>
            <w:r>
              <w:t>2014</w:t>
            </w:r>
          </w:p>
        </w:tc>
        <w:tc>
          <w:tcPr>
            <w:tcW w:type="dxa" w:w="1419"/>
            <w:vAlign w:val="center"/>
          </w:tcPr>
          <w:p>
            <w:r>
              <w:t>0.78 (0.61–1.00)</w:t>
            </w:r>
          </w:p>
        </w:tc>
        <w:tc>
          <w:tcPr>
            <w:tcW w:type="dxa" w:w="1419"/>
            <w:vAlign w:val="center"/>
          </w:tcPr>
          <w:p>
            <w:r>
              <w:t>0.054</w:t>
            </w:r>
          </w:p>
        </w:tc>
        <w:tc>
          <w:tcPr>
            <w:tcW w:type="dxa" w:w="1419"/>
            <w:vAlign w:val="center"/>
          </w:tcPr>
          <w:p>
            <w:r>
              <w:t>206</w:t>
            </w:r>
          </w:p>
        </w:tc>
        <w:tc>
          <w:tcPr>
            <w:tcW w:type="dxa" w:w="1419"/>
            <w:vAlign w:val="center"/>
          </w:tcPr>
          <w:p>
            <w:r>
              <w:t>127</w:t>
            </w:r>
          </w:p>
        </w:tc>
        <w:tc>
          <w:tcPr>
            <w:tcW w:type="dxa" w:w="1419"/>
            <w:vAlign w:val="center"/>
          </w:tcPr>
          <w:p>
            <w:r>
              <w:t>0.072</w:t>
            </w:r>
          </w:p>
        </w:tc>
      </w:tr>
      <w:tr>
        <w:trPr>
          <w:cantSplit/>
        </w:trPr>
        <w:tc>
          <w:tcPr>
            <w:tcW w:type="dxa" w:w="1419"/>
            <w:vAlign w:val="center"/>
          </w:tcPr>
          <w:p>
            <w:r>
              <w:t>IPW model (5th-95th trim)</w:t>
            </w:r>
          </w:p>
        </w:tc>
        <w:tc>
          <w:tcPr>
            <w:tcW w:type="dxa" w:w="1419"/>
            <w:vAlign w:val="center"/>
          </w:tcPr>
          <w:p>
            <w:r>
              <w:t>2008</w:t>
            </w:r>
          </w:p>
        </w:tc>
        <w:tc>
          <w:tcPr>
            <w:tcW w:type="dxa" w:w="1419"/>
            <w:vAlign w:val="center"/>
          </w:tcPr>
          <w:p>
            <w:r>
              <w:t>0.80 (0.69–0.92)</w:t>
            </w:r>
          </w:p>
        </w:tc>
        <w:tc>
          <w:tcPr>
            <w:tcW w:type="dxa" w:w="1419"/>
            <w:vAlign w:val="center"/>
          </w:tcPr>
          <w:p>
            <w:r>
              <w:t>0.003</w:t>
            </w:r>
          </w:p>
        </w:tc>
        <w:tc>
          <w:tcPr>
            <w:tcW w:type="dxa" w:w="1419"/>
            <w:vAlign w:val="center"/>
          </w:tcPr>
          <w:p>
            <w:r>
              <w:t>645</w:t>
            </w:r>
          </w:p>
        </w:tc>
        <w:tc>
          <w:tcPr>
            <w:tcW w:type="dxa" w:w="1419"/>
            <w:vAlign w:val="center"/>
          </w:tcPr>
          <w:p>
            <w:r>
              <w:t>361</w:t>
            </w:r>
          </w:p>
        </w:tc>
        <w:tc>
          <w:tcPr>
            <w:tcW w:type="dxa" w:w="1419"/>
            <w:vAlign w:val="center"/>
          </w:tcPr>
          <w:p>
            <w:r>
              <w:t>0.042</w:t>
            </w:r>
          </w:p>
        </w:tc>
      </w:tr>
      <w:tr>
        <w:trPr>
          <w:cantSplit/>
        </w:trPr>
        <w:tc>
          <w:tcPr>
            <w:tcW w:type="dxa" w:w="1419"/>
            <w:vAlign w:val="center"/>
          </w:tcPr>
          <w:p>
            <w:r>
              <w:t>IPW model (5th-95th trim)</w:t>
            </w:r>
          </w:p>
        </w:tc>
        <w:tc>
          <w:tcPr>
            <w:tcW w:type="dxa" w:w="1419"/>
            <w:vAlign w:val="center"/>
          </w:tcPr>
          <w:p>
            <w:r>
              <w:t>2011</w:t>
            </w:r>
          </w:p>
        </w:tc>
        <w:tc>
          <w:tcPr>
            <w:tcW w:type="dxa" w:w="1419"/>
            <w:vAlign w:val="center"/>
          </w:tcPr>
          <w:p>
            <w:r>
              <w:t>0.98 (0.80–1.20)</w:t>
            </w:r>
          </w:p>
        </w:tc>
        <w:tc>
          <w:tcPr>
            <w:tcW w:type="dxa" w:w="1419"/>
            <w:vAlign w:val="center"/>
          </w:tcPr>
          <w:p>
            <w:r>
              <w:t>0.822</w:t>
            </w:r>
          </w:p>
        </w:tc>
        <w:tc>
          <w:tcPr>
            <w:tcW w:type="dxa" w:w="1419"/>
            <w:vAlign w:val="center"/>
          </w:tcPr>
          <w:p>
            <w:r>
              <w:t>374</w:t>
            </w:r>
          </w:p>
        </w:tc>
        <w:tc>
          <w:tcPr>
            <w:tcW w:type="dxa" w:w="1419"/>
            <w:vAlign w:val="center"/>
          </w:tcPr>
          <w:p>
            <w:r>
              <w:t>198</w:t>
            </w:r>
          </w:p>
        </w:tc>
        <w:tc>
          <w:tcPr>
            <w:tcW w:type="dxa" w:w="1419"/>
            <w:vAlign w:val="center"/>
          </w:tcPr>
          <w:p>
            <w:r>
              <w:t>0.042</w:t>
            </w:r>
          </w:p>
        </w:tc>
      </w:tr>
      <w:tr>
        <w:trPr>
          <w:cantSplit/>
        </w:trPr>
        <w:tc>
          <w:tcPr>
            <w:tcW w:type="dxa" w:w="1419"/>
            <w:vAlign w:val="center"/>
          </w:tcPr>
          <w:p>
            <w:r>
              <w:t>IPW model (5th-95th trim)</w:t>
            </w:r>
          </w:p>
        </w:tc>
        <w:tc>
          <w:tcPr>
            <w:tcW w:type="dxa" w:w="1419"/>
            <w:vAlign w:val="center"/>
          </w:tcPr>
          <w:p>
            <w:r>
              <w:t>2014</w:t>
            </w:r>
          </w:p>
        </w:tc>
        <w:tc>
          <w:tcPr>
            <w:tcW w:type="dxa" w:w="1419"/>
            <w:vAlign w:val="center"/>
          </w:tcPr>
          <w:p>
            <w:r>
              <w:t>0.87 (0.70–1.09)</w:t>
            </w:r>
          </w:p>
        </w:tc>
        <w:tc>
          <w:tcPr>
            <w:tcW w:type="dxa" w:w="1419"/>
            <w:vAlign w:val="center"/>
          </w:tcPr>
          <w:p>
            <w:r>
              <w:t>0.237</w:t>
            </w:r>
          </w:p>
        </w:tc>
        <w:tc>
          <w:tcPr>
            <w:tcW w:type="dxa" w:w="1419"/>
            <w:vAlign w:val="center"/>
          </w:tcPr>
          <w:p>
            <w:r>
              <w:t>222</w:t>
            </w:r>
          </w:p>
        </w:tc>
        <w:tc>
          <w:tcPr>
            <w:tcW w:type="dxa" w:w="1419"/>
            <w:vAlign w:val="center"/>
          </w:tcPr>
          <w:p>
            <w:r>
              <w:t>137</w:t>
            </w:r>
          </w:p>
        </w:tc>
        <w:tc>
          <w:tcPr>
            <w:tcW w:type="dxa" w:w="1419"/>
            <w:vAlign w:val="center"/>
          </w:tcPr>
          <w:p>
            <w:r>
              <w:t>0.042</w:t>
            </w:r>
          </w:p>
        </w:tc>
      </w:tr>
    </w:tbl>
    <w:p/>
    <w:p>
      <w:pPr>
        <w:spacing w:line="240" w:lineRule="auto" w:after="120"/>
      </w:pPr>
      <w:r>
        <w:rPr>
          <w:rFonts w:ascii="Times New Roman" w:hAnsi="Times New Roman" w:eastAsia="Times New Roman"/>
          <w:b/>
          <w:sz w:val="20"/>
        </w:rPr>
        <w:t xml:space="preserve">Note: </w:t>
      </w:r>
      <w:r>
        <w:rPr>
          <w:rFonts w:ascii="Times New Roman" w:hAnsi="Times New Roman" w:eastAsia="Times New Roman"/>
          <w:sz w:val="20"/>
        </w:rPr>
        <w:t>Global interaction P values are reported on the rows in which the interaction model provided a global test.</w:t>
      </w:r>
    </w:p>
    <w:p>
      <w:r>
        <w:br w:type="page"/>
      </w:r>
    </w:p>
    <w:p>
      <w:pPr>
        <w:pStyle w:val="Heading2"/>
      </w:pPr>
      <w:r>
        <w:t>Supplementary Table S8. Construct-overlap sensitivity analyses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1656"/>
        <w:gridCol w:w="1656"/>
        <w:gridCol w:w="1656"/>
        <w:gridCol w:w="1656"/>
        <w:gridCol w:w="1656"/>
        <w:gridCol w:w="1656"/>
      </w:tblGrid>
      <w:tr>
        <w:trPr>
          <w:tblHeader/>
          <w:cantSplit/>
        </w:trPr>
        <w:tc>
          <w:tcPr>
            <w:tcW w:type="dxa" w:w="1656"/>
            <w:vAlign w:val="center"/>
          </w:tcPr>
          <w:p>
            <w:r>
              <w:t>Analysis</w:t>
            </w:r>
          </w:p>
        </w:tc>
        <w:tc>
          <w:tcPr>
            <w:tcW w:type="dxa" w:w="1656"/>
            <w:vAlign w:val="center"/>
          </w:tcPr>
          <w:p>
            <w:r>
              <w:t>Outcome</w:t>
            </w:r>
          </w:p>
        </w:tc>
        <w:tc>
          <w:tcPr>
            <w:tcW w:type="dxa" w:w="1656"/>
            <w:vAlign w:val="center"/>
          </w:tcPr>
          <w:p>
            <w:r>
              <w:t>RR (95% CI)</w:t>
            </w:r>
          </w:p>
        </w:tc>
        <w:tc>
          <w:tcPr>
            <w:tcW w:type="dxa" w:w="1656"/>
            <w:vAlign w:val="center"/>
          </w:tcPr>
          <w:p>
            <w:r>
              <w:t>P value</w:t>
            </w:r>
          </w:p>
        </w:tc>
        <w:tc>
          <w:tcPr>
            <w:tcW w:type="dxa" w:w="1656"/>
            <w:vAlign w:val="center"/>
          </w:tcPr>
          <w:p>
            <w:r>
              <w:t>N intervals</w:t>
            </w:r>
          </w:p>
        </w:tc>
        <w:tc>
          <w:tcPr>
            <w:tcW w:type="dxa" w:w="1656"/>
            <w:vAlign w:val="center"/>
          </w:tcPr>
          <w:p>
            <w:r>
              <w:t>Events</w:t>
            </w:r>
          </w:p>
        </w:tc>
      </w:tr>
      <w:tr>
        <w:trPr>
          <w:cantSplit/>
        </w:trPr>
        <w:tc>
          <w:tcPr>
            <w:tcW w:type="dxa" w:w="1656"/>
            <w:vAlign w:val="center"/>
          </w:tcPr>
          <w:p>
            <w:r>
              <w:t>Primary model</w:t>
            </w:r>
          </w:p>
        </w:tc>
        <w:tc>
          <w:tcPr>
            <w:tcW w:type="dxa" w:w="1656"/>
            <w:vAlign w:val="center"/>
          </w:tcPr>
          <w:p>
            <w:r>
              <w:t>ADL/IADL limitation or death</w:t>
            </w:r>
          </w:p>
        </w:tc>
        <w:tc>
          <w:tcPr>
            <w:tcW w:type="dxa" w:w="1656"/>
            <w:vAlign w:val="center"/>
          </w:tcPr>
          <w:p>
            <w:r>
              <w:t>0.87 (0.78–0.96)</w:t>
            </w:r>
          </w:p>
        </w:tc>
        <w:tc>
          <w:tcPr>
            <w:tcW w:type="dxa" w:w="1656"/>
            <w:vAlign w:val="center"/>
          </w:tcPr>
          <w:p>
            <w:r>
              <w:t>0.007</w:t>
            </w:r>
          </w:p>
        </w:tc>
        <w:tc>
          <w:tcPr>
            <w:tcW w:type="dxa" w:w="1656"/>
            <w:vAlign w:val="center"/>
          </w:tcPr>
          <w:p>
            <w:r>
              <w:t>1241</w:t>
            </w:r>
          </w:p>
        </w:tc>
        <w:tc>
          <w:tcPr>
            <w:tcW w:type="dxa" w:w="1656"/>
            <w:vAlign w:val="center"/>
          </w:tcPr>
          <w:p>
            <w:r>
              <w:t>696</w:t>
            </w:r>
          </w:p>
        </w:tc>
      </w:tr>
      <w:tr>
        <w:trPr>
          <w:cantSplit/>
        </w:trPr>
        <w:tc>
          <w:tcPr>
            <w:tcW w:type="dxa" w:w="1656"/>
            <w:vAlign w:val="center"/>
          </w:tcPr>
          <w:p>
            <w:r>
              <w:t>Health-reserve model</w:t>
            </w:r>
          </w:p>
        </w:tc>
        <w:tc>
          <w:tcPr>
            <w:tcW w:type="dxa" w:w="1656"/>
            <w:vAlign w:val="center"/>
          </w:tcPr>
          <w:p>
            <w:r>
              <w:t>ADL/IADL limitation or death</w:t>
            </w:r>
          </w:p>
        </w:tc>
        <w:tc>
          <w:tcPr>
            <w:tcW w:type="dxa" w:w="1656"/>
            <w:vAlign w:val="center"/>
          </w:tcPr>
          <w:p>
            <w:r>
              <w:t>0.89 (0.80–0.99)</w:t>
            </w:r>
          </w:p>
        </w:tc>
        <w:tc>
          <w:tcPr>
            <w:tcW w:type="dxa" w:w="1656"/>
            <w:vAlign w:val="center"/>
          </w:tcPr>
          <w:p>
            <w:r>
              <w:t>0.033</w:t>
            </w:r>
          </w:p>
        </w:tc>
        <w:tc>
          <w:tcPr>
            <w:tcW w:type="dxa" w:w="1656"/>
            <w:vAlign w:val="center"/>
          </w:tcPr>
          <w:p>
            <w:r>
              <w:t>1184</w:t>
            </w:r>
          </w:p>
        </w:tc>
        <w:tc>
          <w:tcPr>
            <w:tcW w:type="dxa" w:w="1656"/>
            <w:vAlign w:val="center"/>
          </w:tcPr>
          <w:p>
            <w:r>
              <w:t>662</w:t>
            </w:r>
          </w:p>
        </w:tc>
      </w:tr>
      <w:tr>
        <w:trPr>
          <w:cantSplit/>
        </w:trPr>
        <w:tc>
          <w:tcPr>
            <w:tcW w:type="dxa" w:w="1656"/>
            <w:vAlign w:val="center"/>
          </w:tcPr>
          <w:p>
            <w:r>
              <w:t>No walking 1 km</w:t>
            </w:r>
          </w:p>
        </w:tc>
        <w:tc>
          <w:tcPr>
            <w:tcW w:type="dxa" w:w="1656"/>
            <w:vAlign w:val="center"/>
          </w:tcPr>
          <w:p>
            <w:r>
              <w:t>Composite without walking 1 km</w:t>
            </w:r>
          </w:p>
        </w:tc>
        <w:tc>
          <w:tcPr>
            <w:tcW w:type="dxa" w:w="1656"/>
            <w:vAlign w:val="center"/>
          </w:tcPr>
          <w:p>
            <w:r>
              <w:t>0.87 (0.78–0.97)</w:t>
            </w:r>
          </w:p>
        </w:tc>
        <w:tc>
          <w:tcPr>
            <w:tcW w:type="dxa" w:w="1656"/>
            <w:vAlign w:val="center"/>
          </w:tcPr>
          <w:p>
            <w:r>
              <w:t>0.012</w:t>
            </w:r>
          </w:p>
        </w:tc>
        <w:tc>
          <w:tcPr>
            <w:tcW w:type="dxa" w:w="1656"/>
            <w:vAlign w:val="center"/>
          </w:tcPr>
          <w:p>
            <w:r>
              <w:t>1241</w:t>
            </w:r>
          </w:p>
        </w:tc>
        <w:tc>
          <w:tcPr>
            <w:tcW w:type="dxa" w:w="1656"/>
            <w:vAlign w:val="center"/>
          </w:tcPr>
          <w:p>
            <w:r>
              <w:t>666</w:t>
            </w:r>
          </w:p>
        </w:tc>
      </w:tr>
      <w:tr>
        <w:trPr>
          <w:cantSplit/>
        </w:trPr>
        <w:tc>
          <w:tcPr>
            <w:tcW w:type="dxa" w:w="1656"/>
            <w:vAlign w:val="center"/>
          </w:tcPr>
          <w:p>
            <w:r>
              <w:t>No walking 1 km; health reserve</w:t>
            </w:r>
          </w:p>
        </w:tc>
        <w:tc>
          <w:tcPr>
            <w:tcW w:type="dxa" w:w="1656"/>
            <w:vAlign w:val="center"/>
          </w:tcPr>
          <w:p>
            <w:r>
              <w:t>Composite without walking 1 km</w:t>
            </w:r>
          </w:p>
        </w:tc>
        <w:tc>
          <w:tcPr>
            <w:tcW w:type="dxa" w:w="1656"/>
            <w:vAlign w:val="center"/>
          </w:tcPr>
          <w:p>
            <w:r>
              <w:t>0.89 (0.80–1.00)</w:t>
            </w:r>
          </w:p>
        </w:tc>
        <w:tc>
          <w:tcPr>
            <w:tcW w:type="dxa" w:w="1656"/>
            <w:vAlign w:val="center"/>
          </w:tcPr>
          <w:p>
            <w:r>
              <w:t>0.049</w:t>
            </w:r>
          </w:p>
        </w:tc>
        <w:tc>
          <w:tcPr>
            <w:tcW w:type="dxa" w:w="1656"/>
            <w:vAlign w:val="center"/>
          </w:tcPr>
          <w:p>
            <w:r>
              <w:t>1184</w:t>
            </w:r>
          </w:p>
        </w:tc>
        <w:tc>
          <w:tcPr>
            <w:tcW w:type="dxa" w:w="1656"/>
            <w:vAlign w:val="center"/>
          </w:tcPr>
          <w:p>
            <w:r>
              <w:t>634</w:t>
            </w:r>
          </w:p>
        </w:tc>
      </w:tr>
      <w:tr>
        <w:trPr>
          <w:cantSplit/>
        </w:trPr>
        <w:tc>
          <w:tcPr>
            <w:tcW w:type="dxa" w:w="1656"/>
            <w:vAlign w:val="center"/>
          </w:tcPr>
          <w:p>
            <w:r>
              <w:t>No carrying 5 kg</w:t>
            </w:r>
          </w:p>
        </w:tc>
        <w:tc>
          <w:tcPr>
            <w:tcW w:type="dxa" w:w="1656"/>
            <w:vAlign w:val="center"/>
          </w:tcPr>
          <w:p>
            <w:r>
              <w:t>Composite without carrying 5 kg</w:t>
            </w:r>
          </w:p>
        </w:tc>
        <w:tc>
          <w:tcPr>
            <w:tcW w:type="dxa" w:w="1656"/>
            <w:vAlign w:val="center"/>
          </w:tcPr>
          <w:p>
            <w:r>
              <w:t>0.85 (0.77–0.95)</w:t>
            </w:r>
          </w:p>
        </w:tc>
        <w:tc>
          <w:tcPr>
            <w:tcW w:type="dxa" w:w="1656"/>
            <w:vAlign w:val="center"/>
          </w:tcPr>
          <w:p>
            <w:r>
              <w:t>0.003</w:t>
            </w:r>
          </w:p>
        </w:tc>
        <w:tc>
          <w:tcPr>
            <w:tcW w:type="dxa" w:w="1656"/>
            <w:vAlign w:val="center"/>
          </w:tcPr>
          <w:p>
            <w:r>
              <w:t>1241</w:t>
            </w:r>
          </w:p>
        </w:tc>
        <w:tc>
          <w:tcPr>
            <w:tcW w:type="dxa" w:w="1656"/>
            <w:vAlign w:val="center"/>
          </w:tcPr>
          <w:p>
            <w:r>
              <w:t>664</w:t>
            </w:r>
          </w:p>
        </w:tc>
      </w:tr>
      <w:tr>
        <w:trPr>
          <w:cantSplit/>
        </w:trPr>
        <w:tc>
          <w:tcPr>
            <w:tcW w:type="dxa" w:w="1656"/>
            <w:vAlign w:val="center"/>
          </w:tcPr>
          <w:p>
            <w:r>
              <w:t>No carrying 5 kg; health reserve</w:t>
            </w:r>
          </w:p>
        </w:tc>
        <w:tc>
          <w:tcPr>
            <w:tcW w:type="dxa" w:w="1656"/>
            <w:vAlign w:val="center"/>
          </w:tcPr>
          <w:p>
            <w:r>
              <w:t>Composite without carrying 5 kg</w:t>
            </w:r>
          </w:p>
        </w:tc>
        <w:tc>
          <w:tcPr>
            <w:tcW w:type="dxa" w:w="1656"/>
            <w:vAlign w:val="center"/>
          </w:tcPr>
          <w:p>
            <w:r>
              <w:t>0.87 (0.78–0.98)</w:t>
            </w:r>
          </w:p>
        </w:tc>
        <w:tc>
          <w:tcPr>
            <w:tcW w:type="dxa" w:w="1656"/>
            <w:vAlign w:val="center"/>
          </w:tcPr>
          <w:p>
            <w:r>
              <w:t>0.020</w:t>
            </w:r>
          </w:p>
        </w:tc>
        <w:tc>
          <w:tcPr>
            <w:tcW w:type="dxa" w:w="1656"/>
            <w:vAlign w:val="center"/>
          </w:tcPr>
          <w:p>
            <w:r>
              <w:t>1184</w:t>
            </w:r>
          </w:p>
        </w:tc>
        <w:tc>
          <w:tcPr>
            <w:tcW w:type="dxa" w:w="1656"/>
            <w:vAlign w:val="center"/>
          </w:tcPr>
          <w:p>
            <w:r>
              <w:t>631</w:t>
            </w:r>
          </w:p>
        </w:tc>
      </w:tr>
      <w:tr>
        <w:trPr>
          <w:cantSplit/>
        </w:trPr>
        <w:tc>
          <w:tcPr>
            <w:tcW w:type="dxa" w:w="1656"/>
            <w:vAlign w:val="center"/>
          </w:tcPr>
          <w:p>
            <w:r>
              <w:t>No crouching/standing</w:t>
            </w:r>
          </w:p>
        </w:tc>
        <w:tc>
          <w:tcPr>
            <w:tcW w:type="dxa" w:w="1656"/>
            <w:vAlign w:val="center"/>
          </w:tcPr>
          <w:p>
            <w:r>
              <w:t>Composite without crouching/standing</w:t>
            </w:r>
          </w:p>
        </w:tc>
        <w:tc>
          <w:tcPr>
            <w:tcW w:type="dxa" w:w="1656"/>
            <w:vAlign w:val="center"/>
          </w:tcPr>
          <w:p>
            <w:r>
              <w:t>0.85 (0.76–0.95)</w:t>
            </w:r>
          </w:p>
        </w:tc>
        <w:tc>
          <w:tcPr>
            <w:tcW w:type="dxa" w:w="1656"/>
            <w:vAlign w:val="center"/>
          </w:tcPr>
          <w:p>
            <w:r>
              <w:t>0.006</w:t>
            </w:r>
          </w:p>
        </w:tc>
        <w:tc>
          <w:tcPr>
            <w:tcW w:type="dxa" w:w="1656"/>
            <w:vAlign w:val="center"/>
          </w:tcPr>
          <w:p>
            <w:r>
              <w:t>1241</w:t>
            </w:r>
          </w:p>
        </w:tc>
        <w:tc>
          <w:tcPr>
            <w:tcW w:type="dxa" w:w="1656"/>
            <w:vAlign w:val="center"/>
          </w:tcPr>
          <w:p>
            <w:r>
              <w:t>641</w:t>
            </w:r>
          </w:p>
        </w:tc>
      </w:tr>
      <w:tr>
        <w:trPr>
          <w:cantSplit/>
        </w:trPr>
        <w:tc>
          <w:tcPr>
            <w:tcW w:type="dxa" w:w="1656"/>
            <w:vAlign w:val="center"/>
          </w:tcPr>
          <w:p>
            <w:r>
              <w:t>No crouching/standing; health reserve</w:t>
            </w:r>
          </w:p>
        </w:tc>
        <w:tc>
          <w:tcPr>
            <w:tcW w:type="dxa" w:w="1656"/>
            <w:vAlign w:val="center"/>
          </w:tcPr>
          <w:p>
            <w:r>
              <w:t>Composite without crouching/standing</w:t>
            </w:r>
          </w:p>
        </w:tc>
        <w:tc>
          <w:tcPr>
            <w:tcW w:type="dxa" w:w="1656"/>
            <w:vAlign w:val="center"/>
          </w:tcPr>
          <w:p>
            <w:r>
              <w:t>0.86 (0.77–0.98)</w:t>
            </w:r>
          </w:p>
        </w:tc>
        <w:tc>
          <w:tcPr>
            <w:tcW w:type="dxa" w:w="1656"/>
            <w:vAlign w:val="center"/>
          </w:tcPr>
          <w:p>
            <w:r>
              <w:t>0.018</w:t>
            </w:r>
          </w:p>
        </w:tc>
        <w:tc>
          <w:tcPr>
            <w:tcW w:type="dxa" w:w="1656"/>
            <w:vAlign w:val="center"/>
          </w:tcPr>
          <w:p>
            <w:r>
              <w:t>1184</w:t>
            </w:r>
          </w:p>
        </w:tc>
        <w:tc>
          <w:tcPr>
            <w:tcW w:type="dxa" w:w="1656"/>
            <w:vAlign w:val="center"/>
          </w:tcPr>
          <w:p>
            <w:r>
              <w:t>608</w:t>
            </w:r>
          </w:p>
        </w:tc>
      </w:tr>
      <w:tr>
        <w:trPr>
          <w:cantSplit/>
        </w:trPr>
        <w:tc>
          <w:tcPr>
            <w:tcW w:type="dxa" w:w="1656"/>
            <w:vAlign w:val="center"/>
          </w:tcPr>
          <w:p>
            <w:r>
              <w:t>No 3 mobility items</w:t>
            </w:r>
          </w:p>
        </w:tc>
        <w:tc>
          <w:tcPr>
            <w:tcW w:type="dxa" w:w="1656"/>
            <w:vAlign w:val="center"/>
          </w:tcPr>
          <w:p>
            <w:r>
              <w:t>Composite without 3 mobility items</w:t>
            </w:r>
          </w:p>
        </w:tc>
        <w:tc>
          <w:tcPr>
            <w:tcW w:type="dxa" w:w="1656"/>
            <w:vAlign w:val="center"/>
          </w:tcPr>
          <w:p>
            <w:r>
              <w:t>0.84 (0.73–0.97)</w:t>
            </w:r>
          </w:p>
        </w:tc>
        <w:tc>
          <w:tcPr>
            <w:tcW w:type="dxa" w:w="1656"/>
            <w:vAlign w:val="center"/>
          </w:tcPr>
          <w:p>
            <w:r>
              <w:t>0.015</w:t>
            </w:r>
          </w:p>
        </w:tc>
        <w:tc>
          <w:tcPr>
            <w:tcW w:type="dxa" w:w="1656"/>
            <w:vAlign w:val="center"/>
          </w:tcPr>
          <w:p>
            <w:r>
              <w:t>1241</w:t>
            </w:r>
          </w:p>
        </w:tc>
        <w:tc>
          <w:tcPr>
            <w:tcW w:type="dxa" w:w="1656"/>
            <w:vAlign w:val="center"/>
          </w:tcPr>
          <w:p>
            <w:r>
              <w:t>513</w:t>
            </w:r>
          </w:p>
        </w:tc>
      </w:tr>
      <w:tr>
        <w:trPr>
          <w:cantSplit/>
        </w:trPr>
        <w:tc>
          <w:tcPr>
            <w:tcW w:type="dxa" w:w="1656"/>
            <w:vAlign w:val="center"/>
          </w:tcPr>
          <w:p>
            <w:r>
              <w:t>No 3 mobility items; health reserve</w:t>
            </w:r>
          </w:p>
        </w:tc>
        <w:tc>
          <w:tcPr>
            <w:tcW w:type="dxa" w:w="1656"/>
            <w:vAlign w:val="center"/>
          </w:tcPr>
          <w:p>
            <w:r>
              <w:t>Composite without 3 mobility items</w:t>
            </w:r>
          </w:p>
        </w:tc>
        <w:tc>
          <w:tcPr>
            <w:tcW w:type="dxa" w:w="1656"/>
            <w:vAlign w:val="center"/>
          </w:tcPr>
          <w:p>
            <w:r>
              <w:t>0.84 (0.72–0.97)</w:t>
            </w:r>
          </w:p>
        </w:tc>
        <w:tc>
          <w:tcPr>
            <w:tcW w:type="dxa" w:w="1656"/>
            <w:vAlign w:val="center"/>
          </w:tcPr>
          <w:p>
            <w:r>
              <w:t>0.020</w:t>
            </w:r>
          </w:p>
        </w:tc>
        <w:tc>
          <w:tcPr>
            <w:tcW w:type="dxa" w:w="1656"/>
            <w:vAlign w:val="center"/>
          </w:tcPr>
          <w:p>
            <w:r>
              <w:t>1184</w:t>
            </w:r>
          </w:p>
        </w:tc>
        <w:tc>
          <w:tcPr>
            <w:tcW w:type="dxa" w:w="1656"/>
            <w:vAlign w:val="center"/>
          </w:tcPr>
          <w:p>
            <w:r>
              <w:t>487</w:t>
            </w:r>
          </w:p>
        </w:tc>
      </w:tr>
      <w:tr>
        <w:trPr>
          <w:cantSplit/>
        </w:trPr>
        <w:tc>
          <w:tcPr>
            <w:tcW w:type="dxa" w:w="1656"/>
            <w:vAlign w:val="center"/>
          </w:tcPr>
          <w:p>
            <w:r>
              <w:t>Community/domestic + death</w:t>
            </w:r>
          </w:p>
        </w:tc>
        <w:tc>
          <w:tcPr>
            <w:tcW w:type="dxa" w:w="1656"/>
            <w:vAlign w:val="center"/>
          </w:tcPr>
          <w:p>
            <w:r>
              <w:t>Community/domestic IADL limitation or death</w:t>
            </w:r>
          </w:p>
        </w:tc>
        <w:tc>
          <w:tcPr>
            <w:tcW w:type="dxa" w:w="1656"/>
            <w:vAlign w:val="center"/>
          </w:tcPr>
          <w:p>
            <w:r>
              <w:t>0.83 (0.72–0.96)</w:t>
            </w:r>
          </w:p>
        </w:tc>
        <w:tc>
          <w:tcPr>
            <w:tcW w:type="dxa" w:w="1656"/>
            <w:vAlign w:val="center"/>
          </w:tcPr>
          <w:p>
            <w:r>
              <w:t>0.010</w:t>
            </w:r>
          </w:p>
        </w:tc>
        <w:tc>
          <w:tcPr>
            <w:tcW w:type="dxa" w:w="1656"/>
            <w:vAlign w:val="center"/>
          </w:tcPr>
          <w:p>
            <w:r>
              <w:t>1241</w:t>
            </w:r>
          </w:p>
        </w:tc>
        <w:tc>
          <w:tcPr>
            <w:tcW w:type="dxa" w:w="1656"/>
            <w:vAlign w:val="center"/>
          </w:tcPr>
          <w:p>
            <w:r>
              <w:t>490</w:t>
            </w:r>
          </w:p>
        </w:tc>
      </w:tr>
      <w:tr>
        <w:trPr>
          <w:cantSplit/>
        </w:trPr>
        <w:tc>
          <w:tcPr>
            <w:tcW w:type="dxa" w:w="1656"/>
            <w:vAlign w:val="center"/>
          </w:tcPr>
          <w:p>
            <w:r>
              <w:t>Community/domestic + death; health reserve</w:t>
            </w:r>
          </w:p>
        </w:tc>
        <w:tc>
          <w:tcPr>
            <w:tcW w:type="dxa" w:w="1656"/>
            <w:vAlign w:val="center"/>
          </w:tcPr>
          <w:p>
            <w:r>
              <w:t>Community/domestic IADL limitation or death</w:t>
            </w:r>
          </w:p>
        </w:tc>
        <w:tc>
          <w:tcPr>
            <w:tcW w:type="dxa" w:w="1656"/>
            <w:vAlign w:val="center"/>
          </w:tcPr>
          <w:p>
            <w:r>
              <w:t>0.83 (0.71–0.96)</w:t>
            </w:r>
          </w:p>
        </w:tc>
        <w:tc>
          <w:tcPr>
            <w:tcW w:type="dxa" w:w="1656"/>
            <w:vAlign w:val="center"/>
          </w:tcPr>
          <w:p>
            <w:r>
              <w:t>0.015</w:t>
            </w:r>
          </w:p>
        </w:tc>
        <w:tc>
          <w:tcPr>
            <w:tcW w:type="dxa" w:w="1656"/>
            <w:vAlign w:val="center"/>
          </w:tcPr>
          <w:p>
            <w:r>
              <w:t>1184</w:t>
            </w:r>
          </w:p>
        </w:tc>
        <w:tc>
          <w:tcPr>
            <w:tcW w:type="dxa" w:w="1656"/>
            <w:vAlign w:val="center"/>
          </w:tcPr>
          <w:p>
            <w:r>
              <w:t>464</w:t>
            </w:r>
          </w:p>
        </w:tc>
      </w:tr>
      <w:tr>
        <w:trPr>
          <w:cantSplit/>
        </w:trPr>
        <w:tc>
          <w:tcPr>
            <w:tcW w:type="dxa" w:w="1656"/>
            <w:vAlign w:val="center"/>
          </w:tcPr>
          <w:p>
            <w:r>
              <w:t>Domestic IADL + death</w:t>
            </w:r>
          </w:p>
        </w:tc>
        <w:tc>
          <w:tcPr>
            <w:tcW w:type="dxa" w:w="1656"/>
            <w:vAlign w:val="center"/>
          </w:tcPr>
          <w:p>
            <w:r>
              <w:t>Domestic IADL limitation or death</w:t>
            </w:r>
          </w:p>
        </w:tc>
        <w:tc>
          <w:tcPr>
            <w:tcW w:type="dxa" w:w="1656"/>
            <w:vAlign w:val="center"/>
          </w:tcPr>
          <w:p>
            <w:r>
              <w:t>0.86 (0.72–1.03)</w:t>
            </w:r>
          </w:p>
        </w:tc>
        <w:tc>
          <w:tcPr>
            <w:tcW w:type="dxa" w:w="1656"/>
            <w:vAlign w:val="center"/>
          </w:tcPr>
          <w:p>
            <w:r>
              <w:t>0.097</w:t>
            </w:r>
          </w:p>
        </w:tc>
        <w:tc>
          <w:tcPr>
            <w:tcW w:type="dxa" w:w="1656"/>
            <w:vAlign w:val="center"/>
          </w:tcPr>
          <w:p>
            <w:r>
              <w:t>1241</w:t>
            </w:r>
          </w:p>
        </w:tc>
        <w:tc>
          <w:tcPr>
            <w:tcW w:type="dxa" w:w="1656"/>
            <w:vAlign w:val="center"/>
          </w:tcPr>
          <w:p>
            <w:r>
              <w:t>374</w:t>
            </w:r>
          </w:p>
        </w:tc>
      </w:tr>
      <w:tr>
        <w:trPr>
          <w:cantSplit/>
        </w:trPr>
        <w:tc>
          <w:tcPr>
            <w:tcW w:type="dxa" w:w="1656"/>
            <w:vAlign w:val="center"/>
          </w:tcPr>
          <w:p>
            <w:r>
              <w:t>Domestic IADL + death; health reserve</w:t>
            </w:r>
          </w:p>
        </w:tc>
        <w:tc>
          <w:tcPr>
            <w:tcW w:type="dxa" w:w="1656"/>
            <w:vAlign w:val="center"/>
          </w:tcPr>
          <w:p>
            <w:r>
              <w:t>Domestic IADL limitation or death</w:t>
            </w:r>
          </w:p>
        </w:tc>
        <w:tc>
          <w:tcPr>
            <w:tcW w:type="dxa" w:w="1656"/>
            <w:vAlign w:val="center"/>
          </w:tcPr>
          <w:p>
            <w:r>
              <w:t>0.86 (0.71–1.04)</w:t>
            </w:r>
          </w:p>
        </w:tc>
        <w:tc>
          <w:tcPr>
            <w:tcW w:type="dxa" w:w="1656"/>
            <w:vAlign w:val="center"/>
          </w:tcPr>
          <w:p>
            <w:r>
              <w:t>0.123</w:t>
            </w:r>
          </w:p>
        </w:tc>
        <w:tc>
          <w:tcPr>
            <w:tcW w:type="dxa" w:w="1656"/>
            <w:vAlign w:val="center"/>
          </w:tcPr>
          <w:p>
            <w:r>
              <w:t>1184</w:t>
            </w:r>
          </w:p>
        </w:tc>
        <w:tc>
          <w:tcPr>
            <w:tcW w:type="dxa" w:w="1656"/>
            <w:vAlign w:val="center"/>
          </w:tcPr>
          <w:p>
            <w:r>
              <w:t>351</w:t>
            </w:r>
          </w:p>
        </w:tc>
      </w:tr>
      <w:tr>
        <w:trPr>
          <w:cantSplit/>
        </w:trPr>
        <w:tc>
          <w:tcPr>
            <w:tcW w:type="dxa" w:w="1656"/>
            <w:vAlign w:val="center"/>
          </w:tcPr>
          <w:p>
            <w:r>
              <w:t>Community/domestic, survivors</w:t>
            </w:r>
          </w:p>
        </w:tc>
        <w:tc>
          <w:tcPr>
            <w:tcW w:type="dxa" w:w="1656"/>
            <w:vAlign w:val="center"/>
          </w:tcPr>
          <w:p>
            <w:r>
              <w:t>Community/domestic IADL limitation among survivors</w:t>
            </w:r>
          </w:p>
        </w:tc>
        <w:tc>
          <w:tcPr>
            <w:tcW w:type="dxa" w:w="1656"/>
            <w:vAlign w:val="center"/>
          </w:tcPr>
          <w:p>
            <w:r>
              <w:t>0.81 (0.67–0.98)</w:t>
            </w:r>
          </w:p>
        </w:tc>
        <w:tc>
          <w:tcPr>
            <w:tcW w:type="dxa" w:w="1656"/>
            <w:vAlign w:val="center"/>
          </w:tcPr>
          <w:p>
            <w:r>
              <w:t>0.027</w:t>
            </w:r>
          </w:p>
        </w:tc>
        <w:tc>
          <w:tcPr>
            <w:tcW w:type="dxa" w:w="1656"/>
            <w:vAlign w:val="center"/>
          </w:tcPr>
          <w:p>
            <w:r>
              <w:t>1072</w:t>
            </w:r>
          </w:p>
        </w:tc>
        <w:tc>
          <w:tcPr>
            <w:tcW w:type="dxa" w:w="1656"/>
            <w:vAlign w:val="center"/>
          </w:tcPr>
          <w:p>
            <w:r>
              <w:t>321</w:t>
            </w:r>
          </w:p>
        </w:tc>
      </w:tr>
      <w:tr>
        <w:trPr>
          <w:cantSplit/>
        </w:trPr>
        <w:tc>
          <w:tcPr>
            <w:tcW w:type="dxa" w:w="1656"/>
            <w:vAlign w:val="center"/>
          </w:tcPr>
          <w:p>
            <w:r>
              <w:t>Community/domestic, survivors; health reserve</w:t>
            </w:r>
          </w:p>
        </w:tc>
        <w:tc>
          <w:tcPr>
            <w:tcW w:type="dxa" w:w="1656"/>
            <w:vAlign w:val="center"/>
          </w:tcPr>
          <w:p>
            <w:r>
              <w:t>Community/domestic IADL limitation among survivors</w:t>
            </w:r>
          </w:p>
        </w:tc>
        <w:tc>
          <w:tcPr>
            <w:tcW w:type="dxa" w:w="1656"/>
            <w:vAlign w:val="center"/>
          </w:tcPr>
          <w:p>
            <w:r>
              <w:t>0.79 (0.65–0.97)</w:t>
            </w:r>
          </w:p>
        </w:tc>
        <w:tc>
          <w:tcPr>
            <w:tcW w:type="dxa" w:w="1656"/>
            <w:vAlign w:val="center"/>
          </w:tcPr>
          <w:p>
            <w:r>
              <w:t>0.026</w:t>
            </w:r>
          </w:p>
        </w:tc>
        <w:tc>
          <w:tcPr>
            <w:tcW w:type="dxa" w:w="1656"/>
            <w:vAlign w:val="center"/>
          </w:tcPr>
          <w:p>
            <w:r>
              <w:t>1023</w:t>
            </w:r>
          </w:p>
        </w:tc>
        <w:tc>
          <w:tcPr>
            <w:tcW w:type="dxa" w:w="1656"/>
            <w:vAlign w:val="center"/>
          </w:tcPr>
          <w:p>
            <w:r>
              <w:t>303</w:t>
            </w:r>
          </w:p>
        </w:tc>
      </w:tr>
      <w:tr>
        <w:trPr>
          <w:cantSplit/>
        </w:trPr>
        <w:tc>
          <w:tcPr>
            <w:tcW w:type="dxa" w:w="1656"/>
            <w:vAlign w:val="center"/>
          </w:tcPr>
          <w:p>
            <w:r>
              <w:t>Domestic IADL, survivors</w:t>
            </w:r>
          </w:p>
        </w:tc>
        <w:tc>
          <w:tcPr>
            <w:tcW w:type="dxa" w:w="1656"/>
            <w:vAlign w:val="center"/>
          </w:tcPr>
          <w:p>
            <w:r>
              <w:t>Domestic IADL limitation among survivors</w:t>
            </w:r>
          </w:p>
        </w:tc>
        <w:tc>
          <w:tcPr>
            <w:tcW w:type="dxa" w:w="1656"/>
            <w:vAlign w:val="center"/>
          </w:tcPr>
          <w:p>
            <w:r>
              <w:t>0.89 (0.69–1.17)</w:t>
            </w:r>
          </w:p>
        </w:tc>
        <w:tc>
          <w:tcPr>
            <w:tcW w:type="dxa" w:w="1656"/>
            <w:vAlign w:val="center"/>
          </w:tcPr>
          <w:p>
            <w:r>
              <w:t>0.409</w:t>
            </w:r>
          </w:p>
        </w:tc>
        <w:tc>
          <w:tcPr>
            <w:tcW w:type="dxa" w:w="1656"/>
            <w:vAlign w:val="center"/>
          </w:tcPr>
          <w:p>
            <w:r>
              <w:t>1072</w:t>
            </w:r>
          </w:p>
        </w:tc>
        <w:tc>
          <w:tcPr>
            <w:tcW w:type="dxa" w:w="1656"/>
            <w:vAlign w:val="center"/>
          </w:tcPr>
          <w:p>
            <w:r>
              <w:t>205</w:t>
            </w:r>
          </w:p>
        </w:tc>
      </w:tr>
      <w:tr>
        <w:trPr>
          <w:cantSplit/>
        </w:trPr>
        <w:tc>
          <w:tcPr>
            <w:tcW w:type="dxa" w:w="1656"/>
            <w:vAlign w:val="center"/>
          </w:tcPr>
          <w:p>
            <w:r>
              <w:t>Domestic IADL, survivors; health reserve</w:t>
            </w:r>
          </w:p>
        </w:tc>
        <w:tc>
          <w:tcPr>
            <w:tcW w:type="dxa" w:w="1656"/>
            <w:vAlign w:val="center"/>
          </w:tcPr>
          <w:p>
            <w:r>
              <w:t>Domestic IADL limitation among survivors</w:t>
            </w:r>
          </w:p>
        </w:tc>
        <w:tc>
          <w:tcPr>
            <w:tcW w:type="dxa" w:w="1656"/>
            <w:vAlign w:val="center"/>
          </w:tcPr>
          <w:p>
            <w:r>
              <w:t>0.85 (0.64–1.13)</w:t>
            </w:r>
          </w:p>
        </w:tc>
        <w:tc>
          <w:tcPr>
            <w:tcW w:type="dxa" w:w="1656"/>
            <w:vAlign w:val="center"/>
          </w:tcPr>
          <w:p>
            <w:r>
              <w:t>0.276</w:t>
            </w:r>
          </w:p>
        </w:tc>
        <w:tc>
          <w:tcPr>
            <w:tcW w:type="dxa" w:w="1656"/>
            <w:vAlign w:val="center"/>
          </w:tcPr>
          <w:p>
            <w:r>
              <w:t>1023</w:t>
            </w:r>
          </w:p>
        </w:tc>
        <w:tc>
          <w:tcPr>
            <w:tcW w:type="dxa" w:w="1656"/>
            <w:vAlign w:val="center"/>
          </w:tcPr>
          <w:p>
            <w:r>
              <w:t>190</w:t>
            </w:r>
          </w:p>
        </w:tc>
      </w:tr>
      <w:tr>
        <w:trPr>
          <w:cantSplit/>
        </w:trPr>
        <w:tc>
          <w:tcPr>
            <w:tcW w:type="dxa" w:w="1656"/>
            <w:vAlign w:val="center"/>
          </w:tcPr>
          <w:p>
            <w:r>
              <w:t>Mobility items, survivors</w:t>
            </w:r>
          </w:p>
        </w:tc>
        <w:tc>
          <w:tcPr>
            <w:tcW w:type="dxa" w:w="1656"/>
            <w:vAlign w:val="center"/>
          </w:tcPr>
          <w:p>
            <w:r>
              <w:t>Physical mobility limitation among survivors</w:t>
            </w:r>
          </w:p>
        </w:tc>
        <w:tc>
          <w:tcPr>
            <w:tcW w:type="dxa" w:w="1656"/>
            <w:vAlign w:val="center"/>
          </w:tcPr>
          <w:p>
            <w:r>
              <w:t>0.84 (0.73–0.97)</w:t>
            </w:r>
          </w:p>
        </w:tc>
        <w:tc>
          <w:tcPr>
            <w:tcW w:type="dxa" w:w="1656"/>
            <w:vAlign w:val="center"/>
          </w:tcPr>
          <w:p>
            <w:r>
              <w:t>0.018</w:t>
            </w:r>
          </w:p>
        </w:tc>
        <w:tc>
          <w:tcPr>
            <w:tcW w:type="dxa" w:w="1656"/>
            <w:vAlign w:val="center"/>
          </w:tcPr>
          <w:p>
            <w:r>
              <w:t>1072</w:t>
            </w:r>
          </w:p>
        </w:tc>
        <w:tc>
          <w:tcPr>
            <w:tcW w:type="dxa" w:w="1656"/>
            <w:vAlign w:val="center"/>
          </w:tcPr>
          <w:p>
            <w:r>
              <w:t>459</w:t>
            </w:r>
          </w:p>
        </w:tc>
      </w:tr>
      <w:tr>
        <w:trPr>
          <w:cantSplit/>
        </w:trPr>
        <w:tc>
          <w:tcPr>
            <w:tcW w:type="dxa" w:w="1656"/>
            <w:vAlign w:val="center"/>
          </w:tcPr>
          <w:p>
            <w:r>
              <w:t>Mobility items, survivors; health reserve</w:t>
            </w:r>
          </w:p>
        </w:tc>
        <w:tc>
          <w:tcPr>
            <w:tcW w:type="dxa" w:w="1656"/>
            <w:vAlign w:val="center"/>
          </w:tcPr>
          <w:p>
            <w:r>
              <w:t>Physical mobility limitation among survivors</w:t>
            </w:r>
          </w:p>
        </w:tc>
        <w:tc>
          <w:tcPr>
            <w:tcW w:type="dxa" w:w="1656"/>
            <w:vAlign w:val="center"/>
          </w:tcPr>
          <w:p>
            <w:r>
              <w:t>0.86 (0.74–1.00)</w:t>
            </w:r>
          </w:p>
        </w:tc>
        <w:tc>
          <w:tcPr>
            <w:tcW w:type="dxa" w:w="1656"/>
            <w:vAlign w:val="center"/>
          </w:tcPr>
          <w:p>
            <w:r>
              <w:t>0.050</w:t>
            </w:r>
          </w:p>
        </w:tc>
        <w:tc>
          <w:tcPr>
            <w:tcW w:type="dxa" w:w="1656"/>
            <w:vAlign w:val="center"/>
          </w:tcPr>
          <w:p>
            <w:r>
              <w:t>1023</w:t>
            </w:r>
          </w:p>
        </w:tc>
        <w:tc>
          <w:tcPr>
            <w:tcW w:type="dxa" w:w="1656"/>
            <w:vAlign w:val="center"/>
          </w:tcPr>
          <w:p>
            <w:r>
              <w:t>435</w:t>
            </w:r>
          </w:p>
        </w:tc>
      </w:tr>
    </w:tbl>
    <w:p/>
    <w:p>
      <w:pPr>
        <w:pStyle w:val="Heading2"/>
      </w:pPr>
      <w:r>
        <w:rPr>
          <w:rFonts w:ascii="Times New Roman" w:hAnsi="Times New Roman" w:eastAsia="Times New Roman"/>
          <w:b/>
        </w:rPr>
        <w:t>Supplementary Table S9. Outcome-component analyses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1987"/>
        <w:gridCol w:w="1987"/>
        <w:gridCol w:w="1987"/>
        <w:gridCol w:w="1987"/>
        <w:gridCol w:w="1987"/>
      </w:tblGrid>
      <w:tr>
        <w:trPr>
          <w:tblHeader/>
          <w:cantSplit/>
        </w:trPr>
        <w:tc>
          <w:tcPr>
            <w:tcW w:type="dxa" w:w="1987"/>
            <w:vAlign w:val="center"/>
          </w:tcPr>
          <w:p>
            <w:r>
              <w:t>Analysis</w:t>
            </w:r>
          </w:p>
        </w:tc>
        <w:tc>
          <w:tcPr>
            <w:tcW w:type="dxa" w:w="1987"/>
            <w:vAlign w:val="center"/>
          </w:tcPr>
          <w:p>
            <w:r>
              <w:t>RR (95% CI)</w:t>
            </w:r>
          </w:p>
        </w:tc>
        <w:tc>
          <w:tcPr>
            <w:tcW w:type="dxa" w:w="1987"/>
            <w:vAlign w:val="center"/>
          </w:tcPr>
          <w:p>
            <w:r>
              <w:t>P value</w:t>
            </w:r>
          </w:p>
        </w:tc>
        <w:tc>
          <w:tcPr>
            <w:tcW w:type="dxa" w:w="1987"/>
            <w:vAlign w:val="center"/>
          </w:tcPr>
          <w:p>
            <w:r>
              <w:t>N intervals</w:t>
            </w:r>
          </w:p>
        </w:tc>
        <w:tc>
          <w:tcPr>
            <w:tcW w:type="dxa" w:w="1987"/>
            <w:vAlign w:val="center"/>
          </w:tcPr>
          <w:p>
            <w:r>
              <w:t>Events</w:t>
            </w:r>
          </w:p>
        </w:tc>
      </w:tr>
      <w:tr>
        <w:trPr>
          <w:cantSplit/>
        </w:trPr>
        <w:tc>
          <w:tcPr>
            <w:tcW w:type="dxa" w:w="1987"/>
            <w:vAlign w:val="center"/>
          </w:tcPr>
          <w:p>
            <w:r>
              <w:t>Death only</w:t>
            </w:r>
          </w:p>
        </w:tc>
        <w:tc>
          <w:tcPr>
            <w:tcW w:type="dxa" w:w="1987"/>
            <w:vAlign w:val="center"/>
          </w:tcPr>
          <w:p>
            <w:r>
              <w:t>0.82 (0.61–1.10)</w:t>
            </w:r>
          </w:p>
        </w:tc>
        <w:tc>
          <w:tcPr>
            <w:tcW w:type="dxa" w:w="1987"/>
            <w:vAlign w:val="center"/>
          </w:tcPr>
          <w:p>
            <w:r>
              <w:t>0.189</w:t>
            </w:r>
          </w:p>
        </w:tc>
        <w:tc>
          <w:tcPr>
            <w:tcW w:type="dxa" w:w="1987"/>
            <w:vAlign w:val="center"/>
          </w:tcPr>
          <w:p>
            <w:r>
              <w:t>1241</w:t>
            </w:r>
          </w:p>
        </w:tc>
        <w:tc>
          <w:tcPr>
            <w:tcW w:type="dxa" w:w="1987"/>
            <w:vAlign w:val="center"/>
          </w:tcPr>
          <w:p>
            <w:r>
              <w:t>169</w:t>
            </w:r>
          </w:p>
        </w:tc>
      </w:tr>
      <w:tr>
        <w:trPr>
          <w:cantSplit/>
        </w:trPr>
        <w:tc>
          <w:tcPr>
            <w:tcW w:type="dxa" w:w="1987"/>
            <w:vAlign w:val="center"/>
          </w:tcPr>
          <w:p>
            <w:r>
              <w:t>Any ADL/IADL limitation among survivors</w:t>
            </w:r>
          </w:p>
        </w:tc>
        <w:tc>
          <w:tcPr>
            <w:tcW w:type="dxa" w:w="1987"/>
            <w:vAlign w:val="center"/>
          </w:tcPr>
          <w:p>
            <w:r>
              <w:t>0.85 (0.75–0.97)</w:t>
            </w:r>
          </w:p>
        </w:tc>
        <w:tc>
          <w:tcPr>
            <w:tcW w:type="dxa" w:w="1987"/>
            <w:vAlign w:val="center"/>
          </w:tcPr>
          <w:p>
            <w:r>
              <w:t>0.014</w:t>
            </w:r>
          </w:p>
        </w:tc>
        <w:tc>
          <w:tcPr>
            <w:tcW w:type="dxa" w:w="1987"/>
            <w:vAlign w:val="center"/>
          </w:tcPr>
          <w:p>
            <w:r>
              <w:t>1072</w:t>
            </w:r>
          </w:p>
        </w:tc>
        <w:tc>
          <w:tcPr>
            <w:tcW w:type="dxa" w:w="1987"/>
            <w:vAlign w:val="center"/>
          </w:tcPr>
          <w:p>
            <w:r>
              <w:t>527</w:t>
            </w:r>
          </w:p>
        </w:tc>
      </w:tr>
      <w:tr>
        <w:trPr>
          <w:cantSplit/>
        </w:trPr>
        <w:tc>
          <w:tcPr>
            <w:tcW w:type="dxa" w:w="1987"/>
            <w:vAlign w:val="center"/>
          </w:tcPr>
          <w:p>
            <w:r>
              <w:t>Basic ADL among survivors</w:t>
            </w:r>
          </w:p>
        </w:tc>
        <w:tc>
          <w:tcPr>
            <w:tcW w:type="dxa" w:w="1987"/>
            <w:vAlign w:val="center"/>
          </w:tcPr>
          <w:p>
            <w:r>
              <w:t>1.19 (0.80–1.75)</w:t>
            </w:r>
          </w:p>
        </w:tc>
        <w:tc>
          <w:tcPr>
            <w:tcW w:type="dxa" w:w="1987"/>
            <w:vAlign w:val="center"/>
          </w:tcPr>
          <w:p>
            <w:r>
              <w:t>0.387</w:t>
            </w:r>
          </w:p>
        </w:tc>
        <w:tc>
          <w:tcPr>
            <w:tcW w:type="dxa" w:w="1987"/>
            <w:vAlign w:val="center"/>
          </w:tcPr>
          <w:p>
            <w:r>
              <w:t>1072</w:t>
            </w:r>
          </w:p>
        </w:tc>
        <w:tc>
          <w:tcPr>
            <w:tcW w:type="dxa" w:w="1987"/>
            <w:vAlign w:val="center"/>
          </w:tcPr>
          <w:p>
            <w:r>
              <w:t>116</w:t>
            </w:r>
          </w:p>
        </w:tc>
      </w:tr>
      <w:tr>
        <w:trPr>
          <w:cantSplit/>
        </w:trPr>
        <w:tc>
          <w:tcPr>
            <w:tcW w:type="dxa" w:w="1987"/>
            <w:vAlign w:val="center"/>
          </w:tcPr>
          <w:p>
            <w:r>
              <w:t>Basic ADL or death</w:t>
            </w:r>
          </w:p>
        </w:tc>
        <w:tc>
          <w:tcPr>
            <w:tcW w:type="dxa" w:w="1987"/>
            <w:vAlign w:val="center"/>
          </w:tcPr>
          <w:p>
            <w:r>
              <w:t>0.95 (0.77–1.19)</w:t>
            </w:r>
          </w:p>
        </w:tc>
        <w:tc>
          <w:tcPr>
            <w:tcW w:type="dxa" w:w="1987"/>
            <w:vAlign w:val="center"/>
          </w:tcPr>
          <w:p>
            <w:r>
              <w:t>0.679</w:t>
            </w:r>
          </w:p>
        </w:tc>
        <w:tc>
          <w:tcPr>
            <w:tcW w:type="dxa" w:w="1987"/>
            <w:vAlign w:val="center"/>
          </w:tcPr>
          <w:p>
            <w:r>
              <w:t>1241</w:t>
            </w:r>
          </w:p>
        </w:tc>
        <w:tc>
          <w:tcPr>
            <w:tcW w:type="dxa" w:w="1987"/>
            <w:vAlign w:val="center"/>
          </w:tcPr>
          <w:p>
            <w:r>
              <w:t>285</w:t>
            </w:r>
          </w:p>
        </w:tc>
      </w:tr>
    </w:tbl>
    <w:p/>
    <w:p>
      <w:pPr>
        <w:pStyle w:val="Heading2"/>
      </w:pPr>
      <w:r>
        <w:rPr>
          <w:rFonts w:ascii="Times New Roman" w:hAnsi="Times New Roman" w:eastAsia="Times New Roman"/>
          <w:b/>
        </w:rPr>
        <w:t>Supplementary Table S10. Leave-one-item-out broad outcome analyses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1987"/>
        <w:gridCol w:w="1987"/>
        <w:gridCol w:w="1987"/>
        <w:gridCol w:w="1987"/>
        <w:gridCol w:w="1987"/>
      </w:tblGrid>
      <w:tr>
        <w:trPr>
          <w:tblHeader/>
          <w:cantSplit/>
        </w:trPr>
        <w:tc>
          <w:tcPr>
            <w:tcW w:type="dxa" w:w="1987"/>
            <w:vAlign w:val="center"/>
          </w:tcPr>
          <w:p>
            <w:r>
              <w:t>Excluded item</w:t>
            </w:r>
          </w:p>
        </w:tc>
        <w:tc>
          <w:tcPr>
            <w:tcW w:type="dxa" w:w="1987"/>
            <w:vAlign w:val="center"/>
          </w:tcPr>
          <w:p>
            <w:r>
              <w:t>RR (95% CI)</w:t>
            </w:r>
          </w:p>
        </w:tc>
        <w:tc>
          <w:tcPr>
            <w:tcW w:type="dxa" w:w="1987"/>
            <w:vAlign w:val="center"/>
          </w:tcPr>
          <w:p>
            <w:r>
              <w:t>P value</w:t>
            </w:r>
          </w:p>
        </w:tc>
        <w:tc>
          <w:tcPr>
            <w:tcW w:type="dxa" w:w="1987"/>
            <w:vAlign w:val="center"/>
          </w:tcPr>
          <w:p>
            <w:r>
              <w:t>N intervals</w:t>
            </w:r>
          </w:p>
        </w:tc>
        <w:tc>
          <w:tcPr>
            <w:tcW w:type="dxa" w:w="1987"/>
            <w:vAlign w:val="center"/>
          </w:tcPr>
          <w:p>
            <w:r>
              <w:t>Events</w:t>
            </w:r>
          </w:p>
        </w:tc>
      </w:tr>
      <w:tr>
        <w:trPr>
          <w:cantSplit/>
        </w:trPr>
        <w:tc>
          <w:tcPr>
            <w:tcW w:type="dxa" w:w="1987"/>
            <w:vAlign w:val="center"/>
          </w:tcPr>
          <w:p>
            <w:r>
              <w:t>Bathing</w:t>
            </w:r>
          </w:p>
        </w:tc>
        <w:tc>
          <w:tcPr>
            <w:tcW w:type="dxa" w:w="1987"/>
            <w:vAlign w:val="center"/>
          </w:tcPr>
          <w:p>
            <w:r>
              <w:t>0.85 (0.77–0.95)</w:t>
            </w:r>
          </w:p>
        </w:tc>
        <w:tc>
          <w:tcPr>
            <w:tcW w:type="dxa" w:w="1987"/>
            <w:vAlign w:val="center"/>
          </w:tcPr>
          <w:p>
            <w:r>
              <w:t>0.003</w:t>
            </w:r>
          </w:p>
        </w:tc>
        <w:tc>
          <w:tcPr>
            <w:tcW w:type="dxa" w:w="1987"/>
            <w:vAlign w:val="center"/>
          </w:tcPr>
          <w:p>
            <w:r>
              <w:t>1241</w:t>
            </w:r>
          </w:p>
        </w:tc>
        <w:tc>
          <w:tcPr>
            <w:tcW w:type="dxa" w:w="1987"/>
            <w:vAlign w:val="center"/>
          </w:tcPr>
          <w:p>
            <w:r>
              <w:t>687</w:t>
            </w:r>
          </w:p>
        </w:tc>
      </w:tr>
      <w:tr>
        <w:trPr>
          <w:cantSplit/>
        </w:trPr>
        <w:tc>
          <w:tcPr>
            <w:tcW w:type="dxa" w:w="1987"/>
            <w:vAlign w:val="center"/>
          </w:tcPr>
          <w:p>
            <w:r>
              <w:t>Dressing</w:t>
            </w:r>
          </w:p>
        </w:tc>
        <w:tc>
          <w:tcPr>
            <w:tcW w:type="dxa" w:w="1987"/>
            <w:vAlign w:val="center"/>
          </w:tcPr>
          <w:p>
            <w:r>
              <w:t>0.87 (0.78–0.96)</w:t>
            </w:r>
          </w:p>
        </w:tc>
        <w:tc>
          <w:tcPr>
            <w:tcW w:type="dxa" w:w="1987"/>
            <w:vAlign w:val="center"/>
          </w:tcPr>
          <w:p>
            <w:r>
              <w:t>0.007</w:t>
            </w:r>
          </w:p>
        </w:tc>
        <w:tc>
          <w:tcPr>
            <w:tcW w:type="dxa" w:w="1987"/>
            <w:vAlign w:val="center"/>
          </w:tcPr>
          <w:p>
            <w:r>
              <w:t>1241</w:t>
            </w:r>
          </w:p>
        </w:tc>
        <w:tc>
          <w:tcPr>
            <w:tcW w:type="dxa" w:w="1987"/>
            <w:vAlign w:val="center"/>
          </w:tcPr>
          <w:p>
            <w:r>
              <w:t>696</w:t>
            </w:r>
          </w:p>
        </w:tc>
      </w:tr>
      <w:tr>
        <w:trPr>
          <w:cantSplit/>
        </w:trPr>
        <w:tc>
          <w:tcPr>
            <w:tcW w:type="dxa" w:w="1987"/>
            <w:vAlign w:val="center"/>
          </w:tcPr>
          <w:p>
            <w:r>
              <w:t>Toileting</w:t>
            </w:r>
          </w:p>
        </w:tc>
        <w:tc>
          <w:tcPr>
            <w:tcW w:type="dxa" w:w="1987"/>
            <w:vAlign w:val="center"/>
          </w:tcPr>
          <w:p>
            <w:r>
              <w:t>0.87 (0.78–0.96)</w:t>
            </w:r>
          </w:p>
        </w:tc>
        <w:tc>
          <w:tcPr>
            <w:tcW w:type="dxa" w:w="1987"/>
            <w:vAlign w:val="center"/>
          </w:tcPr>
          <w:p>
            <w:r>
              <w:t>0.007</w:t>
            </w:r>
          </w:p>
        </w:tc>
        <w:tc>
          <w:tcPr>
            <w:tcW w:type="dxa" w:w="1987"/>
            <w:vAlign w:val="center"/>
          </w:tcPr>
          <w:p>
            <w:r>
              <w:t>1241</w:t>
            </w:r>
          </w:p>
        </w:tc>
        <w:tc>
          <w:tcPr>
            <w:tcW w:type="dxa" w:w="1987"/>
            <w:vAlign w:val="center"/>
          </w:tcPr>
          <w:p>
            <w:r>
              <w:t>696</w:t>
            </w:r>
          </w:p>
        </w:tc>
      </w:tr>
      <w:tr>
        <w:trPr>
          <w:cantSplit/>
        </w:trPr>
        <w:tc>
          <w:tcPr>
            <w:tcW w:type="dxa" w:w="1987"/>
            <w:vAlign w:val="center"/>
          </w:tcPr>
          <w:p>
            <w:r>
              <w:t>Indoor transfer</w:t>
            </w:r>
          </w:p>
        </w:tc>
        <w:tc>
          <w:tcPr>
            <w:tcW w:type="dxa" w:w="1987"/>
            <w:vAlign w:val="center"/>
          </w:tcPr>
          <w:p>
            <w:r>
              <w:t>0.87 (0.78–0.96)</w:t>
            </w:r>
          </w:p>
        </w:tc>
        <w:tc>
          <w:tcPr>
            <w:tcW w:type="dxa" w:w="1987"/>
            <w:vAlign w:val="center"/>
          </w:tcPr>
          <w:p>
            <w:r>
              <w:t>0.007</w:t>
            </w:r>
          </w:p>
        </w:tc>
        <w:tc>
          <w:tcPr>
            <w:tcW w:type="dxa" w:w="1987"/>
            <w:vAlign w:val="center"/>
          </w:tcPr>
          <w:p>
            <w:r>
              <w:t>1241</w:t>
            </w:r>
          </w:p>
        </w:tc>
        <w:tc>
          <w:tcPr>
            <w:tcW w:type="dxa" w:w="1987"/>
            <w:vAlign w:val="center"/>
          </w:tcPr>
          <w:p>
            <w:r>
              <w:t>696</w:t>
            </w:r>
          </w:p>
        </w:tc>
      </w:tr>
      <w:tr>
        <w:trPr>
          <w:cantSplit/>
        </w:trPr>
        <w:tc>
          <w:tcPr>
            <w:tcW w:type="dxa" w:w="1987"/>
            <w:vAlign w:val="center"/>
          </w:tcPr>
          <w:p>
            <w:r>
              <w:t>Continence</w:t>
            </w:r>
          </w:p>
        </w:tc>
        <w:tc>
          <w:tcPr>
            <w:tcW w:type="dxa" w:w="1987"/>
            <w:vAlign w:val="center"/>
          </w:tcPr>
          <w:p>
            <w:r>
              <w:t>0.86 (0.78–0.96)</w:t>
            </w:r>
          </w:p>
        </w:tc>
        <w:tc>
          <w:tcPr>
            <w:tcW w:type="dxa" w:w="1987"/>
            <w:vAlign w:val="center"/>
          </w:tcPr>
          <w:p>
            <w:r>
              <w:t>0.005</w:t>
            </w:r>
          </w:p>
        </w:tc>
        <w:tc>
          <w:tcPr>
            <w:tcW w:type="dxa" w:w="1987"/>
            <w:vAlign w:val="center"/>
          </w:tcPr>
          <w:p>
            <w:r>
              <w:t>1241</w:t>
            </w:r>
          </w:p>
        </w:tc>
        <w:tc>
          <w:tcPr>
            <w:tcW w:type="dxa" w:w="1987"/>
            <w:vAlign w:val="center"/>
          </w:tcPr>
          <w:p>
            <w:r>
              <w:t>694</w:t>
            </w:r>
          </w:p>
        </w:tc>
      </w:tr>
      <w:tr>
        <w:trPr>
          <w:cantSplit/>
        </w:trPr>
        <w:tc>
          <w:tcPr>
            <w:tcW w:type="dxa" w:w="1987"/>
            <w:vAlign w:val="center"/>
          </w:tcPr>
          <w:p>
            <w:r>
              <w:t>Feeding</w:t>
            </w:r>
          </w:p>
        </w:tc>
        <w:tc>
          <w:tcPr>
            <w:tcW w:type="dxa" w:w="1987"/>
            <w:vAlign w:val="center"/>
          </w:tcPr>
          <w:p>
            <w:r>
              <w:t>0.87 (0.78–0.96)</w:t>
            </w:r>
          </w:p>
        </w:tc>
        <w:tc>
          <w:tcPr>
            <w:tcW w:type="dxa" w:w="1987"/>
            <w:vAlign w:val="center"/>
          </w:tcPr>
          <w:p>
            <w:r>
              <w:t>0.007</w:t>
            </w:r>
          </w:p>
        </w:tc>
        <w:tc>
          <w:tcPr>
            <w:tcW w:type="dxa" w:w="1987"/>
            <w:vAlign w:val="center"/>
          </w:tcPr>
          <w:p>
            <w:r>
              <w:t>1241</w:t>
            </w:r>
          </w:p>
        </w:tc>
        <w:tc>
          <w:tcPr>
            <w:tcW w:type="dxa" w:w="1987"/>
            <w:vAlign w:val="center"/>
          </w:tcPr>
          <w:p>
            <w:r>
              <w:t>696</w:t>
            </w:r>
          </w:p>
        </w:tc>
      </w:tr>
      <w:tr>
        <w:trPr>
          <w:cantSplit/>
        </w:trPr>
        <w:tc>
          <w:tcPr>
            <w:tcW w:type="dxa" w:w="1987"/>
            <w:vAlign w:val="center"/>
          </w:tcPr>
          <w:p>
            <w:r>
              <w:t>Going outside or visiting neighbors</w:t>
            </w:r>
          </w:p>
        </w:tc>
        <w:tc>
          <w:tcPr>
            <w:tcW w:type="dxa" w:w="1987"/>
            <w:vAlign w:val="center"/>
          </w:tcPr>
          <w:p>
            <w:r>
              <w:t>0.86 (0.78–0.96)</w:t>
            </w:r>
          </w:p>
        </w:tc>
        <w:tc>
          <w:tcPr>
            <w:tcW w:type="dxa" w:w="1987"/>
            <w:vAlign w:val="center"/>
          </w:tcPr>
          <w:p>
            <w:r>
              <w:t>0.005</w:t>
            </w:r>
          </w:p>
        </w:tc>
        <w:tc>
          <w:tcPr>
            <w:tcW w:type="dxa" w:w="1987"/>
            <w:vAlign w:val="center"/>
          </w:tcPr>
          <w:p>
            <w:r>
              <w:t>1241</w:t>
            </w:r>
          </w:p>
        </w:tc>
        <w:tc>
          <w:tcPr>
            <w:tcW w:type="dxa" w:w="1987"/>
            <w:vAlign w:val="center"/>
          </w:tcPr>
          <w:p>
            <w:r>
              <w:t>694</w:t>
            </w:r>
          </w:p>
        </w:tc>
      </w:tr>
      <w:tr>
        <w:trPr>
          <w:cantSplit/>
        </w:trPr>
        <w:tc>
          <w:tcPr>
            <w:tcW w:type="dxa" w:w="1987"/>
            <w:vAlign w:val="center"/>
          </w:tcPr>
          <w:p>
            <w:r>
              <w:t>Shopping</w:t>
            </w:r>
          </w:p>
        </w:tc>
        <w:tc>
          <w:tcPr>
            <w:tcW w:type="dxa" w:w="1987"/>
            <w:vAlign w:val="center"/>
          </w:tcPr>
          <w:p>
            <w:r>
              <w:t>0.87 (0.78–0.96)</w:t>
            </w:r>
          </w:p>
        </w:tc>
        <w:tc>
          <w:tcPr>
            <w:tcW w:type="dxa" w:w="1987"/>
            <w:vAlign w:val="center"/>
          </w:tcPr>
          <w:p>
            <w:r>
              <w:t>0.007</w:t>
            </w:r>
          </w:p>
        </w:tc>
        <w:tc>
          <w:tcPr>
            <w:tcW w:type="dxa" w:w="1987"/>
            <w:vAlign w:val="center"/>
          </w:tcPr>
          <w:p>
            <w:r>
              <w:t>1241</w:t>
            </w:r>
          </w:p>
        </w:tc>
        <w:tc>
          <w:tcPr>
            <w:tcW w:type="dxa" w:w="1987"/>
            <w:vAlign w:val="center"/>
          </w:tcPr>
          <w:p>
            <w:r>
              <w:t>695</w:t>
            </w:r>
          </w:p>
        </w:tc>
      </w:tr>
      <w:tr>
        <w:trPr>
          <w:cantSplit/>
        </w:trPr>
        <w:tc>
          <w:tcPr>
            <w:tcW w:type="dxa" w:w="1987"/>
            <w:vAlign w:val="center"/>
          </w:tcPr>
          <w:p>
            <w:r>
              <w:t>Cooking</w:t>
            </w:r>
          </w:p>
        </w:tc>
        <w:tc>
          <w:tcPr>
            <w:tcW w:type="dxa" w:w="1987"/>
            <w:vAlign w:val="center"/>
          </w:tcPr>
          <w:p>
            <w:r>
              <w:t>0.87 (0.78–0.96)</w:t>
            </w:r>
          </w:p>
        </w:tc>
        <w:tc>
          <w:tcPr>
            <w:tcW w:type="dxa" w:w="1987"/>
            <w:vAlign w:val="center"/>
          </w:tcPr>
          <w:p>
            <w:r>
              <w:t>0.006</w:t>
            </w:r>
          </w:p>
        </w:tc>
        <w:tc>
          <w:tcPr>
            <w:tcW w:type="dxa" w:w="1987"/>
            <w:vAlign w:val="center"/>
          </w:tcPr>
          <w:p>
            <w:r>
              <w:t>1241</w:t>
            </w:r>
          </w:p>
        </w:tc>
        <w:tc>
          <w:tcPr>
            <w:tcW w:type="dxa" w:w="1987"/>
            <w:vAlign w:val="center"/>
          </w:tcPr>
          <w:p>
            <w:r>
              <w:t>695</w:t>
            </w:r>
          </w:p>
        </w:tc>
      </w:tr>
      <w:tr>
        <w:trPr>
          <w:cantSplit/>
        </w:trPr>
        <w:tc>
          <w:tcPr>
            <w:tcW w:type="dxa" w:w="1987"/>
            <w:vAlign w:val="center"/>
          </w:tcPr>
          <w:p>
            <w:r>
              <w:t>Washing clothes</w:t>
            </w:r>
          </w:p>
        </w:tc>
        <w:tc>
          <w:tcPr>
            <w:tcW w:type="dxa" w:w="1987"/>
            <w:vAlign w:val="center"/>
          </w:tcPr>
          <w:p>
            <w:r>
              <w:t>0.86 (0.78–0.96)</w:t>
            </w:r>
          </w:p>
        </w:tc>
        <w:tc>
          <w:tcPr>
            <w:tcW w:type="dxa" w:w="1987"/>
            <w:vAlign w:val="center"/>
          </w:tcPr>
          <w:p>
            <w:r>
              <w:t>0.005</w:t>
            </w:r>
          </w:p>
        </w:tc>
        <w:tc>
          <w:tcPr>
            <w:tcW w:type="dxa" w:w="1987"/>
            <w:vAlign w:val="center"/>
          </w:tcPr>
          <w:p>
            <w:r>
              <w:t>1241</w:t>
            </w:r>
          </w:p>
        </w:tc>
        <w:tc>
          <w:tcPr>
            <w:tcW w:type="dxa" w:w="1987"/>
            <w:vAlign w:val="center"/>
          </w:tcPr>
          <w:p>
            <w:r>
              <w:t>693</w:t>
            </w:r>
          </w:p>
        </w:tc>
      </w:tr>
      <w:tr>
        <w:trPr>
          <w:cantSplit/>
        </w:trPr>
        <w:tc>
          <w:tcPr>
            <w:tcW w:type="dxa" w:w="1987"/>
            <w:vAlign w:val="center"/>
          </w:tcPr>
          <w:p>
            <w:r>
              <w:t>Walking 1 km</w:t>
            </w:r>
          </w:p>
        </w:tc>
        <w:tc>
          <w:tcPr>
            <w:tcW w:type="dxa" w:w="1987"/>
            <w:vAlign w:val="center"/>
          </w:tcPr>
          <w:p>
            <w:r>
              <w:t>0.87 (0.78–0.97)</w:t>
            </w:r>
          </w:p>
        </w:tc>
        <w:tc>
          <w:tcPr>
            <w:tcW w:type="dxa" w:w="1987"/>
            <w:vAlign w:val="center"/>
          </w:tcPr>
          <w:p>
            <w:r>
              <w:t>0.012</w:t>
            </w:r>
          </w:p>
        </w:tc>
        <w:tc>
          <w:tcPr>
            <w:tcW w:type="dxa" w:w="1987"/>
            <w:vAlign w:val="center"/>
          </w:tcPr>
          <w:p>
            <w:r>
              <w:t>1241</w:t>
            </w:r>
          </w:p>
        </w:tc>
        <w:tc>
          <w:tcPr>
            <w:tcW w:type="dxa" w:w="1987"/>
            <w:vAlign w:val="center"/>
          </w:tcPr>
          <w:p>
            <w:r>
              <w:t>666</w:t>
            </w:r>
          </w:p>
        </w:tc>
      </w:tr>
      <w:tr>
        <w:trPr>
          <w:cantSplit/>
        </w:trPr>
        <w:tc>
          <w:tcPr>
            <w:tcW w:type="dxa" w:w="1987"/>
            <w:vAlign w:val="center"/>
          </w:tcPr>
          <w:p>
            <w:r>
              <w:t>Carrying 5 kg</w:t>
            </w:r>
          </w:p>
        </w:tc>
        <w:tc>
          <w:tcPr>
            <w:tcW w:type="dxa" w:w="1987"/>
            <w:vAlign w:val="center"/>
          </w:tcPr>
          <w:p>
            <w:r>
              <w:t>0.85 (0.77–0.95)</w:t>
            </w:r>
          </w:p>
        </w:tc>
        <w:tc>
          <w:tcPr>
            <w:tcW w:type="dxa" w:w="1987"/>
            <w:vAlign w:val="center"/>
          </w:tcPr>
          <w:p>
            <w:r>
              <w:t>0.003</w:t>
            </w:r>
          </w:p>
        </w:tc>
        <w:tc>
          <w:tcPr>
            <w:tcW w:type="dxa" w:w="1987"/>
            <w:vAlign w:val="center"/>
          </w:tcPr>
          <w:p>
            <w:r>
              <w:t>1241</w:t>
            </w:r>
          </w:p>
        </w:tc>
        <w:tc>
          <w:tcPr>
            <w:tcW w:type="dxa" w:w="1987"/>
            <w:vAlign w:val="center"/>
          </w:tcPr>
          <w:p>
            <w:r>
              <w:t>664</w:t>
            </w:r>
          </w:p>
        </w:tc>
      </w:tr>
      <w:tr>
        <w:trPr>
          <w:cantSplit/>
        </w:trPr>
        <w:tc>
          <w:tcPr>
            <w:tcW w:type="dxa" w:w="1987"/>
            <w:vAlign w:val="center"/>
          </w:tcPr>
          <w:p>
            <w:r>
              <w:t>Crouching/standing</w:t>
            </w:r>
          </w:p>
        </w:tc>
        <w:tc>
          <w:tcPr>
            <w:tcW w:type="dxa" w:w="1987"/>
            <w:vAlign w:val="center"/>
          </w:tcPr>
          <w:p>
            <w:r>
              <w:t>0.85 (0.76–0.95)</w:t>
            </w:r>
          </w:p>
        </w:tc>
        <w:tc>
          <w:tcPr>
            <w:tcW w:type="dxa" w:w="1987"/>
            <w:vAlign w:val="center"/>
          </w:tcPr>
          <w:p>
            <w:r>
              <w:t>0.006</w:t>
            </w:r>
          </w:p>
        </w:tc>
        <w:tc>
          <w:tcPr>
            <w:tcW w:type="dxa" w:w="1987"/>
            <w:vAlign w:val="center"/>
          </w:tcPr>
          <w:p>
            <w:r>
              <w:t>1241</w:t>
            </w:r>
          </w:p>
        </w:tc>
        <w:tc>
          <w:tcPr>
            <w:tcW w:type="dxa" w:w="1987"/>
            <w:vAlign w:val="center"/>
          </w:tcPr>
          <w:p>
            <w:r>
              <w:t>641</w:t>
            </w:r>
          </w:p>
        </w:tc>
      </w:tr>
      <w:tr>
        <w:trPr>
          <w:cantSplit/>
        </w:trPr>
        <w:tc>
          <w:tcPr>
            <w:tcW w:type="dxa" w:w="1987"/>
            <w:vAlign w:val="center"/>
          </w:tcPr>
          <w:p>
            <w:r>
              <w:t>Using public transportation</w:t>
            </w:r>
          </w:p>
        </w:tc>
        <w:tc>
          <w:tcPr>
            <w:tcW w:type="dxa" w:w="1987"/>
            <w:vAlign w:val="center"/>
          </w:tcPr>
          <w:p>
            <w:r>
              <w:t>0.88 (0.79–0.98)</w:t>
            </w:r>
          </w:p>
        </w:tc>
        <w:tc>
          <w:tcPr>
            <w:tcW w:type="dxa" w:w="1987"/>
            <w:vAlign w:val="center"/>
          </w:tcPr>
          <w:p>
            <w:r>
              <w:t>0.018</w:t>
            </w:r>
          </w:p>
        </w:tc>
        <w:tc>
          <w:tcPr>
            <w:tcW w:type="dxa" w:w="1987"/>
            <w:vAlign w:val="center"/>
          </w:tcPr>
          <w:p>
            <w:r>
              <w:t>1241</w:t>
            </w:r>
          </w:p>
        </w:tc>
        <w:tc>
          <w:tcPr>
            <w:tcW w:type="dxa" w:w="1987"/>
            <w:vAlign w:val="center"/>
          </w:tcPr>
          <w:p>
            <w:r>
              <w:t>665</w:t>
            </w:r>
          </w:p>
        </w:tc>
      </w:tr>
    </w:tbl>
    <w:p/>
    <w:p>
      <w:pPr>
        <w:pStyle w:val="Heading2"/>
      </w:pPr>
      <w:r>
        <w:rPr>
          <w:rFonts w:ascii="Times New Roman" w:hAnsi="Times New Roman" w:eastAsia="Times New Roman"/>
          <w:b/>
        </w:rPr>
        <w:t>Supplementary Table S11. Follow-up timing availability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1656"/>
        <w:gridCol w:w="1656"/>
        <w:gridCol w:w="1656"/>
        <w:gridCol w:w="1656"/>
        <w:gridCol w:w="1656"/>
        <w:gridCol w:w="1656"/>
      </w:tblGrid>
      <w:tr>
        <w:trPr>
          <w:tblHeader/>
          <w:cantSplit/>
        </w:trPr>
        <w:tc>
          <w:tcPr>
            <w:tcW w:type="dxa" w:w="1656"/>
            <w:vAlign w:val="center"/>
          </w:tcPr>
          <w:p>
            <w:r>
              <w:t>Group</w:t>
            </w:r>
          </w:p>
        </w:tc>
        <w:tc>
          <w:tcPr>
            <w:tcW w:type="dxa" w:w="1656"/>
            <w:vAlign w:val="center"/>
          </w:tcPr>
          <w:p>
            <w:r>
              <w:t>N</w:t>
            </w:r>
          </w:p>
        </w:tc>
        <w:tc>
          <w:tcPr>
            <w:tcW w:type="dxa" w:w="1656"/>
            <w:vAlign w:val="center"/>
          </w:tcPr>
          <w:p>
            <w:r>
              <w:t>Complete dates</w:t>
            </w:r>
          </w:p>
        </w:tc>
        <w:tc>
          <w:tcPr>
            <w:tcW w:type="dxa" w:w="1656"/>
            <w:vAlign w:val="center"/>
          </w:tcPr>
          <w:p>
            <w:r>
              <w:t>Complete dates (%)</w:t>
            </w:r>
          </w:p>
        </w:tc>
        <w:tc>
          <w:tcPr>
            <w:tcW w:type="dxa" w:w="1656"/>
            <w:vAlign w:val="center"/>
          </w:tcPr>
          <w:p>
            <w:r>
              <w:t>Mean years</w:t>
            </w:r>
          </w:p>
        </w:tc>
        <w:tc>
          <w:tcPr>
            <w:tcW w:type="dxa" w:w="1656"/>
            <w:vAlign w:val="center"/>
          </w:tcPr>
          <w:p>
            <w:r>
              <w:t>Median years</w:t>
            </w:r>
          </w:p>
        </w:tc>
      </w:tr>
      <w:tr>
        <w:trPr>
          <w:cantSplit/>
        </w:trPr>
        <w:tc>
          <w:tcPr>
            <w:tcW w:type="dxa" w:w="1656"/>
            <w:vAlign w:val="center"/>
          </w:tcPr>
          <w:p>
            <w:r>
              <w:t>all included</w:t>
            </w:r>
          </w:p>
        </w:tc>
        <w:tc>
          <w:tcPr>
            <w:tcW w:type="dxa" w:w="1656"/>
            <w:vAlign w:val="center"/>
          </w:tcPr>
          <w:p>
            <w:r>
              <w:t>1241</w:t>
            </w:r>
          </w:p>
        </w:tc>
        <w:tc>
          <w:tcPr>
            <w:tcW w:type="dxa" w:w="1656"/>
            <w:vAlign w:val="center"/>
          </w:tcPr>
          <w:p>
            <w:r>
              <w:t>1073</w:t>
            </w:r>
          </w:p>
        </w:tc>
        <w:tc>
          <w:tcPr>
            <w:tcW w:type="dxa" w:w="1656"/>
            <w:vAlign w:val="center"/>
          </w:tcPr>
          <w:p>
            <w:r>
              <w:t>86.5%</w:t>
            </w:r>
          </w:p>
        </w:tc>
        <w:tc>
          <w:tcPr>
            <w:tcW w:type="dxa" w:w="1656"/>
            <w:vAlign w:val="center"/>
          </w:tcPr>
          <w:p>
            <w:r>
              <w:t>3.20</w:t>
            </w:r>
          </w:p>
        </w:tc>
        <w:tc>
          <w:tcPr>
            <w:tcW w:type="dxa" w:w="1656"/>
            <w:vAlign w:val="center"/>
          </w:tcPr>
          <w:p>
            <w:r>
              <w:t>3.04</w:t>
            </w:r>
          </w:p>
        </w:tc>
      </w:tr>
      <w:tr>
        <w:trPr>
          <w:cantSplit/>
        </w:trPr>
        <w:tc>
          <w:tcPr>
            <w:tcW w:type="dxa" w:w="1656"/>
            <w:vAlign w:val="center"/>
          </w:tcPr>
          <w:p>
            <w:r>
              <w:t>survivors</w:t>
            </w:r>
          </w:p>
        </w:tc>
        <w:tc>
          <w:tcPr>
            <w:tcW w:type="dxa" w:w="1656"/>
            <w:vAlign w:val="center"/>
          </w:tcPr>
          <w:p>
            <w:r>
              <w:t>1072</w:t>
            </w:r>
          </w:p>
        </w:tc>
        <w:tc>
          <w:tcPr>
            <w:tcW w:type="dxa" w:w="1656"/>
            <w:vAlign w:val="center"/>
          </w:tcPr>
          <w:p>
            <w:r>
              <w:t>1072</w:t>
            </w:r>
          </w:p>
        </w:tc>
        <w:tc>
          <w:tcPr>
            <w:tcW w:type="dxa" w:w="1656"/>
            <w:vAlign w:val="center"/>
          </w:tcPr>
          <w:p>
            <w:r>
              <w:t>100.0%</w:t>
            </w:r>
          </w:p>
        </w:tc>
        <w:tc>
          <w:tcPr>
            <w:tcW w:type="dxa" w:w="1656"/>
            <w:vAlign w:val="center"/>
          </w:tcPr>
          <w:p>
            <w:r>
              <w:t>3.20</w:t>
            </w:r>
          </w:p>
        </w:tc>
        <w:tc>
          <w:tcPr>
            <w:tcW w:type="dxa" w:w="1656"/>
            <w:vAlign w:val="center"/>
          </w:tcPr>
          <w:p>
            <w:r>
              <w:t>3.04</w:t>
            </w:r>
          </w:p>
        </w:tc>
      </w:tr>
      <w:tr>
        <w:trPr>
          <w:cantSplit/>
        </w:trPr>
        <w:tc>
          <w:tcPr>
            <w:tcW w:type="dxa" w:w="1656"/>
            <w:vAlign w:val="center"/>
          </w:tcPr>
          <w:p>
            <w:r>
              <w:t>deaths</w:t>
            </w:r>
          </w:p>
        </w:tc>
        <w:tc>
          <w:tcPr>
            <w:tcW w:type="dxa" w:w="1656"/>
            <w:vAlign w:val="center"/>
          </w:tcPr>
          <w:p>
            <w:r>
              <w:t>169</w:t>
            </w:r>
          </w:p>
        </w:tc>
        <w:tc>
          <w:tcPr>
            <w:tcW w:type="dxa" w:w="1656"/>
            <w:vAlign w:val="center"/>
          </w:tcPr>
          <w:p>
            <w:r>
              <w:t>1/169</w:t>
            </w:r>
          </w:p>
        </w:tc>
        <w:tc>
          <w:tcPr>
            <w:tcW w:type="dxa" w:w="1656"/>
            <w:vAlign w:val="center"/>
          </w:tcPr>
          <w:p>
            <w:r>
              <w:t>0.6%</w:t>
            </w:r>
          </w:p>
        </w:tc>
        <w:tc>
          <w:tcPr>
            <w:tcW w:type="dxa" w:w="1656"/>
            <w:vAlign w:val="center"/>
          </w:tcPr>
          <w:p>
            <w:r>
              <w:t>NA</w:t>
            </w:r>
          </w:p>
        </w:tc>
        <w:tc>
          <w:tcPr>
            <w:tcW w:type="dxa" w:w="1656"/>
            <w:vAlign w:val="center"/>
          </w:tcPr>
          <w:p>
            <w:r>
              <w:t>NA</w:t>
            </w:r>
          </w:p>
        </w:tc>
      </w:tr>
    </w:tbl>
    <w:p/>
    <w:p>
      <w:pPr>
        <w:spacing w:line="240" w:lineRule="auto" w:after="120"/>
      </w:pPr>
      <w:r>
        <w:rPr>
          <w:rFonts w:ascii="Times New Roman" w:hAnsi="Times New Roman" w:eastAsia="Times New Roman"/>
          <w:b/>
          <w:sz w:val="20"/>
        </w:rPr>
        <w:t xml:space="preserve">Note: </w:t>
      </w:r>
      <w:r>
        <w:rPr>
          <w:rFonts w:ascii="Times New Roman" w:hAnsi="Times New Roman" w:eastAsia="Times New Roman"/>
          <w:sz w:val="20"/>
        </w:rPr>
        <w:t>Exact follow-up timing was complete for survivors but almost entirely unavailable for deaths in the analytic release; therefore, the primary estimand was a wave-to-wave transition by the next survey wave rather than a continuous-time hazard.</w:t>
      </w:r>
    </w:p>
    <w:p>
      <w:pPr>
        <w:pStyle w:val="Heading2"/>
      </w:pPr>
      <w:r>
        <w:rPr>
          <w:rFonts w:ascii="Times New Roman" w:hAnsi="Times New Roman" w:eastAsia="Times New Roman"/>
          <w:b/>
        </w:rPr>
        <w:t>Supplementary Table S12. IPW weight distribution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1242"/>
        <w:gridCol w:w="1242"/>
        <w:gridCol w:w="1242"/>
        <w:gridCol w:w="1242"/>
        <w:gridCol w:w="1242"/>
        <w:gridCol w:w="1242"/>
        <w:gridCol w:w="1242"/>
        <w:gridCol w:w="1242"/>
      </w:tblGrid>
      <w:tr>
        <w:trPr>
          <w:tblHeader/>
          <w:cantSplit/>
        </w:trPr>
        <w:tc>
          <w:tcPr>
            <w:tcW w:type="dxa" w:w="1242"/>
            <w:vAlign w:val="center"/>
          </w:tcPr>
          <w:p>
            <w:r>
              <w:t>Quantity</w:t>
            </w:r>
          </w:p>
        </w:tc>
        <w:tc>
          <w:tcPr>
            <w:tcW w:type="dxa" w:w="1242"/>
            <w:vAlign w:val="center"/>
          </w:tcPr>
          <w:p>
            <w:r>
              <w:t>Mean</w:t>
            </w:r>
          </w:p>
        </w:tc>
        <w:tc>
          <w:tcPr>
            <w:tcW w:type="dxa" w:w="1242"/>
            <w:vAlign w:val="center"/>
          </w:tcPr>
          <w:p>
            <w:r>
              <w:t>SD</w:t>
            </w:r>
          </w:p>
        </w:tc>
        <w:tc>
          <w:tcPr>
            <w:tcW w:type="dxa" w:w="1242"/>
            <w:vAlign w:val="center"/>
          </w:tcPr>
          <w:p>
            <w:r>
              <w:t>Min</w:t>
            </w:r>
          </w:p>
        </w:tc>
        <w:tc>
          <w:tcPr>
            <w:tcW w:type="dxa" w:w="1242"/>
            <w:vAlign w:val="center"/>
          </w:tcPr>
          <w:p>
            <w:r>
              <w:t>5th</w:t>
            </w:r>
          </w:p>
        </w:tc>
        <w:tc>
          <w:tcPr>
            <w:tcW w:type="dxa" w:w="1242"/>
            <w:vAlign w:val="center"/>
          </w:tcPr>
          <w:p>
            <w:r>
              <w:t>Median</w:t>
            </w:r>
          </w:p>
        </w:tc>
        <w:tc>
          <w:tcPr>
            <w:tcW w:type="dxa" w:w="1242"/>
            <w:vAlign w:val="center"/>
          </w:tcPr>
          <w:p>
            <w:r>
              <w:t>95th</w:t>
            </w:r>
          </w:p>
        </w:tc>
        <w:tc>
          <w:tcPr>
            <w:tcW w:type="dxa" w:w="1242"/>
            <w:vAlign w:val="center"/>
          </w:tcPr>
          <w:p>
            <w:r>
              <w:t>Max</w:t>
            </w:r>
          </w:p>
        </w:tc>
      </w:tr>
      <w:tr>
        <w:trPr>
          <w:cantSplit/>
        </w:trPr>
        <w:tc>
          <w:tcPr>
            <w:tcW w:type="dxa" w:w="1242"/>
            <w:vAlign w:val="center"/>
          </w:tcPr>
          <w:p>
            <w:r>
              <w:t>Predicted follow-up</w:t>
            </w:r>
          </w:p>
        </w:tc>
        <w:tc>
          <w:tcPr>
            <w:tcW w:type="dxa" w:w="1242"/>
            <w:vAlign w:val="center"/>
          </w:tcPr>
          <w:p>
            <w:r>
              <w:t>0.827</w:t>
            </w:r>
          </w:p>
        </w:tc>
        <w:tc>
          <w:tcPr>
            <w:tcW w:type="dxa" w:w="1242"/>
            <w:vAlign w:val="center"/>
          </w:tcPr>
          <w:p>
            <w:r>
              <w:t>0.071</w:t>
            </w:r>
          </w:p>
        </w:tc>
        <w:tc>
          <w:tcPr>
            <w:tcW w:type="dxa" w:w="1242"/>
            <w:vAlign w:val="center"/>
          </w:tcPr>
          <w:p>
            <w:r>
              <w:t>0.531</w:t>
            </w:r>
          </w:p>
        </w:tc>
        <w:tc>
          <w:tcPr>
            <w:tcW w:type="dxa" w:w="1242"/>
            <w:vAlign w:val="center"/>
          </w:tcPr>
          <w:p>
            <w:r>
              <w:t>0.690</w:t>
            </w:r>
          </w:p>
        </w:tc>
        <w:tc>
          <w:tcPr>
            <w:tcW w:type="dxa" w:w="1242"/>
            <w:vAlign w:val="center"/>
          </w:tcPr>
          <w:p>
            <w:r>
              <w:t>0.840</w:t>
            </w:r>
          </w:p>
        </w:tc>
        <w:tc>
          <w:tcPr>
            <w:tcW w:type="dxa" w:w="1242"/>
            <w:vAlign w:val="center"/>
          </w:tcPr>
          <w:p>
            <w:r>
              <w:t>0.918</w:t>
            </w:r>
          </w:p>
        </w:tc>
        <w:tc>
          <w:tcPr>
            <w:tcW w:type="dxa" w:w="1242"/>
            <w:vAlign w:val="center"/>
          </w:tcPr>
          <w:p>
            <w:r>
              <w:t>0.967</w:t>
            </w:r>
          </w:p>
        </w:tc>
      </w:tr>
      <w:tr>
        <w:trPr>
          <w:cantSplit/>
        </w:trPr>
        <w:tc>
          <w:tcPr>
            <w:tcW w:type="dxa" w:w="1242"/>
            <w:vAlign w:val="center"/>
          </w:tcPr>
          <w:p>
            <w:r>
              <w:t>Stabilized IPW</w:t>
            </w:r>
          </w:p>
        </w:tc>
        <w:tc>
          <w:tcPr>
            <w:tcW w:type="dxa" w:w="1242"/>
            <w:vAlign w:val="center"/>
          </w:tcPr>
          <w:p>
            <w:r>
              <w:t>1.009</w:t>
            </w:r>
          </w:p>
        </w:tc>
        <w:tc>
          <w:tcPr>
            <w:tcW w:type="dxa" w:w="1242"/>
            <w:vAlign w:val="center"/>
          </w:tcPr>
          <w:p>
            <w:r>
              <w:t>0.097</w:t>
            </w:r>
          </w:p>
        </w:tc>
        <w:tc>
          <w:tcPr>
            <w:tcW w:type="dxa" w:w="1242"/>
            <w:vAlign w:val="center"/>
          </w:tcPr>
          <w:p>
            <w:r>
              <w:t>0.856</w:t>
            </w:r>
          </w:p>
        </w:tc>
        <w:tc>
          <w:tcPr>
            <w:tcW w:type="dxa" w:w="1242"/>
            <w:vAlign w:val="center"/>
          </w:tcPr>
          <w:p>
            <w:r>
              <w:t>0.901</w:t>
            </w:r>
          </w:p>
        </w:tc>
        <w:tc>
          <w:tcPr>
            <w:tcW w:type="dxa" w:w="1242"/>
            <w:vAlign w:val="center"/>
          </w:tcPr>
          <w:p>
            <w:r>
              <w:t>0.986</w:t>
            </w:r>
          </w:p>
        </w:tc>
        <w:tc>
          <w:tcPr>
            <w:tcW w:type="dxa" w:w="1242"/>
            <w:vAlign w:val="center"/>
          </w:tcPr>
          <w:p>
            <w:r>
              <w:t>1.199</w:t>
            </w:r>
          </w:p>
        </w:tc>
        <w:tc>
          <w:tcPr>
            <w:tcW w:type="dxa" w:w="1242"/>
            <w:vAlign w:val="center"/>
          </w:tcPr>
          <w:p>
            <w:r>
              <w:t>1.559</w:t>
            </w:r>
          </w:p>
        </w:tc>
      </w:tr>
      <w:tr>
        <w:trPr>
          <w:cantSplit/>
        </w:trPr>
        <w:tc>
          <w:tcPr>
            <w:tcW w:type="dxa" w:w="1242"/>
            <w:vAlign w:val="center"/>
          </w:tcPr>
          <w:p>
            <w:r>
              <w:t>Trimmed IPW (1/99)</w:t>
            </w:r>
          </w:p>
        </w:tc>
        <w:tc>
          <w:tcPr>
            <w:tcW w:type="dxa" w:w="1242"/>
            <w:vAlign w:val="center"/>
          </w:tcPr>
          <w:p>
            <w:r>
              <w:t>1.008</w:t>
            </w:r>
          </w:p>
        </w:tc>
        <w:tc>
          <w:tcPr>
            <w:tcW w:type="dxa" w:w="1242"/>
            <w:vAlign w:val="center"/>
          </w:tcPr>
          <w:p>
            <w:r>
              <w:t>0.094</w:t>
            </w:r>
          </w:p>
        </w:tc>
        <w:tc>
          <w:tcPr>
            <w:tcW w:type="dxa" w:w="1242"/>
            <w:vAlign w:val="center"/>
          </w:tcPr>
          <w:p>
            <w:r>
              <w:t>0.884</w:t>
            </w:r>
          </w:p>
        </w:tc>
        <w:tc>
          <w:tcPr>
            <w:tcW w:type="dxa" w:w="1242"/>
            <w:vAlign w:val="center"/>
          </w:tcPr>
          <w:p>
            <w:r>
              <w:t>0.901</w:t>
            </w:r>
          </w:p>
        </w:tc>
        <w:tc>
          <w:tcPr>
            <w:tcW w:type="dxa" w:w="1242"/>
            <w:vAlign w:val="center"/>
          </w:tcPr>
          <w:p>
            <w:r>
              <w:t>0.986</w:t>
            </w:r>
          </w:p>
        </w:tc>
        <w:tc>
          <w:tcPr>
            <w:tcW w:type="dxa" w:w="1242"/>
            <w:vAlign w:val="center"/>
          </w:tcPr>
          <w:p>
            <w:r>
              <w:t>1.199</w:t>
            </w:r>
          </w:p>
        </w:tc>
        <w:tc>
          <w:tcPr>
            <w:tcW w:type="dxa" w:w="1242"/>
            <w:vAlign w:val="center"/>
          </w:tcPr>
          <w:p>
            <w:r>
              <w:t>1.361</w:t>
            </w:r>
          </w:p>
        </w:tc>
      </w:tr>
      <w:tr>
        <w:trPr>
          <w:cantSplit/>
        </w:trPr>
        <w:tc>
          <w:tcPr>
            <w:tcW w:type="dxa" w:w="1242"/>
            <w:vAlign w:val="center"/>
          </w:tcPr>
          <w:p>
            <w:r>
              <w:t>Trimmed IPW (5/95)</w:t>
            </w:r>
          </w:p>
        </w:tc>
        <w:tc>
          <w:tcPr>
            <w:tcW w:type="dxa" w:w="1242"/>
            <w:vAlign w:val="center"/>
          </w:tcPr>
          <w:p>
            <w:r>
              <w:t>1.005</w:t>
            </w:r>
          </w:p>
        </w:tc>
        <w:tc>
          <w:tcPr>
            <w:tcW w:type="dxa" w:w="1242"/>
            <w:vAlign w:val="center"/>
          </w:tcPr>
          <w:p>
            <w:r>
              <w:t>0.082</w:t>
            </w:r>
          </w:p>
        </w:tc>
        <w:tc>
          <w:tcPr>
            <w:tcW w:type="dxa" w:w="1242"/>
            <w:vAlign w:val="center"/>
          </w:tcPr>
          <w:p>
            <w:r>
              <w:t>0.901</w:t>
            </w:r>
          </w:p>
        </w:tc>
        <w:tc>
          <w:tcPr>
            <w:tcW w:type="dxa" w:w="1242"/>
            <w:vAlign w:val="center"/>
          </w:tcPr>
          <w:p>
            <w:r>
              <w:t>0.901</w:t>
            </w:r>
          </w:p>
        </w:tc>
        <w:tc>
          <w:tcPr>
            <w:tcW w:type="dxa" w:w="1242"/>
            <w:vAlign w:val="center"/>
          </w:tcPr>
          <w:p>
            <w:r>
              <w:t>0.986</w:t>
            </w:r>
          </w:p>
        </w:tc>
        <w:tc>
          <w:tcPr>
            <w:tcW w:type="dxa" w:w="1242"/>
            <w:vAlign w:val="center"/>
          </w:tcPr>
          <w:p>
            <w:r>
              <w:t>1.199</w:t>
            </w:r>
          </w:p>
        </w:tc>
        <w:tc>
          <w:tcPr>
            <w:tcW w:type="dxa" w:w="1242"/>
            <w:vAlign w:val="center"/>
          </w:tcPr>
          <w:p>
            <w:r>
              <w:t>1.199</w:t>
            </w:r>
          </w:p>
        </w:tc>
      </w:tr>
    </w:tbl>
    <w:p/>
    <w:p>
      <w:r>
        <w:t>Note on follow-up timing: Because exact death timing was available for only one death interval, mean and median follow-up time are not reported for deaths. The all-included timing summary is therefore driven almost entirely by survivor intervals.</w:t>
      </w:r>
    </w:p>
    <w:p>
      <w:r>
        <w:t>Note on IPW diagnostics: The attrition model used stabilized inverse-probability weights for observed follow-up. The primary weighted sensitivity analysis used weights trimmed at the 5th and 95th percentiles; the weight distribution was narrow, supporting weight stability.</w:t>
      </w:r>
    </w:p>
    <w:sectPr w:rsidR="00FC693F" w:rsidRPr="0006063C" w:rsidSect="00034616"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480" w:lineRule="auto" w:after="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Template>Normal.dotm</ep:Template>
  <ep:TotalTime>0</ep:TotalTime>
  <ep:Pages>1</ep:Pages>
  <ep:Words>0</ep:Words>
  <ep:Characters>0</ep:Characters>
  <ep:Application>Microsoft Word</ep:Application>
  <ep:DocSecurity>0</ep:DocSecurity>
  <ep:Lines>0</ep:Lines>
  <ep:Paragraphs>0</ep:Paragraphs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Guilin University</ep:Company>
  <ep:LinksUpToDate>false</ep:LinksUpToDate>
  <ep:CharactersWithSpaces>0</ep:CharactersWithSpaces>
  <ep:SharedDoc>false</ep:SharedDoc>
  <ep:HyperlinkBase/>
  <ep:HyperlinksChanged>false</ep:HyperlinksChanged>
  <ep:AppVersion>16.0000</ep:AppVersion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/>
  <dc:subject/>
  <dc:creator>Tianzheng Lu; Yongbin Li; Minghao Chen</dc:creator>
  <cp:keywords/>
  <dc:description/>
  <cp:lastModifiedBy>Yongbin Li</cp:lastModifiedBy>
  <cp:revision>1</cp:revision>
  <dcterms:created xsi:type="dcterms:W3CDTF">2026-07-17T00:00:00Z</dcterms:created>
  <dcterms:modified xsi:type="dcterms:W3CDTF">2026-07-17T00:00:00Z</dcterms:modified>
  <cp:category/>
</cp:coreProperties>
</file>