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Supplementary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CCNIF: A Reproducible Causal-Network Framework for Prioritizing and Characterizing Candidate Cancer Driver Genes in Lung Adenocarcinoma</w:t>
      </w:r>
    </w:p>
    <w:p w:rsidR="00000000" w:rsidDel="00000000" w:rsidP="00000000" w:rsidRDefault="00000000" w:rsidRPr="00000000" w14:paraId="00000003">
      <w:pPr>
        <w:spacing w:after="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Mohd Sameer, Pankaj Chauhan</w:t>
      </w:r>
    </w:p>
    <w:p w:rsidR="00000000" w:rsidDel="00000000" w:rsidP="00000000" w:rsidRDefault="00000000" w:rsidRPr="00000000" w14:paraId="00000005">
      <w:pPr>
        <w:spacing w:after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0" w:lineRule="auto"/>
        <w:rPr/>
      </w:pPr>
      <w:r w:rsidDel="00000000" w:rsidR="00000000" w:rsidRPr="00000000">
        <w:rPr>
          <w:rtl w:val="0"/>
        </w:rPr>
        <w:t xml:space="preserve">Supplementary Table S1. Complete ranking, confidence, quality, and reliability scores for all 50 candidate driver genes.</w:t>
      </w:r>
    </w:p>
    <w:tbl>
      <w:tblPr>
        <w:tblStyle w:val="Table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1400"/>
        <w:gridCol w:w="1500"/>
        <w:gridCol w:w="1000"/>
        <w:gridCol w:w="1500"/>
        <w:gridCol w:w="1600"/>
        <w:gridCol w:w="1500"/>
        <w:tblGridChange w:id="0">
          <w:tblGrid>
            <w:gridCol w:w="700"/>
            <w:gridCol w:w="1400"/>
            <w:gridCol w:w="1500"/>
            <w:gridCol w:w="1000"/>
            <w:gridCol w:w="1500"/>
            <w:gridCol w:w="1600"/>
            <w:gridCol w:w="15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Quality 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Reliability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SFTPB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94.627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89.8336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ZFHX4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93.1089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88.6429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EGFR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92.3442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88.0431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MUC16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91.8592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87.6627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90.9053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86.9146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88.4452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84.9851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88.3351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84.8988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86.0353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83.095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83.4442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81.0627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82.7145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80.4904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ENO1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82.1736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80.0662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81.7582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79.7404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80.6954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78.9068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SLC34A2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80.4861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78.7427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TP53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75.9613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75.1938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HLA-B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71.4905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71.6873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PLEC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70.4075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70.8379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FN1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70.2238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70.6938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SRRM2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70.1778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70.6577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MXRA5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69.6386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70.2348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66.8294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68.0315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65.2244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66.7727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MYH9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64.4608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66.1738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64.1518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65.9314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HUWE1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62.7424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HSP90AB1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64.2668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64.2558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VCAN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61.2441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63.6509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60.7842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63.2902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FLNA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60.2558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62.8758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KEAP1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59.8595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62.5649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FTL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62.3826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59.2424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LRP1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57.4261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60.6564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56.2646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59.7454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COL3A1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53.9729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PSAP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57.6532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53.4737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57.5565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53.2427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57.3753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53.0336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57.2113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COL5A2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52.6474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56.9084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49.5174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54.4535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48.9948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54.0436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RYR2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48.6894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53.8041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MACF1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47.2498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52.675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ADAMTS12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46.2799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51.9143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COL6A3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45.803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51.5402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SYNE2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45.6402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51.4125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IGKC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45.3444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51.1805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43.9643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50.0981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S2. External database validation results for all 50 candidate drivers.</w:t>
      </w:r>
    </w:p>
    <w:tbl>
      <w:tblPr>
        <w:tblStyle w:val="Table2"/>
        <w:tblW w:w="10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1400"/>
        <w:gridCol w:w="900"/>
        <w:gridCol w:w="1500"/>
        <w:gridCol w:w="1500"/>
        <w:gridCol w:w="1700"/>
        <w:gridCol w:w="1200"/>
        <w:gridCol w:w="1200"/>
        <w:tblGridChange w:id="0">
          <w:tblGrid>
            <w:gridCol w:w="700"/>
            <w:gridCol w:w="1400"/>
            <w:gridCol w:w="900"/>
            <w:gridCol w:w="1500"/>
            <w:gridCol w:w="1500"/>
            <w:gridCol w:w="1700"/>
            <w:gridCol w:w="1200"/>
            <w:gridCol w:w="12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IntOGen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OncoKB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CancerMine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NCG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Any Match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SFTPB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ZFHX4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EGFR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MUC16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ENO1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SLC34A2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TP53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HLA-B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PLEC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FN1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SRRM2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MXRA5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MYH9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HUWE1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HSP90AB1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VCAN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FLNA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KEAP1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FTL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LRP1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COL3A1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PSAP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COL5A2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RYR2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MACF1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ADAMTS12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COL6A3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SYNE2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IGKC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False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4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True</w:t>
            </w:r>
          </w:p>
        </w:tc>
      </w:tr>
    </w:tbl>
    <w:p w:rsidR="00000000" w:rsidDel="00000000" w:rsidP="00000000" w:rsidRDefault="00000000" w:rsidRPr="00000000" w14:paraId="00000305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S3. Biological benchmark summary by external database.</w:t>
      </w:r>
    </w:p>
    <w:tbl>
      <w:tblPr>
        <w:tblStyle w:val="Table3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2500"/>
        <w:gridCol w:w="2500"/>
        <w:gridCol w:w="2500"/>
        <w:tblGridChange w:id="0">
          <w:tblGrid>
            <w:gridCol w:w="2500"/>
            <w:gridCol w:w="2500"/>
            <w:gridCol w:w="2500"/>
            <w:gridCol w:w="25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Database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Reference Genes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Matched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Coverage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IntOGen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24.0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OncoKB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26.0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CancerMine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7266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76.0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NCG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3347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A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S4. CCNIF framework summary statistics.</w:t>
      </w:r>
    </w:p>
    <w:tbl>
      <w:tblPr>
        <w:tblStyle w:val="Table4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Total candidate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Mean confidence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66.169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Mean quality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67.513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Mean reliability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Tier A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Tier B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Tier C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Tier D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D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S5. All-driver scores across the full evidence-integration pipeline.</w:t>
      </w:r>
    </w:p>
    <w:tbl>
      <w:tblPr>
        <w:tblStyle w:val="Table5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1600"/>
        <w:gridCol w:w="1800"/>
        <w:gridCol w:w="1200"/>
        <w:gridCol w:w="1800"/>
        <w:gridCol w:w="1800"/>
        <w:tblGridChange w:id="0">
          <w:tblGrid>
            <w:gridCol w:w="800"/>
            <w:gridCol w:w="1600"/>
            <w:gridCol w:w="1800"/>
            <w:gridCol w:w="1200"/>
            <w:gridCol w:w="1800"/>
            <w:gridCol w:w="18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2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Reliability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SFTPB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94.627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89.8336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ZFHX4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93.1089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88.6429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EGFR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92.3442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88.0431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MUC16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91.8592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87.6627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90.9053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86.9146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88.4452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84.9851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88.3351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84.8988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86.0353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83.095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83.4442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81.0627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82.7145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80.4904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ENO1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82.1736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80.0662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81.7582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79.7404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80.6954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78.9068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SLC34A2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80.4861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78.7427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TP53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75.9613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75.1938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HLA-B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71.4905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71.6873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PLEC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70.4075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70.8379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FN1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70.2238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70.6938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SRRM2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70.1778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70.6577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MXRA5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69.6386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70.2348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66.8294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68.0315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65.2244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66.7727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MYH9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64.4608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66.1738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64.1518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65.9314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HUWE1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62.7424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HSP90AB1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64.2668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64.2558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VCAN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61.2441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63.6509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60.7842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63.2902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FLNA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60.2558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62.8758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KEAP1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59.8595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62.5649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E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FTL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62.3826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59.2424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62.0809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LRP1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57.4261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60.6564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3F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56.2646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59.7454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COL3A1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53.9729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PSAP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57.6532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53.4737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57.5565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53.2427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57.3753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53.0336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57.2113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COL5A2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52.6474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56.9084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49.5174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54.4535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2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48.9948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54.0436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RYR2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48.6894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53.8041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MACF1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47.2498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52.675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ADAMTS12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46.2799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51.9143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COL6A3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45.803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51.5402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SYNE2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45.6402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51.4125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IGKC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45.3444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51.1805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43.9643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50.0981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95.3568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0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S6. Discovery-stage ranked driver list.</w:t>
      </w:r>
    </w:p>
    <w:tbl>
      <w:tblPr>
        <w:tblStyle w:val="Table6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0"/>
        <w:gridCol w:w="1500"/>
        <w:gridCol w:w="1300"/>
        <w:gridCol w:w="1500"/>
        <w:gridCol w:w="1500"/>
        <w:gridCol w:w="1500"/>
        <w:gridCol w:w="1400"/>
        <w:tblGridChange w:id="0">
          <w:tblGrid>
            <w:gridCol w:w="1300"/>
            <w:gridCol w:w="1500"/>
            <w:gridCol w:w="1300"/>
            <w:gridCol w:w="1500"/>
            <w:gridCol w:w="1500"/>
            <w:gridCol w:w="1500"/>
            <w:gridCol w:w="14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Gene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Mutated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Mean Expression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Mutation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Expression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Driver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TP53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0.4851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0.4715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0.7886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TTN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0.8939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0.2396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0.6322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MUC16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0.6284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0.2752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0.5673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0.5347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RYR2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0.1595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0.4924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COL3A1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0.8436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0.4673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COL6A3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0.4331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ZFHX4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0.4328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12.46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0.4220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0.2204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0.4205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KEAP1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0.1802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0.3714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0.4895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0.4187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0.8352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0.4124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VCAN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0.1347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0.5802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FN1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PLEC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0.0911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0.1878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EGFR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0.5610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FLNA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0.9604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E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0.9399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0.3906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COL1A1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0.3885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SFTPB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4F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0.3874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0.3866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FTL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0.9532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0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0.3837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MXRA5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0.5238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0.3809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0.3790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IGKC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1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0.9245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0.3747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SYNE2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0.2408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0.5593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MYH9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2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0.8264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0.2571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0.5318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EEF2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3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0.8679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HUWE1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0.0812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0.1673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0.6566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4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MACF1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0.0832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0.1714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0.6479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PSAP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0.8733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0.3616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IGHA1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5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0.8619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ADAMTS12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0.1743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LRP1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0.0713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6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SRRM2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0.7365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ENO1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7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HSP90AB1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0.8368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HLA-B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0.8628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8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0.8505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0.7702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SLC34A2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9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RPL3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10.68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0.8576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COL5A2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0.0931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0.1918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A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0.5806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0.0594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COL4A2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0.0594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0.6819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B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AHNAK2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0.2612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0.4733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0.3460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6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S7. Confidence tier assignments for all 50 candidate drivers.</w:t>
      </w:r>
    </w:p>
    <w:tbl>
      <w:tblPr>
        <w:tblStyle w:val="Table7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Confidence 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C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D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C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D1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S8. Quality tier assignments for all 50 candidate drivers.</w:t>
      </w:r>
    </w:p>
    <w:tbl>
      <w:tblPr>
        <w:tblStyle w:val="Table8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Quality Tier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Bronze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6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7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8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9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A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B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DC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S9. Software packages used in the CCNIF pipeline.</w:t>
      </w:r>
    </w:p>
    <w:tbl>
      <w:tblPr>
        <w:tblStyle w:val="Table9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Software / Package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E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DF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Python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0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clusterProfiler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1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ReactomePA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2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DOSE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3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fgsea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4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data.table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5E5">
            <w:pPr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pandas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6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S10. Gene Ontology enrichment results (top unique terms by adjusted p-value).</w:t>
      </w:r>
    </w:p>
    <w:p w:rsidR="00000000" w:rsidDel="00000000" w:rsidP="00000000" w:rsidRDefault="00000000" w:rsidRPr="00000000" w14:paraId="000005E7">
      <w:pPr>
        <w:spacing w:after="20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Full tables contain 2,800 (Biological Process), 1,000 (Cellular Component), and 1,550 (Molecular Function) driver term pairs across the 50-gene panel. Because most panel genes' differential expression signal derives from a shared cohort-wide background distribution at the current pipeline stage (see main text Discussion, Limitations), the same top-ranked terms recur across many drivers; the tables below show the 20 most significant DISTINCT terms (one representative driver term pair per term, by lowest adjusted p-value) rather than the top 20 rows by raw rank, to avoid a table dominated by repeated entries. Complete, unfiltered tables are available from the corresponding author upon request.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Table S11a. Gene Ontology Biological Process — top 20 terms.</w:t>
      </w:r>
      <w:r w:rsidDel="00000000" w:rsidR="00000000" w:rsidRPr="00000000">
        <w:rPr>
          <w:rtl w:val="0"/>
        </w:rPr>
      </w:r>
    </w:p>
    <w:tbl>
      <w:tblPr>
        <w:tblStyle w:val="Table10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400"/>
        <w:gridCol w:w="4400"/>
        <w:gridCol w:w="1400"/>
        <w:gridCol w:w="1600"/>
        <w:tblGridChange w:id="0">
          <w:tblGrid>
            <w:gridCol w:w="1200"/>
            <w:gridCol w:w="1400"/>
            <w:gridCol w:w="4400"/>
            <w:gridCol w:w="1400"/>
            <w:gridCol w:w="16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GO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E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GO:0007586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digestion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2.33e-5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GO:0019731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antibacterial humoral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7.52e-5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GO:0030277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maintenance of gastrointestinal epithelium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7.80e-4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GO:0019730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5F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antimicrobial humoral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7.80e-4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GO:0002775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antimicrobial peptide 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22.80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8.78e-4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GO:0042403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thyroid hormone metabolic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11.33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1.16e-3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GO:0042445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hormone metabolic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0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1.16e-3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GO:0006590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thyroid hormone generation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GO:0022600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digestive system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GO:0018958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phenol-containing compound metabolic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1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GO:0042742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defense response to bacterium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GO:0006959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humoral immune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GO:0010669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epithelial structure maintenance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2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GO:0035725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sodium ion transmembrane transport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5.93e-3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GO:0048593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camera-type eye morphogenesis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6.87e-3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GO:0090596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sensory organ morphogenesis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7.53e-3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3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GO:0006953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acute-phase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7.53e-3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GO:0021536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diencephalon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7.69e-3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GO:0060078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regulation of postsynaptic membrane potential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9.84e-3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GO:0048592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4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eye morphogenesis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9.84e-3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52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Table S11b. Gene Ontology Cellular Component — top 20 terms.</w:t>
      </w:r>
      <w:r w:rsidDel="00000000" w:rsidR="00000000" w:rsidRPr="00000000">
        <w:rPr>
          <w:rtl w:val="0"/>
        </w:rPr>
      </w:r>
    </w:p>
    <w:tbl>
      <w:tblPr>
        <w:tblStyle w:val="Table11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400"/>
        <w:gridCol w:w="4400"/>
        <w:gridCol w:w="1400"/>
        <w:gridCol w:w="1600"/>
        <w:tblGridChange w:id="0">
          <w:tblGrid>
            <w:gridCol w:w="1200"/>
            <w:gridCol w:w="1400"/>
            <w:gridCol w:w="4400"/>
            <w:gridCol w:w="1400"/>
            <w:gridCol w:w="16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GO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GO:0042599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lamellar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16.10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4.15e-4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GO:0045178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5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basal part of cell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6.35e-4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GO:0009925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basal plasma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2.12e-3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GO:0016323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basolateral plasma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4.10e-3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GO:0097060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synaptic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6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GO:0016324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apical plasma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GO:0034702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monoatomic ion channel complex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GO:0042734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presynaptic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7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GO:0031012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extracellular matrix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GO:0030312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external encapsulating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GO:0005771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multivesicular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1.67e-2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8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GO:0098839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postsynaptic density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GO:0045211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postsynaptic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GO:0099634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postsynaptic specialization membrane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9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GO:0071682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endocytic vesicle lumen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GO:0034705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potassium channel complex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GO:0034703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cation channel complex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3.34e-2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GO:0008328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A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ionotropic glutamate receptor complex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3.72e-2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GO:0005796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Golgi lumen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3.72e-2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GO:0043679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axon terminus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4.68e-2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C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Table S11c. Gene Ontology Molecular Function — top 20 terms.</w:t>
      </w:r>
      <w:r w:rsidDel="00000000" w:rsidR="00000000" w:rsidRPr="00000000">
        <w:rPr>
          <w:rtl w:val="0"/>
        </w:rPr>
      </w:r>
    </w:p>
    <w:tbl>
      <w:tblPr>
        <w:tblStyle w:val="Table12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400"/>
        <w:gridCol w:w="4400"/>
        <w:gridCol w:w="1400"/>
        <w:gridCol w:w="1600"/>
        <w:tblGridChange w:id="0">
          <w:tblGrid>
            <w:gridCol w:w="1200"/>
            <w:gridCol w:w="1400"/>
            <w:gridCol w:w="4400"/>
            <w:gridCol w:w="1400"/>
            <w:gridCol w:w="16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GO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B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GO:0004252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serine-type endopeptidase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GO:0017171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serine hydrolase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GO:0030594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neurotransmitter receptor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C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GO:0022836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gated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monoatomic ion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6.65e-3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GO:0008236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serine-type peptidase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D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6.65e-3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GO:0046873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metal ion transmembrane transporter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6.65e-3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GO:0004175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endopeptidase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GO:0015276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ligand-gated monoatomic ion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E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GO:0022834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ligand-gated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GO:0046943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carboxylic acid transmembrane transporter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GO:0005342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organic acid transmembrane transporter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1.01e-2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6F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GO:0022824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transmitter-gated monoatomic ion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1.50e-2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GO:0022835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transmitter-gated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1.50e-2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GO:0047498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calcium-dependent phospholipase A2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11.20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1.50e-2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GO:0004970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0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glutamate-gated receptor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1.78e-2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GO:0008514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organic anion transmembrane transporter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2.24e-2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GO:0005272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sodium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2.42e-2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GO:0015081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sodium ion transmembrane transporter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1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2.42e-2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GO:0005230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extracellular ligand-gated monoatomic ion channel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2.69e-2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6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S11. KEGG pathway enrichment results (top 20 by adjusted p-value).</w:t>
      </w:r>
    </w:p>
    <w:p w:rsidR="00000000" w:rsidDel="00000000" w:rsidP="00000000" w:rsidRDefault="00000000" w:rsidRPr="00000000" w14:paraId="00000727">
      <w:pPr>
        <w:spacing w:after="20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Full table contains 350 driver pathway pairs across the 50-gene panel. The 20 most significant DISTINCT pathways are shown (see note under Table S11 on shared background distribution).</w:t>
      </w:r>
      <w:r w:rsidDel="00000000" w:rsidR="00000000" w:rsidRPr="00000000">
        <w:rPr>
          <w:rtl w:val="0"/>
        </w:rPr>
      </w:r>
    </w:p>
    <w:tbl>
      <w:tblPr>
        <w:tblStyle w:val="Table13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400"/>
        <w:gridCol w:w="4400"/>
        <w:gridCol w:w="1400"/>
        <w:gridCol w:w="1600"/>
        <w:tblGridChange w:id="0">
          <w:tblGrid>
            <w:gridCol w:w="1200"/>
            <w:gridCol w:w="1400"/>
            <w:gridCol w:w="4400"/>
            <w:gridCol w:w="1400"/>
            <w:gridCol w:w="16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Pathway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hsa00590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2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Arachidonic acid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hsa04972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Pancreatic secretion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4.23e-3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hsa04080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Neuroactive ligand-receptor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4.23e-3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hsa00591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Linoleic acid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3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1.84e-2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hsa04918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Thyroid hormone synthesis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3.68e-2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hsa04614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Renin-angiotensin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4.35e-2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hsa05033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Nicotine addiction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4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4.64e-2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0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S12. Reactome pathway enrichment results (top 20 by adjusted p-value).</w:t>
      </w:r>
    </w:p>
    <w:p w:rsidR="00000000" w:rsidDel="00000000" w:rsidP="00000000" w:rsidRDefault="00000000" w:rsidRPr="00000000" w14:paraId="00000751">
      <w:pPr>
        <w:spacing w:after="20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Full table contains 1,200 driver pathway pairs across the 50-gene panel. The 20 most significant DISTINCT pathways are shown (see note under Table S11 on shared background distribution).</w:t>
      </w:r>
      <w:r w:rsidDel="00000000" w:rsidR="00000000" w:rsidRPr="00000000">
        <w:rPr>
          <w:rtl w:val="0"/>
        </w:rPr>
      </w:r>
    </w:p>
    <w:tbl>
      <w:tblPr>
        <w:tblStyle w:val="Table14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1400"/>
        <w:gridCol w:w="4400"/>
        <w:gridCol w:w="1400"/>
        <w:gridCol w:w="1600"/>
        <w:tblGridChange w:id="0">
          <w:tblGrid>
            <w:gridCol w:w="1200"/>
            <w:gridCol w:w="1400"/>
            <w:gridCol w:w="4400"/>
            <w:gridCol w:w="1400"/>
            <w:gridCol w:w="16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Driver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Pathway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R-HSA-9734767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Developmental Cell Lineages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8.25e-4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R-HSA-1592389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Activation of Matrix Metalloproteinases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5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1.94e-3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R-HSA-209968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Thyroxine biosynthesis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16.11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1.94e-3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R-HSA-2022377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Metabolism of Angiotensinogen to Angiotensins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R-HSA-5683826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Surfactant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6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R-HSA-5083625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Defective GALNT3 causes HFTC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12.53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R-HSA-5083636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Defective GALNT12 causes CRCS1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12.53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R-HSA-5083632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Defective C1GALT1C1 causes TNPS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11.87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3.85e-3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7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R-HSA-1474228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Degradation of the extracellular matrix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4.11e-3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R-HSA-9925561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Developmental Lineage of Pancreatic Acinar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4.15e-3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R-HSA-9820448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Developmental Cell Lineages of the Exocrine Pancreas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5.21e-3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8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R-HSA-209776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Metabolism of amine-derived hormones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5.21e-3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R-HSA-381426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Regulation of Insulin-like Growth Factor (IGF) transport and uptake by Insulin-like Growth Factor Binding Proteins (IGFBPs)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5.21e-3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R-HSA-2980736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Peptide hormone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6.60e-3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R-HSA-977068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9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Termination of O-glycan biosynthesis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8.42e-3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R-HSA-6803157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Antimicrobial peptides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1.04e-2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R-HSA-5621480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Dectin-2 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1.30e-2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R-HSA-1482922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Acyl chain remodelling of 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A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1.65e-2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R-HSA-1482925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Acyl chain remodelling of 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1.97e-2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COL4A1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R-HSA-8957275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Post-translational protein phosphorylation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2.16e-2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B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S13. Disease Ontology enrichment results for the TP53 case study.</w:t>
      </w:r>
    </w:p>
    <w:p w:rsidR="00000000" w:rsidDel="00000000" w:rsidP="00000000" w:rsidRDefault="00000000" w:rsidRPr="00000000" w14:paraId="000007BC">
      <w:pPr>
        <w:spacing w:after="20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Disease Ontology enrichment is reported for TP53, the panel's fully evidence-integrated case-study driver (see main text). All 24 significant terms are shown.</w:t>
      </w:r>
      <w:r w:rsidDel="00000000" w:rsidR="00000000" w:rsidRPr="00000000">
        <w:rPr>
          <w:rtl w:val="0"/>
        </w:rPr>
      </w:r>
    </w:p>
    <w:tbl>
      <w:tblPr>
        <w:tblStyle w:val="Table15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4400"/>
        <w:gridCol w:w="1400"/>
        <w:gridCol w:w="1600"/>
        <w:gridCol w:w="1200"/>
        <w:tblGridChange w:id="0">
          <w:tblGrid>
            <w:gridCol w:w="1400"/>
            <w:gridCol w:w="4400"/>
            <w:gridCol w:w="1400"/>
            <w:gridCol w:w="1600"/>
            <w:gridCol w:w="12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DOID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B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Fold Enr.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DOID:3324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mood disorder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3.14e-4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DOID:2320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obstructive lung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3.14e-4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lung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C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3.14e-4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DOID:3083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chronic obstructive pulmonary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8.17e-4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bronchial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1.82e-3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DOID:874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bacterial 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1.82e-3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D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endocrine system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3.32e-3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DOID:2841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asthma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3.34e-3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DOID:12716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newborn respiratory distress syndrome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5.22e-3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E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depressive disorder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9.36e-3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thyroid gland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9.36e-3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DOID:12120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pulmonary alveolar proteinosis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9.36e-3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DOID:1485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7F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cystic fibrosis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9.36e-3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DOID:0050127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sinusitis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1.37e-2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DOID:1352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paranasal sinus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1.37e-2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DOID:3587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pancreatic ductal carcinoma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0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1.37e-2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1.47e-2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DOID:3082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interstitial lung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2.42e-2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DOID:4897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bile duct carcinoma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1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2.54e-2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DOID:934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viral infectious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2.79e-2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DOID:4606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bile duct cancer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3.01e-2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DOID:3312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bipolar disorder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2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DOID:1273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respiratory syncytial virus infectious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3.59e-2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DOID:784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chronic kidney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4.84e-2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3A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Table S14. Gene set enrichment analysis (MSigDB Hallmark) results for the TP53 case study.</w:t>
      </w:r>
    </w:p>
    <w:p w:rsidR="00000000" w:rsidDel="00000000" w:rsidP="00000000" w:rsidRDefault="00000000" w:rsidRPr="00000000" w14:paraId="0000083B">
      <w:pPr>
        <w:spacing w:after="200" w:lineRule="auto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All 50 Hallmark gene sets tested are shown, ranked by adjusted p-value. NES: normalized enrichment score.</w:t>
      </w:r>
      <w:r w:rsidDel="00000000" w:rsidR="00000000" w:rsidRPr="00000000">
        <w:rPr>
          <w:rtl w:val="0"/>
        </w:rPr>
      </w:r>
    </w:p>
    <w:tbl>
      <w:tblPr>
        <w:tblStyle w:val="Table16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0"/>
        <w:gridCol w:w="1600"/>
        <w:gridCol w:w="1800"/>
        <w:gridCol w:w="1400"/>
        <w:tblGridChange w:id="0">
          <w:tblGrid>
            <w:gridCol w:w="5200"/>
            <w:gridCol w:w="1600"/>
            <w:gridCol w:w="1800"/>
            <w:gridCol w:w="1400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Pathway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p.adjust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3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Set 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E2F TARGETS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3.11e-41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G2M CHECKPOINT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2.654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4.25e-37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MITOTIC SPINDLE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1.12e-10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MYC TARGETS 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6.69e-9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4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SPERMATOGENESIS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4.72e-8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FATTY ACID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-2.056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3.30e-7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P53 PATHWAY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-1.913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1.27e-6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MTORC1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5.91e-6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5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ADIPOGENESIS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1.09e-5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COAGULATION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-1.912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1.00e-4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TNFA SIGNALING VIA NFKB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-1.692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1.09e-4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XENOBIOTIC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-1.691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2.12e-4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6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ESTROGEN RESPONSE EARLY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7.49e-4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BILE ACID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-1.768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2.29e-3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MYC TARGETS V2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1.703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2.74e-3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IL2 STAT5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5.83e-3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7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DNA REPAIR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1.493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1.32e-2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PEROXISOME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-1.542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HEME METABOLISM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-1.364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ANGIOGENESIS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-1.721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2.38e-2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8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ESTROGEN RESPONSE 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4.74e-2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GLYCOLYSIS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1.344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4.89e-2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MYOGENESIS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-1.281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8.10e-2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UV RESPONSE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-1.318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8.75e-2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9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PANCREAS BETA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-1.544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KRAS SIGNALING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1.26e-1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UV RESPONSE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1.73e-1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OXIDATIVE PHOSPHORYLATION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-1.211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1.90e-1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A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UNFOLDED PROTEIN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2.36e-1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HYPOXIA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ALLOGRAFT REJECTION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2.75e-1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NOTCH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4.27e-1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B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PI3K AKT MTOR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4.27e-1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INTERFERON ALPHA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4.47e-1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IL6 JAK STAT3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4.64e-1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CHOLESTEROL HOMEOSTASIS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4.96e-1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C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INTERFERON GAMMA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4.97e-1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KRAS SIGNALING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5.13e-1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PROTEIN SECRETION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5.13e-1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REACTIVE OXYGEN SPECIES PATHWAY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5.73e-1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D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COMPLEMENT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6.00e-1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APICAL SURFACE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6.58e-1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WNT BETA CATENIN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6.75e-1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HEDGEHOG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0.889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7.15e-1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E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INFLAMMATORY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7.15e-1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APOPTOSIS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-0.922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7.32e-1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8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ANDROGEN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9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A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7.71e-1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B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C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APICAL JUNCTION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D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0.794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E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9.85e-1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8FF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0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EPITHELIAL MESENCHYMAL TRANSITION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1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-0.748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2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9.88e-1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4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HALLMARK TGF BETA SIGNALING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5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-0.664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6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9.88e-1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60.0" w:type="dxa"/>
              <w:bottom w:w="40.0" w:type="dxa"/>
              <w:right w:w="60.0" w:type="dxa"/>
            </w:tcMar>
          </w:tcPr>
          <w:p w:rsidR="00000000" w:rsidDel="00000000" w:rsidP="00000000" w:rsidRDefault="00000000" w:rsidRPr="00000000" w14:paraId="00000907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8">
      <w:pPr>
        <w:pStyle w:val="Heading1"/>
        <w:pageBreakBefore w:val="1"/>
        <w:spacing w:after="160" w:before="320" w:lineRule="auto"/>
        <w:rPr/>
      </w:pPr>
      <w:r w:rsidDel="00000000" w:rsidR="00000000" w:rsidRPr="00000000">
        <w:rPr>
          <w:rtl w:val="0"/>
        </w:rPr>
        <w:t xml:space="preserve">Supplementary Figures</w:t>
      </w:r>
    </w:p>
    <w:p w:rsidR="00000000" w:rsidDel="00000000" w:rsidP="00000000" w:rsidRDefault="00000000" w:rsidRPr="00000000" w14:paraId="00000909">
      <w:pPr>
        <w:spacing w:after="60" w:before="160" w:lineRule="auto"/>
        <w:rPr>
          <w:i w:val="1"/>
          <w:iCs w:val="1"/>
          <w:color w:val="555555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A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S1. Top 20 candidate driver genes by CCNIF confidence score.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B">
      <w:pPr>
        <w:spacing w:after="8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80723" cy="509832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0723" cy="50983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C">
      <w:pPr>
        <w:spacing w:after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Reproduced from main-text Figure 1 concept at supplementary resolution.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D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S2. Distribution of confidence scores across the 50-gene panel.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E">
      <w:pPr>
        <w:spacing w:after="8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91113" cy="3394075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3394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F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S3. Distribution of quality scores across the 50-gene panel.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0">
      <w:pPr>
        <w:spacing w:after="8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576888" cy="371792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6888" cy="3717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1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S4. Confidence score versus quality score across the 50-gene panel.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2">
      <w:pPr>
        <w:spacing w:after="8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243388" cy="4243388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388" cy="4243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3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S5. Driver confidence tier distribution.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4">
      <w:pPr>
        <w:spacing w:after="80" w:before="1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00538" cy="343659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0538" cy="3436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5">
      <w:pPr>
        <w:spacing w:after="60" w:before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S6. Pipeline workflow schematic. </w:t>
      </w:r>
    </w:p>
    <w:p w:rsidR="00000000" w:rsidDel="00000000" w:rsidP="00000000" w:rsidRDefault="00000000" w:rsidRPr="00000000" w14:paraId="00000916">
      <w:pPr>
        <w:spacing w:after="60" w:before="1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</w:rPr>
        <w:drawing>
          <wp:inline distB="114300" distT="114300" distL="114300" distR="114300">
            <wp:extent cx="3819525" cy="462944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629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7">
      <w:pPr>
        <w:spacing w:after="60" w:before="1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S7. Evidence integration architecture.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spacing w:after="60" w:before="1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4262438" cy="28297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2438" cy="2829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9">
      <w:pPr>
        <w:spacing w:after="60" w:before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Supplementary Figure S8. Benchmark overview.</w:t>
      </w:r>
      <w:r w:rsidDel="00000000" w:rsidR="00000000" w:rsidRPr="00000000">
        <w:rPr>
          <w:b w:val="1"/>
          <w:bCs w:val="1"/>
          <w:sz w:val="20"/>
          <w:szCs w:val="20"/>
        </w:rPr>
        <w:drawing>
          <wp:inline distB="114300" distT="114300" distL="114300" distR="114300">
            <wp:extent cx="5262563" cy="308869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563" cy="3088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