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44BC" w14:textId="77777777" w:rsidR="004877CF" w:rsidRPr="00010668" w:rsidRDefault="004877CF" w:rsidP="00010668">
      <w:pPr>
        <w:jc w:val="both"/>
        <w:rPr>
          <w:rFonts w:ascii="Times New Roman" w:hAnsi="Times New Roman" w:cs="Times New Roman"/>
          <w:szCs w:val="22"/>
        </w:rPr>
      </w:pPr>
      <w:r w:rsidRPr="00010668">
        <w:rPr>
          <w:rFonts w:ascii="Times New Roman" w:hAnsi="Times New Roman" w:cs="Times New Roman"/>
          <w:b/>
          <w:bCs/>
          <w:szCs w:val="22"/>
        </w:rPr>
        <w:t>Figure 1</w:t>
      </w:r>
      <w:r w:rsidRPr="00010668">
        <w:rPr>
          <w:rFonts w:ascii="Times New Roman" w:hAnsi="Times New Roman" w:cs="Times New Roman"/>
          <w:szCs w:val="22"/>
        </w:rPr>
        <w:t xml:space="preserve"> Flowchart for the development of interpretable machine learning models.</w:t>
      </w:r>
    </w:p>
    <w:p w14:paraId="1BB618BC" w14:textId="7B87D03E" w:rsidR="00A02DCD" w:rsidRPr="00010668" w:rsidRDefault="004877CF" w:rsidP="00010668">
      <w:pPr>
        <w:jc w:val="both"/>
        <w:rPr>
          <w:rFonts w:ascii="Times New Roman" w:hAnsi="Times New Roman" w:cs="Times New Roman"/>
          <w:szCs w:val="22"/>
        </w:rPr>
      </w:pPr>
      <w:r w:rsidRPr="00010668">
        <w:rPr>
          <w:rFonts w:ascii="Times New Roman" w:hAnsi="Times New Roman" w:cs="Times New Roman"/>
          <w:b/>
          <w:bCs/>
          <w:szCs w:val="22"/>
        </w:rPr>
        <w:t>Figure 2</w:t>
      </w:r>
      <w:r w:rsidRPr="00010668">
        <w:rPr>
          <w:rFonts w:ascii="Times New Roman" w:hAnsi="Times New Roman" w:cs="Times New Roman"/>
          <w:szCs w:val="22"/>
        </w:rPr>
        <w:t xml:space="preserve"> Area under the receiver operating characteristic curve (AUC-ROC) of the six machine learning models.</w:t>
      </w:r>
      <w:r w:rsidRPr="00010668">
        <w:rPr>
          <w:rFonts w:ascii="Times New Roman" w:hAnsi="Times New Roman" w:cs="Times New Roman"/>
          <w:szCs w:val="22"/>
        </w:rPr>
        <w:t xml:space="preserve"> </w:t>
      </w:r>
      <w:r w:rsidRPr="00010668">
        <w:rPr>
          <w:rFonts w:ascii="Times New Roman" w:hAnsi="Times New Roman" w:cs="Times New Roman"/>
          <w:szCs w:val="22"/>
        </w:rPr>
        <w:t>(A) Receiver Operating Characteristic curve of the training set; (B) Receiver Operating Characteristic curve of the test</w:t>
      </w:r>
      <w:r w:rsidRPr="00010668">
        <w:rPr>
          <w:rFonts w:ascii="Times New Roman" w:hAnsi="Times New Roman" w:cs="Times New Roman"/>
          <w:szCs w:val="22"/>
        </w:rPr>
        <w:t>ing</w:t>
      </w:r>
      <w:r w:rsidRPr="00010668">
        <w:rPr>
          <w:rFonts w:ascii="Times New Roman" w:hAnsi="Times New Roman" w:cs="Times New Roman"/>
          <w:szCs w:val="22"/>
        </w:rPr>
        <w:t xml:space="preserve"> set.</w:t>
      </w:r>
      <w:r w:rsidRPr="00010668">
        <w:rPr>
          <w:rFonts w:ascii="Times New Roman" w:hAnsi="Times New Roman" w:cs="Times New Roman"/>
          <w:szCs w:val="22"/>
        </w:rPr>
        <w:t xml:space="preserve"> </w:t>
      </w:r>
      <w:r w:rsidR="00A02DCD" w:rsidRPr="00010668">
        <w:rPr>
          <w:rFonts w:ascii="Times New Roman" w:eastAsia="宋体" w:hAnsi="Times New Roman" w:cs="Times New Roman"/>
          <w:szCs w:val="22"/>
        </w:rPr>
        <w:t>ROC curve</w:t>
      </w:r>
      <w:r w:rsidRPr="00010668">
        <w:rPr>
          <w:rFonts w:ascii="Times New Roman" w:eastAsia="宋体" w:hAnsi="Times New Roman" w:cs="Times New Roman"/>
          <w:szCs w:val="22"/>
        </w:rPr>
        <w:t xml:space="preserve">, </w:t>
      </w:r>
      <w:r w:rsidRPr="00010668">
        <w:rPr>
          <w:rFonts w:ascii="Times New Roman" w:hAnsi="Times New Roman" w:cs="Times New Roman"/>
          <w:szCs w:val="22"/>
        </w:rPr>
        <w:t>Receiver Operating Characteristic curve</w:t>
      </w:r>
      <w:r w:rsidRPr="00010668">
        <w:rPr>
          <w:rFonts w:ascii="Times New Roman" w:hAnsi="Times New Roman" w:cs="Times New Roman"/>
          <w:szCs w:val="22"/>
        </w:rPr>
        <w:t xml:space="preserve">; </w:t>
      </w:r>
      <w:r w:rsidR="00A02DCD" w:rsidRPr="00010668">
        <w:rPr>
          <w:rFonts w:ascii="Times New Roman" w:eastAsia="宋体" w:hAnsi="Times New Roman" w:cs="Times New Roman"/>
          <w:szCs w:val="22"/>
        </w:rPr>
        <w:t>XGBoost</w:t>
      </w:r>
      <w:r w:rsidRPr="00010668">
        <w:rPr>
          <w:rFonts w:ascii="Times New Roman" w:eastAsia="宋体" w:hAnsi="Times New Roman" w:cs="Times New Roman"/>
          <w:szCs w:val="22"/>
        </w:rPr>
        <w:t xml:space="preserve">, </w:t>
      </w:r>
      <w:r w:rsidRPr="00010668">
        <w:rPr>
          <w:rFonts w:ascii="Times New Roman" w:eastAsia="宋体" w:hAnsi="Times New Roman" w:cs="Times New Roman"/>
          <w:szCs w:val="22"/>
        </w:rPr>
        <w:t>eXtreme Gradient Boosting</w:t>
      </w:r>
      <w:r w:rsidRPr="00010668">
        <w:rPr>
          <w:rFonts w:ascii="Times New Roman" w:eastAsia="宋体" w:hAnsi="Times New Roman" w:cs="Times New Roman"/>
          <w:szCs w:val="22"/>
        </w:rPr>
        <w:t xml:space="preserve">; </w:t>
      </w:r>
      <w:r w:rsidR="00D22632" w:rsidRPr="00010668">
        <w:rPr>
          <w:rFonts w:ascii="Times New Roman" w:eastAsia="宋体" w:hAnsi="Times New Roman" w:cs="Times New Roman"/>
          <w:szCs w:val="22"/>
        </w:rPr>
        <w:t>DT</w:t>
      </w:r>
      <w:r w:rsidRPr="00010668">
        <w:rPr>
          <w:rFonts w:ascii="Times New Roman" w:eastAsia="宋体" w:hAnsi="Times New Roman" w:cs="Times New Roman"/>
          <w:szCs w:val="22"/>
        </w:rPr>
        <w:t xml:space="preserve">, </w:t>
      </w:r>
      <w:r w:rsidRPr="00010668">
        <w:rPr>
          <w:rFonts w:ascii="Times New Roman" w:eastAsia="宋体" w:hAnsi="Times New Roman" w:cs="Times New Roman"/>
          <w:szCs w:val="22"/>
        </w:rPr>
        <w:t>Decision Tree</w:t>
      </w:r>
      <w:r w:rsidRPr="00010668">
        <w:rPr>
          <w:rFonts w:ascii="Times New Roman" w:eastAsia="宋体" w:hAnsi="Times New Roman" w:cs="Times New Roman"/>
          <w:szCs w:val="22"/>
        </w:rPr>
        <w:t xml:space="preserve">; </w:t>
      </w:r>
      <w:r w:rsidR="00D22632" w:rsidRPr="00010668">
        <w:rPr>
          <w:rFonts w:ascii="Times New Roman" w:eastAsia="宋体" w:hAnsi="Times New Roman" w:cs="Times New Roman"/>
          <w:szCs w:val="22"/>
        </w:rPr>
        <w:t>RF</w:t>
      </w:r>
      <w:r w:rsidRPr="00010668">
        <w:rPr>
          <w:rFonts w:ascii="Times New Roman" w:eastAsia="宋体" w:hAnsi="Times New Roman" w:cs="Times New Roman"/>
          <w:szCs w:val="22"/>
        </w:rPr>
        <w:t xml:space="preserve">, </w:t>
      </w:r>
      <w:r w:rsidRPr="00010668">
        <w:rPr>
          <w:rFonts w:ascii="Times New Roman" w:eastAsia="宋体" w:hAnsi="Times New Roman" w:cs="Times New Roman"/>
          <w:szCs w:val="22"/>
        </w:rPr>
        <w:t>Random Forest</w:t>
      </w:r>
      <w:r w:rsidRPr="00010668">
        <w:rPr>
          <w:rFonts w:ascii="Times New Roman" w:eastAsia="宋体" w:hAnsi="Times New Roman" w:cs="Times New Roman"/>
          <w:szCs w:val="22"/>
        </w:rPr>
        <w:t xml:space="preserve">; </w:t>
      </w:r>
      <w:r w:rsidR="00D22632" w:rsidRPr="00010668">
        <w:rPr>
          <w:rFonts w:ascii="Times New Roman" w:eastAsia="宋体" w:hAnsi="Times New Roman" w:cs="Times New Roman"/>
          <w:szCs w:val="22"/>
        </w:rPr>
        <w:t>LR</w:t>
      </w:r>
      <w:r w:rsidRPr="00010668">
        <w:rPr>
          <w:rFonts w:ascii="Times New Roman" w:eastAsia="宋体" w:hAnsi="Times New Roman" w:cs="Times New Roman"/>
          <w:szCs w:val="22"/>
        </w:rPr>
        <w:t>,</w:t>
      </w:r>
      <w:r w:rsidRPr="00010668">
        <w:rPr>
          <w:rFonts w:ascii="Times New Roman" w:hAnsi="Times New Roman" w:cs="Times New Roman"/>
          <w:szCs w:val="22"/>
        </w:rPr>
        <w:t xml:space="preserve"> </w:t>
      </w:r>
      <w:r w:rsidRPr="00010668">
        <w:rPr>
          <w:rFonts w:ascii="Times New Roman" w:eastAsia="宋体" w:hAnsi="Times New Roman" w:cs="Times New Roman"/>
          <w:szCs w:val="22"/>
        </w:rPr>
        <w:t>Logistic Regression</w:t>
      </w:r>
      <w:r w:rsidRPr="00010668">
        <w:rPr>
          <w:rFonts w:ascii="Times New Roman" w:eastAsia="宋体" w:hAnsi="Times New Roman" w:cs="Times New Roman"/>
          <w:szCs w:val="22"/>
        </w:rPr>
        <w:t xml:space="preserve">; </w:t>
      </w:r>
      <w:r w:rsidR="00A02DCD" w:rsidRPr="00010668">
        <w:rPr>
          <w:rFonts w:ascii="Times New Roman" w:eastAsia="宋体" w:hAnsi="Times New Roman" w:cs="Times New Roman"/>
          <w:szCs w:val="22"/>
        </w:rPr>
        <w:t>SV</w:t>
      </w:r>
      <w:r w:rsidR="00D22632" w:rsidRPr="00010668">
        <w:rPr>
          <w:rFonts w:ascii="Times New Roman" w:eastAsia="宋体" w:hAnsi="Times New Roman" w:cs="Times New Roman"/>
          <w:szCs w:val="22"/>
        </w:rPr>
        <w:t>C</w:t>
      </w:r>
      <w:r w:rsidRPr="00010668">
        <w:rPr>
          <w:rFonts w:ascii="Times New Roman" w:hAnsi="Times New Roman" w:cs="Times New Roman"/>
          <w:szCs w:val="22"/>
        </w:rPr>
        <w:t xml:space="preserve">, </w:t>
      </w:r>
      <w:r w:rsidRPr="00010668">
        <w:rPr>
          <w:rFonts w:ascii="Times New Roman" w:eastAsia="宋体" w:hAnsi="Times New Roman" w:cs="Times New Roman"/>
          <w:szCs w:val="22"/>
        </w:rPr>
        <w:t>Support Vector Machine</w:t>
      </w:r>
      <w:r w:rsidRPr="00010668">
        <w:rPr>
          <w:rFonts w:ascii="Times New Roman" w:eastAsia="宋体" w:hAnsi="Times New Roman" w:cs="Times New Roman"/>
          <w:szCs w:val="22"/>
        </w:rPr>
        <w:t xml:space="preserve">; </w:t>
      </w:r>
      <w:r w:rsidR="00D22632" w:rsidRPr="00010668">
        <w:rPr>
          <w:rFonts w:ascii="Times New Roman" w:eastAsia="宋体" w:hAnsi="Times New Roman" w:cs="Times New Roman"/>
          <w:szCs w:val="22"/>
        </w:rPr>
        <w:t>ANN</w:t>
      </w:r>
      <w:r w:rsidRPr="00010668">
        <w:rPr>
          <w:rFonts w:ascii="Times New Roman" w:hAnsi="Times New Roman" w:cs="Times New Roman"/>
          <w:szCs w:val="22"/>
        </w:rPr>
        <w:t xml:space="preserve">, </w:t>
      </w:r>
      <w:r w:rsidRPr="00010668">
        <w:rPr>
          <w:rFonts w:ascii="Times New Roman" w:eastAsia="宋体" w:hAnsi="Times New Roman" w:cs="Times New Roman"/>
          <w:szCs w:val="22"/>
        </w:rPr>
        <w:t>Artificial Neural Networks</w:t>
      </w:r>
      <w:r w:rsidRPr="00010668">
        <w:rPr>
          <w:rFonts w:ascii="Times New Roman" w:eastAsia="宋体" w:hAnsi="Times New Roman" w:cs="Times New Roman"/>
          <w:szCs w:val="22"/>
        </w:rPr>
        <w:t>.</w:t>
      </w:r>
    </w:p>
    <w:p w14:paraId="44AE8826" w14:textId="33515606" w:rsidR="004877CF" w:rsidRPr="00010668" w:rsidRDefault="004877CF" w:rsidP="00010668">
      <w:pPr>
        <w:jc w:val="both"/>
        <w:rPr>
          <w:rFonts w:ascii="Times New Roman" w:hAnsi="Times New Roman" w:cs="Times New Roman"/>
          <w:szCs w:val="22"/>
        </w:rPr>
      </w:pPr>
      <w:r w:rsidRPr="00010668">
        <w:rPr>
          <w:rFonts w:ascii="Times New Roman" w:hAnsi="Times New Roman" w:cs="Times New Roman"/>
          <w:b/>
          <w:bCs/>
          <w:szCs w:val="22"/>
        </w:rPr>
        <w:t>Figure 3</w:t>
      </w:r>
      <w:r w:rsidRPr="00010668">
        <w:rPr>
          <w:rFonts w:ascii="Times New Roman" w:hAnsi="Times New Roman" w:cs="Times New Roman"/>
          <w:szCs w:val="22"/>
        </w:rPr>
        <w:t xml:space="preserve"> Confusion matrix diagram of the classification results of the six machine learning models.</w:t>
      </w:r>
      <w:r w:rsidRPr="00010668">
        <w:rPr>
          <w:rFonts w:ascii="Times New Roman" w:hAnsi="Times New Roman" w:cs="Times New Roman"/>
          <w:szCs w:val="22"/>
        </w:rPr>
        <w:t xml:space="preserve"> </w:t>
      </w:r>
      <w:r w:rsidRPr="00010668">
        <w:rPr>
          <w:rFonts w:ascii="Times New Roman" w:eastAsia="宋体" w:hAnsi="Times New Roman" w:cs="Times New Roman"/>
          <w:szCs w:val="22"/>
        </w:rPr>
        <w:t>XGBoost, eXtreme Gradient Boosting; DT, Decision Tree; RF, Random Forest; LR,</w:t>
      </w:r>
      <w:r w:rsidRPr="00010668">
        <w:rPr>
          <w:rFonts w:ascii="Times New Roman" w:hAnsi="Times New Roman" w:cs="Times New Roman"/>
          <w:szCs w:val="22"/>
        </w:rPr>
        <w:t xml:space="preserve"> </w:t>
      </w:r>
      <w:r w:rsidRPr="00010668">
        <w:rPr>
          <w:rFonts w:ascii="Times New Roman" w:eastAsia="宋体" w:hAnsi="Times New Roman" w:cs="Times New Roman"/>
          <w:szCs w:val="22"/>
        </w:rPr>
        <w:t>Logistic Regression; SVC</w:t>
      </w:r>
      <w:r w:rsidRPr="00010668">
        <w:rPr>
          <w:rFonts w:ascii="Times New Roman" w:hAnsi="Times New Roman" w:cs="Times New Roman"/>
          <w:szCs w:val="22"/>
        </w:rPr>
        <w:t xml:space="preserve">, </w:t>
      </w:r>
      <w:r w:rsidRPr="00010668">
        <w:rPr>
          <w:rFonts w:ascii="Times New Roman" w:eastAsia="宋体" w:hAnsi="Times New Roman" w:cs="Times New Roman"/>
          <w:szCs w:val="22"/>
        </w:rPr>
        <w:t>Support Vector Machine; ANN</w:t>
      </w:r>
      <w:r w:rsidRPr="00010668">
        <w:rPr>
          <w:rFonts w:ascii="Times New Roman" w:hAnsi="Times New Roman" w:cs="Times New Roman"/>
          <w:szCs w:val="22"/>
        </w:rPr>
        <w:t xml:space="preserve">, </w:t>
      </w:r>
      <w:r w:rsidRPr="00010668">
        <w:rPr>
          <w:rFonts w:ascii="Times New Roman" w:eastAsia="宋体" w:hAnsi="Times New Roman" w:cs="Times New Roman"/>
          <w:szCs w:val="22"/>
        </w:rPr>
        <w:t>Artificial Neural Networks.</w:t>
      </w:r>
    </w:p>
    <w:p w14:paraId="38770D3F" w14:textId="4B53B36A" w:rsidR="00D22632" w:rsidRPr="00010668" w:rsidRDefault="004877CF" w:rsidP="00010668">
      <w:pPr>
        <w:jc w:val="both"/>
        <w:rPr>
          <w:rFonts w:ascii="Times New Roman" w:hAnsi="Times New Roman" w:cs="Times New Roman"/>
          <w:szCs w:val="22"/>
        </w:rPr>
      </w:pPr>
      <w:r w:rsidRPr="00010668">
        <w:rPr>
          <w:rFonts w:ascii="Times New Roman" w:hAnsi="Times New Roman" w:cs="Times New Roman"/>
          <w:b/>
          <w:bCs/>
          <w:szCs w:val="22"/>
        </w:rPr>
        <w:t>Figure 4</w:t>
      </w:r>
      <w:r w:rsidRPr="00010668">
        <w:rPr>
          <w:rFonts w:ascii="Times New Roman" w:hAnsi="Times New Roman" w:cs="Times New Roman"/>
          <w:szCs w:val="22"/>
        </w:rPr>
        <w:t xml:space="preserve"> Calibration plots of the six machine learning models.</w:t>
      </w:r>
      <w:r w:rsidRPr="00010668">
        <w:rPr>
          <w:rFonts w:ascii="Times New Roman" w:hAnsi="Times New Roman" w:cs="Times New Roman"/>
          <w:szCs w:val="22"/>
        </w:rPr>
        <w:t xml:space="preserve"> </w:t>
      </w:r>
      <w:r w:rsidRPr="00010668">
        <w:rPr>
          <w:rFonts w:ascii="Times New Roman" w:eastAsia="宋体" w:hAnsi="Times New Roman" w:cs="Times New Roman"/>
          <w:szCs w:val="22"/>
        </w:rPr>
        <w:t>XGBoost, eXtreme Gradient Boosting; DT, Decision Tree; RF, Random Forest; LR,</w:t>
      </w:r>
      <w:r w:rsidRPr="00010668">
        <w:rPr>
          <w:rFonts w:ascii="Times New Roman" w:hAnsi="Times New Roman" w:cs="Times New Roman"/>
          <w:szCs w:val="22"/>
        </w:rPr>
        <w:t xml:space="preserve"> </w:t>
      </w:r>
      <w:r w:rsidRPr="00010668">
        <w:rPr>
          <w:rFonts w:ascii="Times New Roman" w:eastAsia="宋体" w:hAnsi="Times New Roman" w:cs="Times New Roman"/>
          <w:szCs w:val="22"/>
        </w:rPr>
        <w:t>Logistic Regression; SVC</w:t>
      </w:r>
      <w:r w:rsidRPr="00010668">
        <w:rPr>
          <w:rFonts w:ascii="Times New Roman" w:hAnsi="Times New Roman" w:cs="Times New Roman"/>
          <w:szCs w:val="22"/>
        </w:rPr>
        <w:t xml:space="preserve">, </w:t>
      </w:r>
      <w:r w:rsidRPr="00010668">
        <w:rPr>
          <w:rFonts w:ascii="Times New Roman" w:eastAsia="宋体" w:hAnsi="Times New Roman" w:cs="Times New Roman"/>
          <w:szCs w:val="22"/>
        </w:rPr>
        <w:t>Support Vector Machine; ANN</w:t>
      </w:r>
      <w:r w:rsidRPr="00010668">
        <w:rPr>
          <w:rFonts w:ascii="Times New Roman" w:hAnsi="Times New Roman" w:cs="Times New Roman"/>
          <w:szCs w:val="22"/>
        </w:rPr>
        <w:t xml:space="preserve">, </w:t>
      </w:r>
      <w:r w:rsidRPr="00010668">
        <w:rPr>
          <w:rFonts w:ascii="Times New Roman" w:eastAsia="宋体" w:hAnsi="Times New Roman" w:cs="Times New Roman"/>
          <w:szCs w:val="22"/>
        </w:rPr>
        <w:t>Artificial Neural Networks.</w:t>
      </w:r>
    </w:p>
    <w:p w14:paraId="2D257D87" w14:textId="3FB2B99A" w:rsidR="00D22632" w:rsidRPr="00010668" w:rsidRDefault="004877CF" w:rsidP="00010668">
      <w:pPr>
        <w:spacing w:line="320" w:lineRule="exact"/>
        <w:jc w:val="both"/>
        <w:rPr>
          <w:rFonts w:ascii="Times New Roman" w:hAnsi="Times New Roman" w:cs="Times New Roman"/>
          <w:szCs w:val="22"/>
        </w:rPr>
      </w:pPr>
      <w:r w:rsidRPr="00010668">
        <w:rPr>
          <w:rFonts w:ascii="Times New Roman" w:hAnsi="Times New Roman" w:cs="Times New Roman"/>
          <w:b/>
          <w:bCs/>
          <w:szCs w:val="22"/>
        </w:rPr>
        <w:t>Figure 5</w:t>
      </w:r>
      <w:r w:rsidRPr="00010668">
        <w:rPr>
          <w:rFonts w:ascii="Times New Roman" w:hAnsi="Times New Roman" w:cs="Times New Roman"/>
          <w:szCs w:val="22"/>
        </w:rPr>
        <w:t xml:space="preserve"> Decision curve analysis of the six machine learning models.</w:t>
      </w:r>
      <w:r w:rsidRPr="00010668">
        <w:rPr>
          <w:rFonts w:ascii="Times New Roman" w:hAnsi="Times New Roman" w:cs="Times New Roman"/>
          <w:szCs w:val="22"/>
        </w:rPr>
        <w:t xml:space="preserve"> </w:t>
      </w:r>
      <w:r w:rsidRPr="00010668">
        <w:rPr>
          <w:rFonts w:ascii="Times New Roman" w:eastAsia="宋体" w:hAnsi="Times New Roman" w:cs="Times New Roman"/>
          <w:szCs w:val="22"/>
        </w:rPr>
        <w:t>(A</w:t>
      </w:r>
      <w:r w:rsidRPr="00010668">
        <w:rPr>
          <w:rFonts w:ascii="Times New Roman" w:hAnsi="Times New Roman" w:cs="Times New Roman"/>
          <w:szCs w:val="22"/>
        </w:rPr>
        <w:t xml:space="preserve">) </w:t>
      </w:r>
      <w:r w:rsidRPr="00010668">
        <w:rPr>
          <w:rFonts w:ascii="Times New Roman" w:hAnsi="Times New Roman" w:cs="Times New Roman"/>
          <w:szCs w:val="22"/>
        </w:rPr>
        <w:t>Decision curve analysis of</w:t>
      </w:r>
      <w:r w:rsidRPr="00010668">
        <w:rPr>
          <w:rFonts w:ascii="Times New Roman" w:hAnsi="Times New Roman" w:cs="Times New Roman"/>
          <w:szCs w:val="22"/>
        </w:rPr>
        <w:t xml:space="preserve"> </w:t>
      </w:r>
      <w:r w:rsidRPr="00010668">
        <w:rPr>
          <w:rFonts w:ascii="Times New Roman" w:hAnsi="Times New Roman" w:cs="Times New Roman"/>
          <w:szCs w:val="22"/>
        </w:rPr>
        <w:t>the training set</w:t>
      </w:r>
      <w:r w:rsidRPr="00010668">
        <w:rPr>
          <w:rFonts w:ascii="Times New Roman" w:eastAsia="宋体" w:hAnsi="Times New Roman" w:cs="Times New Roman"/>
          <w:szCs w:val="22"/>
        </w:rPr>
        <w:t>; (</w:t>
      </w:r>
      <w:r w:rsidR="00D22632" w:rsidRPr="00010668">
        <w:rPr>
          <w:rFonts w:ascii="Times New Roman" w:eastAsia="宋体" w:hAnsi="Times New Roman" w:cs="Times New Roman"/>
          <w:szCs w:val="22"/>
        </w:rPr>
        <w:t>B</w:t>
      </w:r>
      <w:r w:rsidRPr="00010668">
        <w:rPr>
          <w:rFonts w:ascii="Times New Roman" w:eastAsia="宋体" w:hAnsi="Times New Roman" w:cs="Times New Roman"/>
          <w:szCs w:val="22"/>
        </w:rPr>
        <w:t xml:space="preserve">) </w:t>
      </w:r>
      <w:r w:rsidRPr="00010668">
        <w:rPr>
          <w:rFonts w:ascii="Times New Roman" w:hAnsi="Times New Roman" w:cs="Times New Roman"/>
          <w:szCs w:val="22"/>
        </w:rPr>
        <w:t>Decision curve analysis of</w:t>
      </w:r>
      <w:r w:rsidRPr="00010668">
        <w:rPr>
          <w:rFonts w:ascii="Times New Roman" w:hAnsi="Times New Roman" w:cs="Times New Roman"/>
          <w:szCs w:val="22"/>
        </w:rPr>
        <w:t xml:space="preserve"> </w:t>
      </w:r>
      <w:r w:rsidRPr="00010668">
        <w:rPr>
          <w:rFonts w:ascii="Times New Roman" w:hAnsi="Times New Roman" w:cs="Times New Roman"/>
          <w:szCs w:val="22"/>
        </w:rPr>
        <w:t>the testing set</w:t>
      </w:r>
      <w:r w:rsidRPr="00010668">
        <w:rPr>
          <w:rFonts w:ascii="Times New Roman" w:eastAsia="宋体" w:hAnsi="Times New Roman" w:cs="Times New Roman"/>
          <w:szCs w:val="22"/>
        </w:rPr>
        <w:t xml:space="preserve">. </w:t>
      </w:r>
      <w:r w:rsidRPr="00010668">
        <w:rPr>
          <w:rFonts w:ascii="Times New Roman" w:eastAsia="宋体" w:hAnsi="Times New Roman" w:cs="Times New Roman"/>
          <w:szCs w:val="22"/>
        </w:rPr>
        <w:t>XGBoost, eXtreme Gradient Boosting; DT, Decision Tree; RF, Random Forest; LR,</w:t>
      </w:r>
      <w:r w:rsidRPr="00010668">
        <w:rPr>
          <w:rFonts w:ascii="Times New Roman" w:hAnsi="Times New Roman" w:cs="Times New Roman"/>
          <w:szCs w:val="22"/>
        </w:rPr>
        <w:t xml:space="preserve"> </w:t>
      </w:r>
      <w:r w:rsidRPr="00010668">
        <w:rPr>
          <w:rFonts w:ascii="Times New Roman" w:eastAsia="宋体" w:hAnsi="Times New Roman" w:cs="Times New Roman"/>
          <w:szCs w:val="22"/>
        </w:rPr>
        <w:t>Logistic Regression; SVC</w:t>
      </w:r>
      <w:r w:rsidRPr="00010668">
        <w:rPr>
          <w:rFonts w:ascii="Times New Roman" w:hAnsi="Times New Roman" w:cs="Times New Roman"/>
          <w:szCs w:val="22"/>
        </w:rPr>
        <w:t xml:space="preserve">, </w:t>
      </w:r>
      <w:r w:rsidRPr="00010668">
        <w:rPr>
          <w:rFonts w:ascii="Times New Roman" w:eastAsia="宋体" w:hAnsi="Times New Roman" w:cs="Times New Roman"/>
          <w:szCs w:val="22"/>
        </w:rPr>
        <w:t>Support Vector Machine; ANN</w:t>
      </w:r>
      <w:r w:rsidRPr="00010668">
        <w:rPr>
          <w:rFonts w:ascii="Times New Roman" w:hAnsi="Times New Roman" w:cs="Times New Roman"/>
          <w:szCs w:val="22"/>
        </w:rPr>
        <w:t xml:space="preserve">, </w:t>
      </w:r>
      <w:r w:rsidRPr="00010668">
        <w:rPr>
          <w:rFonts w:ascii="Times New Roman" w:eastAsia="宋体" w:hAnsi="Times New Roman" w:cs="Times New Roman"/>
          <w:szCs w:val="22"/>
        </w:rPr>
        <w:t>Artificial Neural Networks.</w:t>
      </w:r>
    </w:p>
    <w:p w14:paraId="1186BE13" w14:textId="3B7AF71E" w:rsidR="00A02DCD" w:rsidRPr="00010668" w:rsidRDefault="004877CF" w:rsidP="00010668">
      <w:pPr>
        <w:spacing w:line="320" w:lineRule="exact"/>
        <w:jc w:val="both"/>
        <w:rPr>
          <w:rFonts w:ascii="Times New Roman" w:eastAsia="宋体" w:hAnsi="Times New Roman" w:cs="Times New Roman"/>
          <w:szCs w:val="22"/>
        </w:rPr>
      </w:pPr>
      <w:r w:rsidRPr="00010668">
        <w:rPr>
          <w:rFonts w:ascii="Times New Roman" w:hAnsi="Times New Roman" w:cs="Times New Roman"/>
          <w:b/>
          <w:bCs/>
          <w:szCs w:val="22"/>
        </w:rPr>
        <w:t>Figure 6</w:t>
      </w:r>
      <w:r w:rsidRPr="00010668">
        <w:rPr>
          <w:rFonts w:ascii="Times New Roman" w:hAnsi="Times New Roman" w:cs="Times New Roman"/>
          <w:szCs w:val="22"/>
        </w:rPr>
        <w:t xml:space="preserve"> SHAP global explanatory analysis of the XGBoost model.</w:t>
      </w:r>
      <w:r w:rsidR="00010668">
        <w:rPr>
          <w:rFonts w:ascii="Times New Roman" w:hAnsi="Times New Roman" w:cs="Times New Roman" w:hint="eastAsia"/>
          <w:szCs w:val="22"/>
        </w:rPr>
        <w:t xml:space="preserve"> </w:t>
      </w:r>
      <w:r w:rsidR="00010668">
        <w:rPr>
          <w:rFonts w:ascii="Times New Roman" w:eastAsia="宋体" w:hAnsi="Times New Roman" w:cs="Times New Roman" w:hint="eastAsia"/>
          <w:szCs w:val="22"/>
        </w:rPr>
        <w:t>(</w:t>
      </w:r>
      <w:r w:rsidRPr="00010668">
        <w:rPr>
          <w:rFonts w:ascii="Times New Roman" w:eastAsia="宋体" w:hAnsi="Times New Roman" w:cs="Times New Roman"/>
          <w:szCs w:val="22"/>
        </w:rPr>
        <w:t>A) Importance ranking of the top 20 risk factors with respect to stability and interpretation using the optimal model. (B) The importance of features of the XGBoost model based on the mean |SHAP value|.</w:t>
      </w:r>
      <w:r w:rsidRPr="00010668">
        <w:rPr>
          <w:rFonts w:ascii="Times New Roman" w:eastAsia="宋体" w:hAnsi="Times New Roman" w:cs="Times New Roman"/>
          <w:szCs w:val="22"/>
        </w:rPr>
        <w:t xml:space="preserve"> </w:t>
      </w:r>
      <w:r w:rsidR="00050FE5" w:rsidRPr="00010668">
        <w:rPr>
          <w:rFonts w:ascii="Times New Roman" w:eastAsia="宋体" w:hAnsi="Times New Roman" w:cs="Times New Roman"/>
          <w:szCs w:val="22"/>
        </w:rPr>
        <w:t>SHAP</w:t>
      </w:r>
      <w:r w:rsidRPr="00010668">
        <w:rPr>
          <w:rFonts w:ascii="Times New Roman" w:eastAsia="宋体" w:hAnsi="Times New Roman" w:cs="Times New Roman"/>
          <w:szCs w:val="22"/>
        </w:rPr>
        <w:t xml:space="preserve">, </w:t>
      </w:r>
      <w:r w:rsidRPr="00010668">
        <w:rPr>
          <w:rFonts w:ascii="Times New Roman" w:eastAsia="宋体" w:hAnsi="Times New Roman" w:cs="Times New Roman"/>
          <w:szCs w:val="22"/>
        </w:rPr>
        <w:t>SHapley Additive exPlanation</w:t>
      </w:r>
      <w:r w:rsidRPr="00010668">
        <w:rPr>
          <w:rFonts w:ascii="Times New Roman" w:eastAsia="宋体" w:hAnsi="Times New Roman" w:cs="Times New Roman"/>
          <w:szCs w:val="22"/>
        </w:rPr>
        <w:t xml:space="preserve">; </w:t>
      </w:r>
      <w:r w:rsidR="00050FE5" w:rsidRPr="00010668">
        <w:rPr>
          <w:rFonts w:ascii="Times New Roman" w:eastAsia="宋体" w:hAnsi="Times New Roman" w:cs="Times New Roman"/>
          <w:szCs w:val="22"/>
        </w:rPr>
        <w:t>BMD</w:t>
      </w:r>
      <w:r w:rsidRPr="00010668">
        <w:rPr>
          <w:rFonts w:ascii="Times New Roman" w:eastAsia="宋体" w:hAnsi="Times New Roman" w:cs="Times New Roman"/>
          <w:szCs w:val="22"/>
        </w:rPr>
        <w:t xml:space="preserve">, </w:t>
      </w:r>
      <w:r w:rsidRPr="00010668">
        <w:rPr>
          <w:rFonts w:ascii="Times New Roman" w:eastAsia="宋体" w:hAnsi="Times New Roman" w:cs="Times New Roman"/>
          <w:szCs w:val="22"/>
        </w:rPr>
        <w:t>Bone Mineral Density</w:t>
      </w:r>
      <w:r w:rsidRPr="00010668">
        <w:rPr>
          <w:rFonts w:ascii="Times New Roman" w:eastAsia="宋体" w:hAnsi="Times New Roman" w:cs="Times New Roman"/>
          <w:szCs w:val="22"/>
        </w:rPr>
        <w:t>.</w:t>
      </w:r>
    </w:p>
    <w:p w14:paraId="05121DF6" w14:textId="5FBBF0B8" w:rsidR="00A02DCD" w:rsidRPr="00010668" w:rsidRDefault="004877CF" w:rsidP="00010668">
      <w:pPr>
        <w:jc w:val="both"/>
        <w:rPr>
          <w:rFonts w:ascii="Times New Roman" w:hAnsi="Times New Roman" w:cs="Times New Roman"/>
          <w:szCs w:val="22"/>
        </w:rPr>
      </w:pPr>
      <w:r w:rsidRPr="00010668">
        <w:rPr>
          <w:rFonts w:ascii="Times New Roman" w:hAnsi="Times New Roman" w:cs="Times New Roman"/>
          <w:b/>
          <w:bCs/>
          <w:szCs w:val="22"/>
        </w:rPr>
        <w:t>Figure 7</w:t>
      </w:r>
      <w:r w:rsidRPr="00010668">
        <w:rPr>
          <w:rFonts w:ascii="Times New Roman" w:hAnsi="Times New Roman" w:cs="Times New Roman"/>
          <w:szCs w:val="22"/>
        </w:rPr>
        <w:t xml:space="preserve"> Interpretation of model prediction results using two sample cases. </w:t>
      </w:r>
      <w:r w:rsidR="00010668" w:rsidRPr="00010668">
        <w:rPr>
          <w:rFonts w:ascii="Times New Roman" w:eastAsia="宋体" w:hAnsi="Times New Roman" w:cs="Times New Roman"/>
          <w:szCs w:val="22"/>
        </w:rPr>
        <w:t>(A) Case 1 has a high risk of re-fracture after surgery. (B) Case 2 has a low risk of re-fracture after surgery.</w:t>
      </w:r>
      <w:r w:rsidR="00010668" w:rsidRPr="00010668">
        <w:rPr>
          <w:rFonts w:ascii="Times New Roman" w:eastAsia="宋体" w:hAnsi="Times New Roman" w:cs="Times New Roman"/>
          <w:szCs w:val="22"/>
        </w:rPr>
        <w:t xml:space="preserve"> </w:t>
      </w:r>
      <w:r w:rsidR="00010668" w:rsidRPr="00010668">
        <w:rPr>
          <w:rFonts w:ascii="Times New Roman" w:eastAsia="宋体" w:hAnsi="Times New Roman" w:cs="Times New Roman"/>
          <w:szCs w:val="22"/>
        </w:rPr>
        <w:t>BMD, Bone Mineral Density.</w:t>
      </w:r>
    </w:p>
    <w:sectPr w:rsidR="00A02DCD" w:rsidRPr="000106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D11"/>
    <w:multiLevelType w:val="hybridMultilevel"/>
    <w:tmpl w:val="03A66B7A"/>
    <w:lvl w:ilvl="0" w:tplc="6DBC4600">
      <w:start w:val="1"/>
      <w:numFmt w:val="upp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C930639"/>
    <w:multiLevelType w:val="hybridMultilevel"/>
    <w:tmpl w:val="1E1688E6"/>
    <w:lvl w:ilvl="0" w:tplc="123E4C4A">
      <w:start w:val="1"/>
      <w:numFmt w:val="upp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6BE4A70"/>
    <w:multiLevelType w:val="hybridMultilevel"/>
    <w:tmpl w:val="A89878BE"/>
    <w:lvl w:ilvl="0" w:tplc="1B36343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42759495">
    <w:abstractNumId w:val="1"/>
  </w:num>
  <w:num w:numId="2" w16cid:durableId="1018508379">
    <w:abstractNumId w:val="0"/>
  </w:num>
  <w:num w:numId="3" w16cid:durableId="1266425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CD"/>
    <w:rsid w:val="00010668"/>
    <w:rsid w:val="0005037B"/>
    <w:rsid w:val="00050FE5"/>
    <w:rsid w:val="000824E1"/>
    <w:rsid w:val="000D5D6A"/>
    <w:rsid w:val="00103B99"/>
    <w:rsid w:val="00220B1F"/>
    <w:rsid w:val="004877CF"/>
    <w:rsid w:val="00A02DCD"/>
    <w:rsid w:val="00AB7E8B"/>
    <w:rsid w:val="00B836DD"/>
    <w:rsid w:val="00C060AB"/>
    <w:rsid w:val="00D22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2027"/>
  <w15:chartTrackingRefBased/>
  <w15:docId w15:val="{A980A741-7DE7-491B-B661-56EFAEAE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02DC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02DC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02DC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02DC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02DC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02DC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02DC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02DC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02DC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02DC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02DC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02DC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02DCD"/>
    <w:rPr>
      <w:rFonts w:cstheme="majorBidi"/>
      <w:color w:val="0F4761" w:themeColor="accent1" w:themeShade="BF"/>
      <w:sz w:val="28"/>
      <w:szCs w:val="28"/>
    </w:rPr>
  </w:style>
  <w:style w:type="character" w:customStyle="1" w:styleId="50">
    <w:name w:val="标题 5 字符"/>
    <w:basedOn w:val="a0"/>
    <w:link w:val="5"/>
    <w:uiPriority w:val="9"/>
    <w:semiHidden/>
    <w:rsid w:val="00A02DCD"/>
    <w:rPr>
      <w:rFonts w:cstheme="majorBidi"/>
      <w:color w:val="0F4761" w:themeColor="accent1" w:themeShade="BF"/>
      <w:sz w:val="24"/>
    </w:rPr>
  </w:style>
  <w:style w:type="character" w:customStyle="1" w:styleId="60">
    <w:name w:val="标题 6 字符"/>
    <w:basedOn w:val="a0"/>
    <w:link w:val="6"/>
    <w:uiPriority w:val="9"/>
    <w:semiHidden/>
    <w:rsid w:val="00A02DCD"/>
    <w:rPr>
      <w:rFonts w:cstheme="majorBidi"/>
      <w:b/>
      <w:bCs/>
      <w:color w:val="0F4761" w:themeColor="accent1" w:themeShade="BF"/>
    </w:rPr>
  </w:style>
  <w:style w:type="character" w:customStyle="1" w:styleId="70">
    <w:name w:val="标题 7 字符"/>
    <w:basedOn w:val="a0"/>
    <w:link w:val="7"/>
    <w:uiPriority w:val="9"/>
    <w:semiHidden/>
    <w:rsid w:val="00A02DCD"/>
    <w:rPr>
      <w:rFonts w:cstheme="majorBidi"/>
      <w:b/>
      <w:bCs/>
      <w:color w:val="595959" w:themeColor="text1" w:themeTint="A6"/>
    </w:rPr>
  </w:style>
  <w:style w:type="character" w:customStyle="1" w:styleId="80">
    <w:name w:val="标题 8 字符"/>
    <w:basedOn w:val="a0"/>
    <w:link w:val="8"/>
    <w:uiPriority w:val="9"/>
    <w:semiHidden/>
    <w:rsid w:val="00A02DCD"/>
    <w:rPr>
      <w:rFonts w:cstheme="majorBidi"/>
      <w:color w:val="595959" w:themeColor="text1" w:themeTint="A6"/>
    </w:rPr>
  </w:style>
  <w:style w:type="character" w:customStyle="1" w:styleId="90">
    <w:name w:val="标题 9 字符"/>
    <w:basedOn w:val="a0"/>
    <w:link w:val="9"/>
    <w:uiPriority w:val="9"/>
    <w:semiHidden/>
    <w:rsid w:val="00A02DCD"/>
    <w:rPr>
      <w:rFonts w:eastAsiaTheme="majorEastAsia" w:cstheme="majorBidi"/>
      <w:color w:val="595959" w:themeColor="text1" w:themeTint="A6"/>
    </w:rPr>
  </w:style>
  <w:style w:type="paragraph" w:styleId="a3">
    <w:name w:val="Title"/>
    <w:basedOn w:val="a"/>
    <w:next w:val="a"/>
    <w:link w:val="a4"/>
    <w:uiPriority w:val="10"/>
    <w:qFormat/>
    <w:rsid w:val="00A02D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02D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2D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02D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2DCD"/>
    <w:pPr>
      <w:spacing w:before="160"/>
      <w:jc w:val="center"/>
    </w:pPr>
    <w:rPr>
      <w:i/>
      <w:iCs/>
      <w:color w:val="404040" w:themeColor="text1" w:themeTint="BF"/>
    </w:rPr>
  </w:style>
  <w:style w:type="character" w:customStyle="1" w:styleId="a8">
    <w:name w:val="引用 字符"/>
    <w:basedOn w:val="a0"/>
    <w:link w:val="a7"/>
    <w:uiPriority w:val="29"/>
    <w:rsid w:val="00A02DCD"/>
    <w:rPr>
      <w:i/>
      <w:iCs/>
      <w:color w:val="404040" w:themeColor="text1" w:themeTint="BF"/>
    </w:rPr>
  </w:style>
  <w:style w:type="paragraph" w:styleId="a9">
    <w:name w:val="List Paragraph"/>
    <w:basedOn w:val="a"/>
    <w:uiPriority w:val="34"/>
    <w:qFormat/>
    <w:rsid w:val="00A02DCD"/>
    <w:pPr>
      <w:ind w:left="720"/>
      <w:contextualSpacing/>
    </w:pPr>
  </w:style>
  <w:style w:type="character" w:styleId="aa">
    <w:name w:val="Intense Emphasis"/>
    <w:basedOn w:val="a0"/>
    <w:uiPriority w:val="21"/>
    <w:qFormat/>
    <w:rsid w:val="00A02DCD"/>
    <w:rPr>
      <w:i/>
      <w:iCs/>
      <w:color w:val="0F4761" w:themeColor="accent1" w:themeShade="BF"/>
    </w:rPr>
  </w:style>
  <w:style w:type="paragraph" w:styleId="ab">
    <w:name w:val="Intense Quote"/>
    <w:basedOn w:val="a"/>
    <w:next w:val="a"/>
    <w:link w:val="ac"/>
    <w:uiPriority w:val="30"/>
    <w:qFormat/>
    <w:rsid w:val="00A02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02DCD"/>
    <w:rPr>
      <w:i/>
      <w:iCs/>
      <w:color w:val="0F4761" w:themeColor="accent1" w:themeShade="BF"/>
    </w:rPr>
  </w:style>
  <w:style w:type="character" w:styleId="ad">
    <w:name w:val="Intense Reference"/>
    <w:basedOn w:val="a0"/>
    <w:uiPriority w:val="32"/>
    <w:qFormat/>
    <w:rsid w:val="00A02D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宗杰 郭</dc:creator>
  <cp:keywords/>
  <dc:description/>
  <cp:lastModifiedBy>宗杰 郭</cp:lastModifiedBy>
  <cp:revision>4</cp:revision>
  <dcterms:created xsi:type="dcterms:W3CDTF">2025-04-16T09:14:00Z</dcterms:created>
  <dcterms:modified xsi:type="dcterms:W3CDTF">2025-07-11T09:17:00Z</dcterms:modified>
</cp:coreProperties>
</file>