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auto"/>
        <w:jc w:val="center"/>
      </w:pPr>
      <w:r>
        <w:rPr>
          <w:b/>
          <w:i w:val="0"/>
          <w:sz w:val="30"/>
        </w:rPr>
        <w:t>Additional file 1 - Supplementary material</w:t>
      </w:r>
    </w:p>
    <w:p>
      <w:pPr>
        <w:spacing w:line="480" w:lineRule="auto"/>
        <w:jc w:val="center"/>
      </w:pPr>
      <w:r>
        <w:rPr>
          <w:b w:val="0"/>
          <w:i/>
          <w:sz w:val="22"/>
        </w:rPr>
        <w:t>Early lactate burden, acute brain dysfunction, and mortality in cardiogenic shock or cardiac arrest</w:t>
      </w:r>
    </w:p>
    <w:p>
      <w:pPr>
        <w:spacing w:line="240" w:lineRule="auto" w:before="240" w:after="80"/>
      </w:pPr>
      <w:r>
        <w:rPr>
          <w:b/>
          <w:sz w:val="24"/>
        </w:rPr>
        <w:t>Table S1. Included versus excluded patients</w:t>
      </w:r>
    </w:p>
    <w:p>
      <w:pPr>
        <w:spacing w:line="240" w:lineRule="auto" w:before="160"/>
      </w:pPr>
      <w:r>
        <w:rPr>
          <w:b/>
          <w:sz w:val="20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000000"/>
          <w:bottom w:val="single" w:sz="8" w:space="0" w:color="000000"/>
          <w:left w:val="nil"/>
          <w:right w:val="nil"/>
          <w:insideH w:val="nil"/>
          <w:insideV w:val="nil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Characteristic</w:t>
            </w:r>
          </w:p>
        </w:tc>
        <w:tc>
          <w:tcPr>
            <w:tcW w:type="dxa" w:w="312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Included (n=2553)</w:t>
            </w:r>
          </w:p>
        </w:tc>
        <w:tc>
          <w:tcPr>
            <w:tcW w:type="dxa" w:w="312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Excluded (n=619)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Age, years (mean)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67.846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69.726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Cardiac arrest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43.0%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56.4%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Charlson index (mean)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5.846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6.06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SOFA 24-48 h (mean)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7.801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6.514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28-day mortality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35.3%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57.4%</w:t>
            </w:r>
          </w:p>
        </w:tc>
      </w:tr>
    </w:tbl>
    <w:p>
      <w:pPr>
        <w:spacing w:line="240" w:lineRule="auto"/>
      </w:pPr>
      <w:r>
        <w:rPr>
          <w:i/>
          <w:sz w:val="16"/>
        </w:rPr>
        <w:t>Included = primary analysis set (48-h survivors with a measured 0-24 h lactate). Excluded = patients excluded after the 24-h landmark through the 48-h observability and lactate restrictions.  Excluded patients had higher 28-day mortality and more cardiac arrest; estimates therefore apply to 48-h survivors with a measured early lactate.</w:t>
      </w:r>
    </w:p>
    <w:p>
      <w:pPr>
        <w:spacing w:line="240" w:lineRule="auto" w:before="240" w:after="80"/>
      </w:pPr>
      <w:r>
        <w:rPr>
          <w:b/>
          <w:sz w:val="24"/>
        </w:rPr>
        <w:t>Table S2. Missing-data summary (first-ICU cardiac cohort variables)</w:t>
      </w:r>
    </w:p>
    <w:p>
      <w:pPr>
        <w:spacing w:line="240" w:lineRule="auto" w:before="160"/>
      </w:pPr>
      <w:r>
        <w:rPr>
          <w:b/>
          <w:sz w:val="20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000000"/>
          <w:bottom w:val="single" w:sz="8" w:space="0" w:color="000000"/>
          <w:left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Variable</w:t>
            </w:r>
          </w:p>
        </w:tc>
        <w:tc>
          <w:tcPr>
            <w:tcW w:type="dxa" w:w="468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Missing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Age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0.0%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Sex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0.0%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Charlson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0.0%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Early lactate (exposure; excluded, not imputed)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12.6%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SOFA 24-48 h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0.9%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Body-mass index (descriptive only; MI)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26.7%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28-day mortality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0.0%</w:t>
            </w:r>
          </w:p>
        </w:tc>
      </w:tr>
    </w:tbl>
    <w:p>
      <w:pPr>
        <w:spacing w:line="240" w:lineRule="auto"/>
      </w:pPr>
      <w:r>
        <w:rPr>
          <w:i/>
          <w:sz w:val="16"/>
        </w:rPr>
        <w:t>Primary analysis used complete cases for exposure, post-exposure confounder, and reduced baseline covariates; multiple imputation was applied to descriptive baseline covariates only.</w:t>
      </w:r>
    </w:p>
    <w:p>
      <w:pPr>
        <w:spacing w:line="240" w:lineRule="auto" w:before="240" w:after="80"/>
      </w:pPr>
      <w:r>
        <w:rPr>
          <w:b/>
          <w:sz w:val="24"/>
        </w:rPr>
        <w:t>Table S3. Positivity/overlap and model performance</w:t>
      </w:r>
    </w:p>
    <w:p>
      <w:pPr>
        <w:spacing w:line="240" w:lineRule="auto" w:before="160"/>
      </w:pPr>
      <w:r>
        <w:rPr>
          <w:b/>
          <w:sz w:val="20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000000"/>
          <w:bottom w:val="single" w:sz="8" w:space="0" w:color="000000"/>
          <w:left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Quantity</w:t>
            </w:r>
          </w:p>
        </w:tc>
        <w:tc>
          <w:tcPr>
            <w:tcW w:type="dxa" w:w="468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Value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Fitted mediator probability, range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0.087 to 0.980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Fitted outcome probability, range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0.039 to 0.936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Mediator model, area under the curve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0.744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Outcome model, area under the curve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0.736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Mediator model, mean absolute calibration deviation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0.027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Outcome model, mean absolute calibration deviation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0.031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Exposure contrast (lactate P25, P75)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1.50, 3.16 mmol/L</w:t>
            </w:r>
          </w:p>
        </w:tc>
      </w:tr>
    </w:tbl>
    <w:p>
      <w:pPr>
        <w:spacing w:line="240" w:lineRule="auto"/>
      </w:pPr>
      <w:r>
        <w:rPr>
          <w:i/>
          <w:sz w:val="16"/>
        </w:rPr>
        <w:t>No fitted probabilities approached 0 or 1; no positivity violations were detected.</w:t>
      </w:r>
    </w:p>
    <w:p>
      <w:pPr>
        <w:spacing w:line="240" w:lineRule="auto" w:before="240" w:after="80"/>
      </w:pPr>
      <w:r>
        <w:rPr>
          <w:b/>
          <w:sz w:val="24"/>
        </w:rPr>
        <w:t>Table S4. Monte-Carlo stability of the primary estimate</w:t>
      </w:r>
    </w:p>
    <w:p>
      <w:pPr>
        <w:spacing w:line="240" w:lineRule="auto" w:before="160"/>
      </w:pPr>
      <w:r>
        <w:rPr>
          <w:b/>
          <w:sz w:val="20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000000"/>
          <w:bottom w:val="single" w:sz="8" w:space="0" w:color="000000"/>
          <w:left w:val="nil"/>
          <w:right w:val="nil"/>
          <w:insideH w:val="nil"/>
          <w:insideV w:val="nil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Draws (K)</w:t>
            </w:r>
          </w:p>
        </w:tc>
        <w:tc>
          <w:tcPr>
            <w:tcW w:type="dxa" w:w="312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IIE (pp)</w:t>
            </w:r>
          </w:p>
        </w:tc>
        <w:tc>
          <w:tcPr>
            <w:tcW w:type="dxa" w:w="312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Proportion mediated (%)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2.25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29.9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500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2.26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30.0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1000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2.25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29.9</w:t>
            </w:r>
          </w:p>
        </w:tc>
      </w:tr>
    </w:tbl>
    <w:p>
      <w:pPr>
        <w:spacing w:line="240" w:lineRule="auto"/>
      </w:pPr>
      <w:r>
        <w:rPr>
          <w:i/>
          <w:sz w:val="16"/>
        </w:rPr>
        <w:t>Monte-Carlo error is negligible; K=200 was used for the primary analysis.</w:t>
      </w:r>
    </w:p>
    <w:p>
      <w:pPr>
        <w:spacing w:line="240" w:lineRule="auto" w:before="240" w:after="80"/>
      </w:pPr>
      <w:r>
        <w:rPr>
          <w:b/>
          <w:sz w:val="24"/>
        </w:rPr>
        <w:t>Table S5 (Figure S1 data). Brain-state process by early-lactate tertile</w:t>
      </w:r>
    </w:p>
    <w:p>
      <w:pPr>
        <w:spacing w:line="240" w:lineRule="auto" w:before="160"/>
      </w:pPr>
      <w:r>
        <w:rPr>
          <w:b/>
          <w:sz w:val="20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000000"/>
          <w:bottom w:val="single" w:sz="8" w:space="0" w:color="000000"/>
          <w:left w:val="nil"/>
          <w:right w:val="nil"/>
          <w:insideH w:val="nil"/>
          <w:insideV w:val="nil"/>
        </w:tblBorders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Lactate tertile</w:t>
            </w:r>
          </w:p>
        </w:tc>
        <w:tc>
          <w:tcPr>
            <w:tcW w:type="dxa" w:w="156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Assessable, no delirium</w:t>
            </w:r>
          </w:p>
        </w:tc>
        <w:tc>
          <w:tcPr>
            <w:tcW w:type="dxa" w:w="156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Delirium</w:t>
            </w:r>
          </w:p>
        </w:tc>
        <w:tc>
          <w:tcPr>
            <w:tcW w:type="dxa" w:w="156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Coma/UTA</w:t>
            </w:r>
          </w:p>
        </w:tc>
        <w:tc>
          <w:tcPr>
            <w:tcW w:type="dxa" w:w="156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Ever UTA</w:t>
            </w:r>
          </w:p>
        </w:tc>
        <w:tc>
          <w:tcPr>
            <w:tcW w:type="dxa" w:w="156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Any ABD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Low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48.3%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33.5%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31.5%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39.0%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42.3%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Mid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47.8%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32.0%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35.3%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39.8%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43.2%</w:t>
            </w:r>
          </w:p>
        </w:tc>
      </w:tr>
      <w:tr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High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27.3%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36.3%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57.0%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62.7%</w:t>
            </w:r>
          </w:p>
        </w:tc>
        <w:tc>
          <w:tcPr>
            <w:tcW w:type="dxa" w:w="156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63.8%</w:t>
            </w:r>
          </w:p>
        </w:tc>
      </w:tr>
    </w:tbl>
    <w:p>
      <w:pPr>
        <w:spacing w:line="240" w:lineRule="auto"/>
      </w:pPr>
      <w:r>
        <w:rPr>
          <w:i/>
          <w:sz w:val="16"/>
        </w:rPr>
        <w:t>Coma/unable-to-assess states and any acute brain dysfunction rise with lactate tertile, consistent with the mediated pathway.</w:t>
      </w:r>
    </w:p>
    <w:p>
      <w:pPr>
        <w:spacing w:line="240" w:lineRule="auto" w:before="240" w:after="80"/>
      </w:pPr>
      <w:r>
        <w:rPr>
          <w:b/>
          <w:sz w:val="24"/>
        </w:rPr>
        <w:t>Table S6. STROBE checklist (cohort studies)</w:t>
      </w:r>
    </w:p>
    <w:p>
      <w:pPr>
        <w:spacing w:line="240" w:lineRule="auto" w:before="160"/>
      </w:pPr>
      <w:r>
        <w:rPr>
          <w:b/>
          <w:sz w:val="20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000000"/>
          <w:bottom w:val="single" w:sz="8" w:space="0" w:color="000000"/>
          <w:left w:val="nil"/>
          <w:right w:val="nil"/>
          <w:insideH w:val="nil"/>
          <w:insideV w:val="nil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Item</w:t>
            </w:r>
          </w:p>
        </w:tc>
        <w:tc>
          <w:tcPr>
            <w:tcW w:type="dxa" w:w="312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Recommendation</w:t>
            </w:r>
          </w:p>
        </w:tc>
        <w:tc>
          <w:tcPr>
            <w:tcW w:type="dxa" w:w="312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Reported in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Title/abstract 1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Design in title/abstract; structured abstract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Title; Abstract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Background 2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Scientific background and rationale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Background (paras 1-2)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Objectives 3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Specific objectives/hypothesis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Background (last para)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Study design 4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Key design elements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Methods: Data source; Temporal structure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Setting 5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Setting, locations, dates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Methods: Data source (MIMIC-IV)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Participants 6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Eligibility, sources, selection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Methods: Cohort; Figure 1b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Variables 7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Outcome, exposure, mediator, confounders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Methods: Temporal structure and variables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Data sources 8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Sources/measurement per variable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Methods: Temporal structure (items 50813, 228332, etc.)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Bias 9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Efforts to address bias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Methods: landmark, lagged L, interventional estimand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Study size 10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How arrived at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Results 3.1; Figure 1b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Quantitative variables 11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Handling/groupings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Methods: exposure TWM, tertiles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Statistical methods 12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(a) confounding (b) subgroups (c) missing (d) sensitivity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Methods: Statistical analysis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Participants 13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Numbers at each stage; flow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Results 3.1; Figure 1b; Table S1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Descriptive data 14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Characteristics; missing; follow-up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Table 1; Table S2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Outcome data 15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Numbers of events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Results; Table 2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Main results 16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Adjusted estimates and CIs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Results 3.2; Table 2; Figure 2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Other analyses 17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Subgroups/sensitivity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Results 3.3-3.4; Table 3; Figures 3-4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Key results 18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Summarise key results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Discussion (para 1)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Limitations 19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Limitations and bias direction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Discussion (Limitations)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Interpretation 20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Cautious interpretation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Discussion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Generalisability 21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External validity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Discussion (Limitations; estimand)</w:t>
            </w:r>
          </w:p>
        </w:tc>
      </w:tr>
      <w:tr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Funding 22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Funding source/role</w:t>
            </w:r>
          </w:p>
        </w:tc>
        <w:tc>
          <w:tcPr>
            <w:tcW w:type="dxa" w:w="312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Declarations (Funding)</w:t>
            </w:r>
          </w:p>
        </w:tc>
      </w:tr>
    </w:tbl>
    <w:p>
      <w:pPr>
        <w:spacing w:line="240" w:lineRule="auto" w:before="240" w:after="80"/>
      </w:pPr>
      <w:r>
        <w:rPr>
          <w:b/>
          <w:sz w:val="24"/>
        </w:rPr>
        <w:t>Table S7. AGReMA checklist (mediation-analysis reporting)</w:t>
      </w:r>
    </w:p>
    <w:p>
      <w:pPr>
        <w:spacing w:line="240" w:lineRule="auto" w:before="160"/>
      </w:pPr>
      <w:r>
        <w:rPr>
          <w:b/>
          <w:sz w:val="20"/>
        </w:rPr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000000"/>
          <w:bottom w:val="single" w:sz="8" w:space="0" w:color="000000"/>
          <w:left w:val="nil"/>
          <w:right w:val="nil"/>
          <w:insideH w:val="nil"/>
          <w:insideV w:val="nil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Item</w:t>
            </w:r>
          </w:p>
        </w:tc>
        <w:tc>
          <w:tcPr>
            <w:tcW w:type="dxa" w:w="4680"/>
            <w:tcBorders>
              <w:bottom w:val="single" w:sz="6" w:space="0" w:color="000000"/>
            </w:tcBorders>
          </w:tcPr>
          <w:p>
            <w:pPr>
              <w:spacing w:line="240" w:lineRule="auto"/>
            </w:pPr>
            <w:r>
              <w:rPr>
                <w:rFonts w:ascii="Arial" w:hAnsi="Arial"/>
                <w:b/>
                <w:sz w:val="16"/>
              </w:rPr>
              <w:t>Reported in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Mediation hypothesis and causal diagram (DAG)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Background; Figure 1a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Exposure definition and timing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Methods: Exposure (E), 0-24 h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Mediator definition and timing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Methods: Mediator (M), 48-120 h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Outcome definition and timing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Methods: Outcome (Y), 28-day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Confounders of E-Y, E-M, M-Y and timing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Methods: baseline C; post-exposure L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Estimand (interventional direct/indirect effects)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Methods: Statistical analysis (estimand)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Identification assumptions incl. exposure-induced confounding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Background; Methods; Discussion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Estimation method (sequential g-computation, model families)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Methods: Statistical analysis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Uncertainty (percentile bootstrap; Monte-Carlo)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Methods; Table S4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Sensitivity analyses (mediator defs, windows, E-value, expanded L)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Methods; Results 3.4; Table 3; Table S3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Missing data handling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Methods; Table S2</w:t>
            </w:r>
          </w:p>
        </w:tc>
      </w:tr>
      <w:tr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Interpretation and limitations</w:t>
            </w:r>
          </w:p>
        </w:tc>
        <w:tc>
          <w:tcPr>
            <w:tcW w:type="dxa" w:w="4680"/>
          </w:tcPr>
          <w:p>
            <w:pPr>
              <w:spacing w:line="240" w:lineRule="auto"/>
            </w:pPr>
            <w:r>
              <w:rPr>
                <w:rFonts w:ascii="Arial" w:hAnsi="Arial"/>
                <w:sz w:val="16"/>
              </w:rPr>
              <w:t>Discussion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 w:after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