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2C" w:rsidRPr="00572CB9" w:rsidRDefault="00B42C2C" w:rsidP="00B42C2C">
      <w:pPr>
        <w:pStyle w:val="BodyTex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572CB9">
        <w:rPr>
          <w:rFonts w:ascii="Times New Roman" w:hAnsi="Times New Roman" w:cs="Times New Roman"/>
        </w:rPr>
        <w:t>Table 1 illustrates how this pattern has been characterized across different crop-pathogen systems in representative recent studies.</w:t>
      </w:r>
    </w:p>
    <w:tbl>
      <w:tblPr>
        <w:tblStyle w:val="LightShading"/>
        <w:tblW w:w="4877" w:type="pct"/>
        <w:tblLook w:val="0620" w:firstRow="1" w:lastRow="0" w:firstColumn="0" w:lastColumn="0" w:noHBand="1" w:noVBand="1"/>
      </w:tblPr>
      <w:tblGrid>
        <w:gridCol w:w="1572"/>
        <w:gridCol w:w="2385"/>
        <w:gridCol w:w="3036"/>
        <w:gridCol w:w="2347"/>
      </w:tblGrid>
      <w:tr w:rsidR="00B42C2C" w:rsidRPr="004C7626" w:rsidTr="000C6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Crop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Resistance Architecture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Key Findings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Source</w:t>
            </w:r>
          </w:p>
        </w:tc>
      </w:tr>
      <w:tr w:rsidR="00B42C2C" w:rsidRPr="004C7626" w:rsidTr="000C6F98"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Rice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Combined PTI-ETI signaling and stacked R genes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Integrated surface/ intracellular immune receptor perception enhances durability against blast and blight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Kourelis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&amp; van der Hoorn, 2018; Zaidi et al., 2021; </w:t>
            </w: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Ngou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et al., 2022</w:t>
            </w:r>
          </w:p>
        </w:tc>
      </w:tr>
      <w:tr w:rsidR="00B42C2C" w:rsidRPr="004C7626" w:rsidTr="000C6F98"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Wheat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R gene clusters and core-genome SNP variation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Core-genome variation shapes pathogen recognition and resistance durability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Plissonneau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et al., 2018</w:t>
            </w:r>
          </w:p>
        </w:tc>
      </w:tr>
      <w:tr w:rsidR="00B42C2C" w:rsidRPr="004C7626" w:rsidTr="000C6F98"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 xml:space="preserve">Maize/ </w:t>
            </w: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Solanaceous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crops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Copy number variation and transposon-associated resistance loci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CNVs and transposable elements contribute to broad-spectrum, adaptable resistance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Seidl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&amp; </w:t>
            </w: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Thomma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>, 2017; Dong et al., 2015</w:t>
            </w:r>
          </w:p>
        </w:tc>
      </w:tr>
      <w:tr w:rsidR="00B42C2C" w:rsidRPr="004C7626" w:rsidTr="000C6F98"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Multiple hosts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Effector-triggered immunity potentiated by cell-surface receptors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Mutual potentiation of surface and intracellular immune layers strengthens overall resistance</w:t>
            </w:r>
          </w:p>
        </w:tc>
        <w:tc>
          <w:tcPr>
            <w:tcW w:w="0" w:type="auto"/>
          </w:tcPr>
          <w:p w:rsidR="00B42C2C" w:rsidRPr="004C7626" w:rsidRDefault="00B42C2C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Ngou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et al., 2022</w:t>
            </w:r>
          </w:p>
        </w:tc>
      </w:tr>
    </w:tbl>
    <w:p w:rsidR="007320B7" w:rsidRDefault="007320B7">
      <w:bookmarkStart w:id="0" w:name="_GoBack"/>
      <w:bookmarkEnd w:id="0"/>
    </w:p>
    <w:sectPr w:rsidR="00732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2C"/>
    <w:rsid w:val="000E6546"/>
    <w:rsid w:val="002A2D3E"/>
    <w:rsid w:val="00415C17"/>
    <w:rsid w:val="007320B7"/>
    <w:rsid w:val="00752B07"/>
    <w:rsid w:val="00B42C2C"/>
    <w:rsid w:val="00C703C7"/>
    <w:rsid w:val="00D67CB6"/>
    <w:rsid w:val="00F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2C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42C2C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B42C2C"/>
    <w:rPr>
      <w:sz w:val="24"/>
      <w:szCs w:val="24"/>
    </w:rPr>
  </w:style>
  <w:style w:type="paragraph" w:customStyle="1" w:styleId="Compact">
    <w:name w:val="Compact"/>
    <w:basedOn w:val="BodyText"/>
    <w:qFormat/>
    <w:rsid w:val="00B42C2C"/>
    <w:pPr>
      <w:spacing w:before="36" w:after="36"/>
    </w:pPr>
  </w:style>
  <w:style w:type="table" w:styleId="LightShading">
    <w:name w:val="Light Shading"/>
    <w:basedOn w:val="TableNormal"/>
    <w:rsid w:val="00B42C2C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2C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42C2C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B42C2C"/>
    <w:rPr>
      <w:sz w:val="24"/>
      <w:szCs w:val="24"/>
    </w:rPr>
  </w:style>
  <w:style w:type="paragraph" w:customStyle="1" w:styleId="Compact">
    <w:name w:val="Compact"/>
    <w:basedOn w:val="BodyText"/>
    <w:qFormat/>
    <w:rsid w:val="00B42C2C"/>
    <w:pPr>
      <w:spacing w:before="36" w:after="36"/>
    </w:pPr>
  </w:style>
  <w:style w:type="table" w:styleId="LightShading">
    <w:name w:val="Light Shading"/>
    <w:basedOn w:val="TableNormal"/>
    <w:rsid w:val="00B42C2C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2026-07-17T01:09:00Z</dcterms:created>
  <dcterms:modified xsi:type="dcterms:W3CDTF">2026-07-17T01:09:00Z</dcterms:modified>
</cp:coreProperties>
</file>