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6" w:rsidRPr="00572CB9" w:rsidRDefault="004F11E6" w:rsidP="004F11E6">
      <w:pPr>
        <w:pStyle w:val="BodyText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572CB9">
        <w:rPr>
          <w:rFonts w:ascii="Times New Roman" w:hAnsi="Times New Roman" w:cs="Times New Roman"/>
        </w:rPr>
        <w:t>Table 2 summarizes these mutational mechanisms and their functional consequences as characterized in the literature.</w:t>
      </w:r>
    </w:p>
    <w:tbl>
      <w:tblPr>
        <w:tblStyle w:val="LightShading"/>
        <w:tblW w:w="4875" w:type="pct"/>
        <w:tblLook w:val="0620" w:firstRow="1" w:lastRow="0" w:firstColumn="0" w:lastColumn="0" w:noHBand="1" w:noVBand="1"/>
      </w:tblPr>
      <w:tblGrid>
        <w:gridCol w:w="2649"/>
        <w:gridCol w:w="4026"/>
        <w:gridCol w:w="2662"/>
      </w:tblGrid>
      <w:tr w:rsidR="004F11E6" w:rsidRPr="004C7626" w:rsidTr="000C6F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4F11E6" w:rsidRPr="004C7626" w:rsidRDefault="004F11E6" w:rsidP="000C6F98">
            <w:pPr>
              <w:pStyle w:val="Compac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</w:rPr>
            </w:pPr>
            <w:r w:rsidRPr="004C7626">
              <w:rPr>
                <w:rFonts w:ascii="Times New Roman" w:hAnsi="Times New Roman" w:cs="Times New Roman"/>
                <w:sz w:val="22"/>
              </w:rPr>
              <w:t>Mutational Event *</w:t>
            </w:r>
          </w:p>
        </w:tc>
        <w:tc>
          <w:tcPr>
            <w:tcW w:w="0" w:type="auto"/>
          </w:tcPr>
          <w:p w:rsidR="004F11E6" w:rsidRPr="004C7626" w:rsidRDefault="004F11E6" w:rsidP="000C6F98">
            <w:pPr>
              <w:pStyle w:val="Compac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</w:rPr>
            </w:pPr>
            <w:r w:rsidRPr="004C7626">
              <w:rPr>
                <w:rFonts w:ascii="Times New Roman" w:hAnsi="Times New Roman" w:cs="Times New Roman"/>
                <w:sz w:val="22"/>
              </w:rPr>
              <w:t xml:space="preserve">*Functional Impact </w:t>
            </w:r>
          </w:p>
        </w:tc>
        <w:tc>
          <w:tcPr>
            <w:tcW w:w="0" w:type="auto"/>
          </w:tcPr>
          <w:p w:rsidR="004F11E6" w:rsidRPr="004C7626" w:rsidRDefault="004F11E6" w:rsidP="000C6F98">
            <w:pPr>
              <w:pStyle w:val="Compac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</w:rPr>
            </w:pPr>
            <w:r w:rsidRPr="004C7626">
              <w:rPr>
                <w:rFonts w:ascii="Times New Roman" w:hAnsi="Times New Roman" w:cs="Times New Roman"/>
                <w:sz w:val="22"/>
              </w:rPr>
              <w:t>Source**</w:t>
            </w:r>
          </w:p>
        </w:tc>
      </w:tr>
      <w:tr w:rsidR="004F11E6" w:rsidRPr="004C7626" w:rsidTr="000C6F98">
        <w:tc>
          <w:tcPr>
            <w:tcW w:w="0" w:type="auto"/>
          </w:tcPr>
          <w:p w:rsidR="004F11E6" w:rsidRPr="004C7626" w:rsidRDefault="004F11E6" w:rsidP="000C6F98">
            <w:pPr>
              <w:pStyle w:val="Compac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</w:rPr>
            </w:pPr>
            <w:r w:rsidRPr="004C7626">
              <w:rPr>
                <w:rFonts w:ascii="Times New Roman" w:hAnsi="Times New Roman" w:cs="Times New Roman"/>
                <w:sz w:val="22"/>
              </w:rPr>
              <w:t>Single nucleotide polymorphisms (SNPs)</w:t>
            </w:r>
          </w:p>
        </w:tc>
        <w:tc>
          <w:tcPr>
            <w:tcW w:w="0" w:type="auto"/>
          </w:tcPr>
          <w:p w:rsidR="004F11E6" w:rsidRPr="004C7626" w:rsidRDefault="004F11E6" w:rsidP="000C6F98">
            <w:pPr>
              <w:pStyle w:val="Compac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</w:rPr>
            </w:pPr>
            <w:r w:rsidRPr="004C7626">
              <w:rPr>
                <w:rFonts w:ascii="Times New Roman" w:hAnsi="Times New Roman" w:cs="Times New Roman"/>
                <w:sz w:val="22"/>
              </w:rPr>
              <w:t>Fine-tunes effector recognition; enables evasion of host immunity</w:t>
            </w:r>
          </w:p>
        </w:tc>
        <w:tc>
          <w:tcPr>
            <w:tcW w:w="0" w:type="auto"/>
          </w:tcPr>
          <w:p w:rsidR="004F11E6" w:rsidRPr="004C7626" w:rsidRDefault="004F11E6" w:rsidP="000C6F98">
            <w:pPr>
              <w:pStyle w:val="Compac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C7626">
              <w:rPr>
                <w:rFonts w:ascii="Times New Roman" w:hAnsi="Times New Roman" w:cs="Times New Roman"/>
                <w:sz w:val="22"/>
              </w:rPr>
              <w:t>Plissonneau</w:t>
            </w:r>
            <w:proofErr w:type="spellEnd"/>
            <w:r w:rsidRPr="004C7626">
              <w:rPr>
                <w:rFonts w:ascii="Times New Roman" w:hAnsi="Times New Roman" w:cs="Times New Roman"/>
                <w:sz w:val="22"/>
              </w:rPr>
              <w:t xml:space="preserve"> et al., 2018; </w:t>
            </w:r>
            <w:proofErr w:type="spellStart"/>
            <w:r w:rsidRPr="004C7626">
              <w:rPr>
                <w:rFonts w:ascii="Times New Roman" w:hAnsi="Times New Roman" w:cs="Times New Roman"/>
                <w:sz w:val="22"/>
              </w:rPr>
              <w:t>Chaloner</w:t>
            </w:r>
            <w:proofErr w:type="spellEnd"/>
            <w:r w:rsidRPr="004C7626">
              <w:rPr>
                <w:rFonts w:ascii="Times New Roman" w:hAnsi="Times New Roman" w:cs="Times New Roman"/>
                <w:sz w:val="22"/>
              </w:rPr>
              <w:t xml:space="preserve"> et al., 2021</w:t>
            </w:r>
          </w:p>
        </w:tc>
      </w:tr>
      <w:tr w:rsidR="004F11E6" w:rsidRPr="004C7626" w:rsidTr="000C6F98">
        <w:tc>
          <w:tcPr>
            <w:tcW w:w="0" w:type="auto"/>
          </w:tcPr>
          <w:p w:rsidR="004F11E6" w:rsidRPr="004C7626" w:rsidRDefault="004F11E6" w:rsidP="000C6F98">
            <w:pPr>
              <w:pStyle w:val="Compac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</w:rPr>
            </w:pPr>
            <w:r w:rsidRPr="004C7626">
              <w:rPr>
                <w:rFonts w:ascii="Times New Roman" w:hAnsi="Times New Roman" w:cs="Times New Roman"/>
                <w:sz w:val="22"/>
              </w:rPr>
              <w:t>Effector gene diversification</w:t>
            </w:r>
          </w:p>
        </w:tc>
        <w:tc>
          <w:tcPr>
            <w:tcW w:w="0" w:type="auto"/>
          </w:tcPr>
          <w:p w:rsidR="004F11E6" w:rsidRPr="004C7626" w:rsidRDefault="004F11E6" w:rsidP="000C6F98">
            <w:pPr>
              <w:pStyle w:val="Compac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</w:rPr>
            </w:pPr>
            <w:r w:rsidRPr="004C7626">
              <w:rPr>
                <w:rFonts w:ascii="Times New Roman" w:hAnsi="Times New Roman" w:cs="Times New Roman"/>
                <w:sz w:val="22"/>
              </w:rPr>
              <w:t>Broadens host range; enhances virulence via accessory-genome remodeling</w:t>
            </w:r>
          </w:p>
        </w:tc>
        <w:tc>
          <w:tcPr>
            <w:tcW w:w="0" w:type="auto"/>
          </w:tcPr>
          <w:p w:rsidR="004F11E6" w:rsidRPr="004C7626" w:rsidRDefault="004F11E6" w:rsidP="000C6F98">
            <w:pPr>
              <w:pStyle w:val="Compac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</w:rPr>
            </w:pPr>
            <w:r w:rsidRPr="004C7626">
              <w:rPr>
                <w:rFonts w:ascii="Times New Roman" w:hAnsi="Times New Roman" w:cs="Times New Roman"/>
                <w:sz w:val="22"/>
              </w:rPr>
              <w:t xml:space="preserve">Dong et al., 2015; </w:t>
            </w:r>
            <w:proofErr w:type="spellStart"/>
            <w:r w:rsidRPr="004C7626">
              <w:rPr>
                <w:rFonts w:ascii="Times New Roman" w:hAnsi="Times New Roman" w:cs="Times New Roman"/>
                <w:sz w:val="22"/>
              </w:rPr>
              <w:t>Ngou</w:t>
            </w:r>
            <w:proofErr w:type="spellEnd"/>
            <w:r w:rsidRPr="004C7626">
              <w:rPr>
                <w:rFonts w:ascii="Times New Roman" w:hAnsi="Times New Roman" w:cs="Times New Roman"/>
                <w:sz w:val="22"/>
              </w:rPr>
              <w:t xml:space="preserve"> et al., 2022</w:t>
            </w:r>
          </w:p>
        </w:tc>
      </w:tr>
      <w:tr w:rsidR="004F11E6" w:rsidRPr="004C7626" w:rsidTr="000C6F98">
        <w:tc>
          <w:tcPr>
            <w:tcW w:w="0" w:type="auto"/>
          </w:tcPr>
          <w:p w:rsidR="004F11E6" w:rsidRPr="004C7626" w:rsidRDefault="004F11E6" w:rsidP="000C6F98">
            <w:pPr>
              <w:pStyle w:val="Compac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</w:rPr>
            </w:pPr>
            <w:r w:rsidRPr="004C7626">
              <w:rPr>
                <w:rFonts w:ascii="Times New Roman" w:hAnsi="Times New Roman" w:cs="Times New Roman"/>
                <w:sz w:val="22"/>
              </w:rPr>
              <w:t>Copy number variation (CNVs)</w:t>
            </w:r>
          </w:p>
        </w:tc>
        <w:tc>
          <w:tcPr>
            <w:tcW w:w="0" w:type="auto"/>
          </w:tcPr>
          <w:p w:rsidR="004F11E6" w:rsidRPr="004C7626" w:rsidRDefault="004F11E6" w:rsidP="000C6F98">
            <w:pPr>
              <w:pStyle w:val="Compac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</w:rPr>
            </w:pPr>
            <w:r w:rsidRPr="004C7626">
              <w:rPr>
                <w:rFonts w:ascii="Times New Roman" w:hAnsi="Times New Roman" w:cs="Times New Roman"/>
                <w:sz w:val="22"/>
              </w:rPr>
              <w:t>Increases effector dosage and diversity; supports rapid adaptation</w:t>
            </w:r>
          </w:p>
        </w:tc>
        <w:tc>
          <w:tcPr>
            <w:tcW w:w="0" w:type="auto"/>
          </w:tcPr>
          <w:p w:rsidR="004F11E6" w:rsidRPr="004C7626" w:rsidRDefault="004F11E6" w:rsidP="000C6F98">
            <w:pPr>
              <w:pStyle w:val="Compac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C7626">
              <w:rPr>
                <w:rFonts w:ascii="Times New Roman" w:hAnsi="Times New Roman" w:cs="Times New Roman"/>
                <w:sz w:val="22"/>
              </w:rPr>
              <w:t>Seidl</w:t>
            </w:r>
            <w:proofErr w:type="spellEnd"/>
            <w:r w:rsidRPr="004C7626">
              <w:rPr>
                <w:rFonts w:ascii="Times New Roman" w:hAnsi="Times New Roman" w:cs="Times New Roman"/>
                <w:sz w:val="22"/>
              </w:rPr>
              <w:t xml:space="preserve"> &amp; </w:t>
            </w:r>
            <w:proofErr w:type="spellStart"/>
            <w:r w:rsidRPr="004C7626">
              <w:rPr>
                <w:rFonts w:ascii="Times New Roman" w:hAnsi="Times New Roman" w:cs="Times New Roman"/>
                <w:sz w:val="22"/>
              </w:rPr>
              <w:t>Thomma</w:t>
            </w:r>
            <w:proofErr w:type="spellEnd"/>
            <w:r w:rsidRPr="004C7626">
              <w:rPr>
                <w:rFonts w:ascii="Times New Roman" w:hAnsi="Times New Roman" w:cs="Times New Roman"/>
                <w:sz w:val="22"/>
              </w:rPr>
              <w:t>, 2017</w:t>
            </w:r>
          </w:p>
        </w:tc>
      </w:tr>
      <w:tr w:rsidR="004F11E6" w:rsidRPr="004C7626" w:rsidTr="000C6F98">
        <w:tc>
          <w:tcPr>
            <w:tcW w:w="0" w:type="auto"/>
          </w:tcPr>
          <w:p w:rsidR="004F11E6" w:rsidRPr="004C7626" w:rsidRDefault="004F11E6" w:rsidP="000C6F98">
            <w:pPr>
              <w:pStyle w:val="Compac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</w:rPr>
            </w:pPr>
            <w:r w:rsidRPr="004C7626">
              <w:rPr>
                <w:rFonts w:ascii="Times New Roman" w:hAnsi="Times New Roman" w:cs="Times New Roman"/>
                <w:sz w:val="22"/>
              </w:rPr>
              <w:t>Transposable element activity</w:t>
            </w:r>
          </w:p>
        </w:tc>
        <w:tc>
          <w:tcPr>
            <w:tcW w:w="0" w:type="auto"/>
          </w:tcPr>
          <w:p w:rsidR="004F11E6" w:rsidRPr="004C7626" w:rsidRDefault="004F11E6" w:rsidP="000C6F98">
            <w:pPr>
              <w:pStyle w:val="Compac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</w:rPr>
            </w:pPr>
            <w:r w:rsidRPr="004C7626">
              <w:rPr>
                <w:rFonts w:ascii="Times New Roman" w:hAnsi="Times New Roman" w:cs="Times New Roman"/>
                <w:sz w:val="22"/>
              </w:rPr>
              <w:t>Modulates gene expression; generates novel pathogenic traits</w:t>
            </w:r>
          </w:p>
        </w:tc>
        <w:tc>
          <w:tcPr>
            <w:tcW w:w="0" w:type="auto"/>
          </w:tcPr>
          <w:p w:rsidR="004F11E6" w:rsidRPr="004C7626" w:rsidRDefault="004F11E6" w:rsidP="000C6F98">
            <w:pPr>
              <w:pStyle w:val="Compac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C7626">
              <w:rPr>
                <w:rFonts w:ascii="Times New Roman" w:hAnsi="Times New Roman" w:cs="Times New Roman"/>
                <w:sz w:val="22"/>
              </w:rPr>
              <w:t>Faino</w:t>
            </w:r>
            <w:proofErr w:type="spellEnd"/>
            <w:r w:rsidRPr="004C7626">
              <w:rPr>
                <w:rFonts w:ascii="Times New Roman" w:hAnsi="Times New Roman" w:cs="Times New Roman"/>
                <w:sz w:val="22"/>
              </w:rPr>
              <w:t xml:space="preserve"> et al., 2016; </w:t>
            </w:r>
            <w:proofErr w:type="spellStart"/>
            <w:r w:rsidRPr="004C7626">
              <w:rPr>
                <w:rFonts w:ascii="Times New Roman" w:hAnsi="Times New Roman" w:cs="Times New Roman"/>
                <w:sz w:val="22"/>
              </w:rPr>
              <w:t>Seidl</w:t>
            </w:r>
            <w:proofErr w:type="spellEnd"/>
            <w:r w:rsidRPr="004C7626">
              <w:rPr>
                <w:rFonts w:ascii="Times New Roman" w:hAnsi="Times New Roman" w:cs="Times New Roman"/>
                <w:sz w:val="22"/>
              </w:rPr>
              <w:t xml:space="preserve"> &amp; </w:t>
            </w:r>
            <w:proofErr w:type="spellStart"/>
            <w:r w:rsidRPr="004C7626">
              <w:rPr>
                <w:rFonts w:ascii="Times New Roman" w:hAnsi="Times New Roman" w:cs="Times New Roman"/>
                <w:sz w:val="22"/>
              </w:rPr>
              <w:t>Thomma</w:t>
            </w:r>
            <w:proofErr w:type="spellEnd"/>
            <w:r w:rsidRPr="004C7626">
              <w:rPr>
                <w:rFonts w:ascii="Times New Roman" w:hAnsi="Times New Roman" w:cs="Times New Roman"/>
                <w:sz w:val="22"/>
              </w:rPr>
              <w:t>, 2017</w:t>
            </w:r>
          </w:p>
        </w:tc>
      </w:tr>
      <w:tr w:rsidR="004F11E6" w:rsidRPr="004C7626" w:rsidTr="000C6F98">
        <w:tc>
          <w:tcPr>
            <w:tcW w:w="0" w:type="auto"/>
          </w:tcPr>
          <w:p w:rsidR="004F11E6" w:rsidRPr="004C7626" w:rsidRDefault="004F11E6" w:rsidP="000C6F98">
            <w:pPr>
              <w:pStyle w:val="Compac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</w:rPr>
            </w:pPr>
            <w:r w:rsidRPr="004C7626">
              <w:rPr>
                <w:rFonts w:ascii="Times New Roman" w:hAnsi="Times New Roman" w:cs="Times New Roman"/>
                <w:sz w:val="22"/>
              </w:rPr>
              <w:t>Horizontal gene transfer</w:t>
            </w:r>
          </w:p>
        </w:tc>
        <w:tc>
          <w:tcPr>
            <w:tcW w:w="0" w:type="auto"/>
          </w:tcPr>
          <w:p w:rsidR="004F11E6" w:rsidRPr="004C7626" w:rsidRDefault="004F11E6" w:rsidP="000C6F98">
            <w:pPr>
              <w:pStyle w:val="Compac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</w:rPr>
            </w:pPr>
            <w:r w:rsidRPr="004C7626">
              <w:rPr>
                <w:rFonts w:ascii="Times New Roman" w:hAnsi="Times New Roman" w:cs="Times New Roman"/>
                <w:sz w:val="22"/>
              </w:rPr>
              <w:t>Acquisition of novel virulence factors; genome plasticity in fungi and bacteria</w:t>
            </w:r>
          </w:p>
        </w:tc>
        <w:tc>
          <w:tcPr>
            <w:tcW w:w="0" w:type="auto"/>
          </w:tcPr>
          <w:p w:rsidR="004F11E6" w:rsidRPr="004C7626" w:rsidRDefault="004F11E6" w:rsidP="000C6F98">
            <w:pPr>
              <w:pStyle w:val="Compac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</w:rPr>
            </w:pPr>
            <w:r w:rsidRPr="004C7626">
              <w:rPr>
                <w:rFonts w:ascii="Times New Roman" w:hAnsi="Times New Roman" w:cs="Times New Roman"/>
                <w:sz w:val="22"/>
              </w:rPr>
              <w:t>Choi &amp; Kim, 2022</w:t>
            </w:r>
          </w:p>
        </w:tc>
      </w:tr>
    </w:tbl>
    <w:p w:rsidR="007320B7" w:rsidRDefault="007320B7">
      <w:bookmarkStart w:id="0" w:name="_GoBack"/>
      <w:bookmarkEnd w:id="0"/>
    </w:p>
    <w:sectPr w:rsidR="00732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1E6"/>
    <w:rsid w:val="000E6546"/>
    <w:rsid w:val="002A2D3E"/>
    <w:rsid w:val="00415C17"/>
    <w:rsid w:val="004F11E6"/>
    <w:rsid w:val="007320B7"/>
    <w:rsid w:val="00752B07"/>
    <w:rsid w:val="00C703C7"/>
    <w:rsid w:val="00D67CB6"/>
    <w:rsid w:val="00FB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1E6"/>
    <w:pPr>
      <w:spacing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4F11E6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4F11E6"/>
    <w:rPr>
      <w:sz w:val="24"/>
      <w:szCs w:val="24"/>
    </w:rPr>
  </w:style>
  <w:style w:type="paragraph" w:customStyle="1" w:styleId="Compact">
    <w:name w:val="Compact"/>
    <w:basedOn w:val="BodyText"/>
    <w:qFormat/>
    <w:rsid w:val="004F11E6"/>
    <w:pPr>
      <w:spacing w:before="36" w:after="36"/>
    </w:pPr>
  </w:style>
  <w:style w:type="table" w:styleId="LightShading">
    <w:name w:val="Light Shading"/>
    <w:basedOn w:val="TableNormal"/>
    <w:rsid w:val="004F11E6"/>
    <w:pPr>
      <w:spacing w:after="0" w:line="240" w:lineRule="auto"/>
    </w:pPr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1E6"/>
    <w:pPr>
      <w:spacing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4F11E6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4F11E6"/>
    <w:rPr>
      <w:sz w:val="24"/>
      <w:szCs w:val="24"/>
    </w:rPr>
  </w:style>
  <w:style w:type="paragraph" w:customStyle="1" w:styleId="Compact">
    <w:name w:val="Compact"/>
    <w:basedOn w:val="BodyText"/>
    <w:qFormat/>
    <w:rsid w:val="004F11E6"/>
    <w:pPr>
      <w:spacing w:before="36" w:after="36"/>
    </w:pPr>
  </w:style>
  <w:style w:type="table" w:styleId="LightShading">
    <w:name w:val="Light Shading"/>
    <w:basedOn w:val="TableNormal"/>
    <w:rsid w:val="004F11E6"/>
    <w:pPr>
      <w:spacing w:after="0" w:line="240" w:lineRule="auto"/>
    </w:pPr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2026-07-17T01:10:00Z</dcterms:created>
  <dcterms:modified xsi:type="dcterms:W3CDTF">2026-07-17T01:10:00Z</dcterms:modified>
</cp:coreProperties>
</file>