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12E3803D" w:rsidR="00D62625" w:rsidRPr="00FC5802" w:rsidRDefault="00DB6C31" w:rsidP="0095734D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ADDITIONAL FILE 1: </w:t>
      </w:r>
      <w:r w:rsidR="009D621A" w:rsidRPr="00FC5802">
        <w:rPr>
          <w:rFonts w:ascii="Times New Roman" w:hAnsi="Times New Roman" w:cs="Times New Roman"/>
          <w:b/>
          <w:bCs/>
          <w:color w:val="000000" w:themeColor="text1"/>
        </w:rPr>
        <w:t>APPENDIX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FIGURES &amp; TABLES</w:t>
      </w:r>
    </w:p>
    <w:p w14:paraId="44D49E54" w14:textId="77777777" w:rsidR="0095734D" w:rsidRPr="00FC5802" w:rsidRDefault="0095734D" w:rsidP="0095734D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57FAC988" w14:textId="17FFA11D" w:rsidR="0095734D" w:rsidRPr="00FC5802" w:rsidRDefault="007E446F" w:rsidP="0095734D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FC5802">
        <w:rPr>
          <w:rFonts w:ascii="Times New Roman" w:hAnsi="Times New Roman" w:cs="Times New Roman"/>
          <w:b/>
          <w:bCs/>
          <w:color w:val="000000" w:themeColor="text1"/>
        </w:rPr>
        <w:t xml:space="preserve">Title: </w:t>
      </w:r>
      <w:r w:rsidR="0095734D" w:rsidRPr="00FC5802">
        <w:rPr>
          <w:rFonts w:ascii="Times New Roman" w:hAnsi="Times New Roman" w:cs="Times New Roman"/>
          <w:b/>
          <w:bCs/>
          <w:color w:val="000000" w:themeColor="text1"/>
        </w:rPr>
        <w:t>A Multidisciplinary Consensus-Driven Outpatient Hyperkalemia Care Pathway: Development, Rationale, and Clinical Recommendations</w:t>
      </w:r>
    </w:p>
    <w:p w14:paraId="2639F1D8" w14:textId="77777777" w:rsidR="0095734D" w:rsidRPr="00FC5802" w:rsidRDefault="0095734D" w:rsidP="0095734D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0021D956" w14:textId="77777777" w:rsidR="00C05DD1" w:rsidRPr="00A94DB6" w:rsidRDefault="00C05DD1" w:rsidP="00C05DD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94DB6">
        <w:rPr>
          <w:rFonts w:ascii="Times New Roman" w:hAnsi="Times New Roman" w:cs="Times New Roman"/>
          <w:b/>
          <w:bCs/>
        </w:rPr>
        <w:t>Authors &amp; Affiliations:</w:t>
      </w:r>
    </w:p>
    <w:p w14:paraId="2D9B5B9C" w14:textId="77777777" w:rsidR="00C05DD1" w:rsidRDefault="00C05DD1" w:rsidP="00C05DD1">
      <w:pPr>
        <w:spacing w:after="0" w:line="240" w:lineRule="auto"/>
        <w:rPr>
          <w:rFonts w:ascii="Times New Roman" w:hAnsi="Times New Roman" w:cs="Times New Roman"/>
        </w:rPr>
      </w:pPr>
    </w:p>
    <w:p w14:paraId="3C163F53" w14:textId="77777777" w:rsidR="00C05DD1" w:rsidRDefault="00C05DD1" w:rsidP="00C05DD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Ankeet Bhatt, MD, MBA, ScM,</w:t>
      </w:r>
      <w:r w:rsidRPr="004C459C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A.J. Blood, MD, MSc,</w:t>
      </w:r>
      <w:r w:rsidRPr="004C459C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Amin Yehya, MD, MS,</w:t>
      </w:r>
      <w:r w:rsidRPr="004C459C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Eric Wright, PharmD, MPH,</w:t>
      </w:r>
      <w:r w:rsidRPr="004C459C"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 xml:space="preserve"> Latif </w:t>
      </w:r>
      <w:proofErr w:type="spellStart"/>
      <w:r>
        <w:rPr>
          <w:rFonts w:ascii="Times New Roman" w:hAnsi="Times New Roman" w:cs="Times New Roman"/>
        </w:rPr>
        <w:t>Bikak</w:t>
      </w:r>
      <w:proofErr w:type="spellEnd"/>
      <w:r>
        <w:rPr>
          <w:rFonts w:ascii="Times New Roman" w:hAnsi="Times New Roman" w:cs="Times New Roman"/>
        </w:rPr>
        <w:t>, MD,</w:t>
      </w:r>
      <w:r w:rsidRPr="004C459C"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 xml:space="preserve"> </w:t>
      </w:r>
      <w:r w:rsidRPr="15606A6F">
        <w:rPr>
          <w:rFonts w:ascii="Times New Roman" w:hAnsi="Times New Roman" w:cs="Times New Roman"/>
        </w:rPr>
        <w:t>Sharad</w:t>
      </w:r>
      <w:r>
        <w:rPr>
          <w:rFonts w:ascii="Times New Roman" w:hAnsi="Times New Roman" w:cs="Times New Roman"/>
        </w:rPr>
        <w:t xml:space="preserve"> Virmani, MD,</w:t>
      </w:r>
      <w:r w:rsidRPr="004C459C">
        <w:rPr>
          <w:rFonts w:ascii="Times New Roman" w:hAnsi="Times New Roman" w:cs="Times New Roman"/>
          <w:vertAlign w:val="superscript"/>
        </w:rPr>
        <w:t>6</w:t>
      </w:r>
      <w:r>
        <w:rPr>
          <w:rFonts w:ascii="Times New Roman" w:hAnsi="Times New Roman" w:cs="Times New Roman"/>
          <w:vertAlign w:val="superscript"/>
        </w:rPr>
        <w:t>,7</w:t>
      </w:r>
      <w:r>
        <w:rPr>
          <w:rFonts w:ascii="Times New Roman" w:hAnsi="Times New Roman" w:cs="Times New Roman"/>
        </w:rPr>
        <w:t xml:space="preserve"> Lauren Feeney, NP-C,</w:t>
      </w:r>
      <w:r w:rsidRPr="004C459C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Cecilia McAlear, MS-BME,</w:t>
      </w:r>
      <w:r>
        <w:rPr>
          <w:rFonts w:ascii="Times New Roman" w:hAnsi="Times New Roman" w:cs="Times New Roman"/>
          <w:vertAlign w:val="superscript"/>
        </w:rPr>
        <w:t>8</w:t>
      </w:r>
      <w:r>
        <w:rPr>
          <w:rFonts w:ascii="Times New Roman" w:hAnsi="Times New Roman" w:cs="Times New Roman"/>
        </w:rPr>
        <w:t xml:space="preserve"> Holly Jain, MD, MHA,</w:t>
      </w:r>
      <w:r>
        <w:rPr>
          <w:rFonts w:ascii="Times New Roman" w:hAnsi="Times New Roman" w:cs="Times New Roman"/>
          <w:vertAlign w:val="superscript"/>
        </w:rPr>
        <w:t>8</w:t>
      </w:r>
      <w:r>
        <w:rPr>
          <w:rFonts w:ascii="Times New Roman" w:hAnsi="Times New Roman" w:cs="Times New Roman"/>
        </w:rPr>
        <w:t xml:space="preserve"> Kurt Sowers, MD</w:t>
      </w:r>
      <w:r>
        <w:rPr>
          <w:rFonts w:ascii="Times New Roman" w:hAnsi="Times New Roman" w:cs="Times New Roman"/>
          <w:vertAlign w:val="superscript"/>
        </w:rPr>
        <w:t>9</w:t>
      </w:r>
    </w:p>
    <w:p w14:paraId="3C88183D" w14:textId="77777777" w:rsidR="00C05DD1" w:rsidRDefault="00C05DD1" w:rsidP="00C05DD1">
      <w:pPr>
        <w:spacing w:after="0" w:line="240" w:lineRule="auto"/>
        <w:rPr>
          <w:rFonts w:ascii="Times New Roman" w:hAnsi="Times New Roman" w:cs="Times New Roman"/>
        </w:rPr>
      </w:pPr>
    </w:p>
    <w:p w14:paraId="4C16A1C5" w14:textId="77777777" w:rsidR="00C05DD1" w:rsidRDefault="00C05DD1" w:rsidP="00C05DD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Kaiser Permanente San Francisco Medical Center: 2425 Geary Blvd Oakland, CA 94115</w:t>
      </w:r>
    </w:p>
    <w:p w14:paraId="1B48D298" w14:textId="77777777" w:rsidR="00C05DD1" w:rsidRDefault="00C05DD1" w:rsidP="00C05DD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Newton-Wellesley Hospital: 2014 Washington St Newton, MA 02462</w:t>
      </w:r>
    </w:p>
    <w:p w14:paraId="53C3C465" w14:textId="77777777" w:rsidR="00C05DD1" w:rsidRDefault="00C05DD1" w:rsidP="00C05DD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Sentara Norfolk General Hospital: 600 Gresham Dr Norfolk, VA 23507</w:t>
      </w:r>
    </w:p>
    <w:p w14:paraId="185232DB" w14:textId="77777777" w:rsidR="00C05DD1" w:rsidRDefault="00C05DD1" w:rsidP="00C05DD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Geisinger Center for Pharmacy Innovation and Outcomes: 100 N Academy Ave Danville, PA 17822 </w:t>
      </w:r>
    </w:p>
    <w:p w14:paraId="2475BF12" w14:textId="77777777" w:rsidR="00C05DD1" w:rsidRDefault="00C05DD1" w:rsidP="00C05DD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Wellstar Cardiology: 175 White St NW Ste 100 Marietta, GA 300600</w:t>
      </w:r>
    </w:p>
    <w:p w14:paraId="542FE244" w14:textId="77777777" w:rsidR="00C05DD1" w:rsidRPr="00871477" w:rsidRDefault="00C05DD1" w:rsidP="00C05DD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Georgia Nephrology: 6335 Hospital Pkwy #208 Johns Creek, GA 30097</w:t>
      </w:r>
    </w:p>
    <w:p w14:paraId="4C08248B" w14:textId="77777777" w:rsidR="00C05DD1" w:rsidRDefault="00C05DD1" w:rsidP="00C05DD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Emory Johns Creek Hospital: 6325 Hospital Pkwy, Johns Creek, GA 30097</w:t>
      </w:r>
    </w:p>
    <w:p w14:paraId="6F6EBA2A" w14:textId="77777777" w:rsidR="00C05DD1" w:rsidRDefault="00C05DD1" w:rsidP="00C05DD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Petauri</w:t>
      </w:r>
      <w:proofErr w:type="spellEnd"/>
      <w:r>
        <w:rPr>
          <w:rFonts w:ascii="Times New Roman" w:hAnsi="Times New Roman" w:cs="Times New Roman"/>
        </w:rPr>
        <w:t xml:space="preserve"> Kinect: 29 Broadway 26</w:t>
      </w:r>
      <w:r w:rsidRPr="00BC6A22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floor, New York, NY 10006</w:t>
      </w:r>
    </w:p>
    <w:p w14:paraId="05E8DD04" w14:textId="77777777" w:rsidR="00C05DD1" w:rsidRPr="00AB2035" w:rsidRDefault="00C05DD1" w:rsidP="00C05DD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AB2035">
        <w:rPr>
          <w:rFonts w:ascii="Times New Roman" w:hAnsi="Times New Roman" w:cs="Times New Roman"/>
        </w:rPr>
        <w:t>Appalachian Regional Healthcare: 100 Medical Center Dr, Hazard, KY</w:t>
      </w:r>
      <w:r>
        <w:rPr>
          <w:rFonts w:ascii="Times New Roman" w:hAnsi="Times New Roman" w:cs="Times New Roman"/>
        </w:rPr>
        <w:t xml:space="preserve"> 41701</w:t>
      </w:r>
    </w:p>
    <w:p w14:paraId="3D07E9D9" w14:textId="77777777" w:rsidR="001747A3" w:rsidRPr="00FC5802" w:rsidRDefault="001747A3" w:rsidP="0095734D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15F1197B" w14:textId="49F755DB" w:rsidR="007E446F" w:rsidRPr="001747A3" w:rsidRDefault="00C30D7F" w:rsidP="0095734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747A3">
        <w:rPr>
          <w:rFonts w:ascii="Times New Roman" w:hAnsi="Times New Roman" w:cs="Times New Roman"/>
          <w:b/>
          <w:bCs/>
          <w:color w:val="000000" w:themeColor="text1"/>
        </w:rPr>
        <w:t>Table of Contents</w:t>
      </w:r>
    </w:p>
    <w:p w14:paraId="5CBD47D5" w14:textId="77777777" w:rsidR="00407002" w:rsidRPr="00FC5802" w:rsidRDefault="00407002" w:rsidP="00CC2F2B">
      <w:pPr>
        <w:spacing w:after="0" w:line="480" w:lineRule="auto"/>
        <w:rPr>
          <w:rFonts w:ascii="Times New Roman" w:hAnsi="Times New Roman" w:cs="Times New Roman"/>
          <w:color w:val="000000" w:themeColor="text1"/>
        </w:rPr>
      </w:pPr>
    </w:p>
    <w:p w14:paraId="6FAA9973" w14:textId="70866CA2" w:rsidR="00FC5802" w:rsidRDefault="00A54354" w:rsidP="00CC2F2B">
      <w:pPr>
        <w:spacing w:after="0" w:line="48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Appendix</w:t>
      </w:r>
      <w:r w:rsidR="00C73C78" w:rsidRPr="00FC5802">
        <w:rPr>
          <w:rFonts w:ascii="Times New Roman" w:hAnsi="Times New Roman" w:cs="Times New Roman"/>
          <w:color w:val="000000" w:themeColor="text1"/>
        </w:rPr>
        <w:t xml:space="preserve"> </w:t>
      </w:r>
      <w:r w:rsidR="00646721" w:rsidRPr="00FC5802">
        <w:rPr>
          <w:rFonts w:ascii="Times New Roman" w:hAnsi="Times New Roman" w:cs="Times New Roman"/>
          <w:color w:val="000000" w:themeColor="text1"/>
        </w:rPr>
        <w:t xml:space="preserve">Figure </w:t>
      </w:r>
      <w:r w:rsidR="00D65360" w:rsidRPr="00FC5802">
        <w:rPr>
          <w:rFonts w:ascii="Times New Roman" w:hAnsi="Times New Roman" w:cs="Times New Roman"/>
          <w:color w:val="000000" w:themeColor="text1"/>
        </w:rPr>
        <w:t>1</w:t>
      </w:r>
      <w:r w:rsidR="00C024FB">
        <w:rPr>
          <w:rFonts w:ascii="Times New Roman" w:hAnsi="Times New Roman" w:cs="Times New Roman"/>
          <w:color w:val="000000" w:themeColor="text1"/>
        </w:rPr>
        <w:t>:</w:t>
      </w:r>
      <w:r w:rsidR="00D2196D" w:rsidRPr="00FC5802">
        <w:rPr>
          <w:rFonts w:ascii="Times New Roman" w:hAnsi="Times New Roman" w:cs="Times New Roman"/>
          <w:color w:val="000000" w:themeColor="text1"/>
        </w:rPr>
        <w:t xml:space="preserve"> </w:t>
      </w:r>
      <w:r w:rsidR="00BD7547" w:rsidRPr="00FC5802">
        <w:rPr>
          <w:rFonts w:ascii="Times New Roman" w:hAnsi="Times New Roman" w:cs="Times New Roman"/>
          <w:color w:val="000000" w:themeColor="text1"/>
        </w:rPr>
        <w:t xml:space="preserve">Step B: Diagnose </w:t>
      </w:r>
      <w:r w:rsidR="00791C51">
        <w:rPr>
          <w:rFonts w:ascii="Times New Roman" w:hAnsi="Times New Roman" w:cs="Times New Roman"/>
          <w:color w:val="000000" w:themeColor="text1"/>
        </w:rPr>
        <w:t>and</w:t>
      </w:r>
      <w:r w:rsidR="00BD7547" w:rsidRPr="00FC5802">
        <w:rPr>
          <w:rFonts w:ascii="Times New Roman" w:hAnsi="Times New Roman" w:cs="Times New Roman"/>
          <w:color w:val="000000" w:themeColor="text1"/>
        </w:rPr>
        <w:t xml:space="preserve"> Risk</w:t>
      </w:r>
      <w:r w:rsidR="00791C51">
        <w:rPr>
          <w:rFonts w:ascii="Times New Roman" w:hAnsi="Times New Roman" w:cs="Times New Roman"/>
          <w:color w:val="000000" w:themeColor="text1"/>
        </w:rPr>
        <w:t>-</w:t>
      </w:r>
      <w:r w:rsidR="00BD7547" w:rsidRPr="00FC5802">
        <w:rPr>
          <w:rFonts w:ascii="Times New Roman" w:hAnsi="Times New Roman" w:cs="Times New Roman"/>
          <w:color w:val="000000" w:themeColor="text1"/>
        </w:rPr>
        <w:t>Stratify Hyperkalemia……</w:t>
      </w:r>
      <w:r w:rsidR="001747A3">
        <w:rPr>
          <w:rFonts w:ascii="Times New Roman" w:hAnsi="Times New Roman" w:cs="Times New Roman"/>
          <w:color w:val="000000" w:themeColor="text1"/>
        </w:rPr>
        <w:t>.</w:t>
      </w:r>
      <w:r w:rsidR="00BD7547" w:rsidRPr="00FC5802">
        <w:rPr>
          <w:rFonts w:ascii="Times New Roman" w:hAnsi="Times New Roman" w:cs="Times New Roman"/>
          <w:color w:val="000000" w:themeColor="text1"/>
        </w:rPr>
        <w:t>…</w:t>
      </w:r>
      <w:r w:rsidR="00E6038C">
        <w:rPr>
          <w:rFonts w:ascii="Times New Roman" w:hAnsi="Times New Roman" w:cs="Times New Roman"/>
          <w:color w:val="000000" w:themeColor="text1"/>
        </w:rPr>
        <w:t>………..</w:t>
      </w:r>
      <w:r w:rsidR="009D308A">
        <w:rPr>
          <w:rFonts w:ascii="Times New Roman" w:hAnsi="Times New Roman" w:cs="Times New Roman"/>
          <w:color w:val="000000" w:themeColor="text1"/>
        </w:rPr>
        <w:t>.</w:t>
      </w:r>
      <w:r w:rsidR="00E97740" w:rsidRPr="00FC5802">
        <w:rPr>
          <w:rFonts w:ascii="Times New Roman" w:hAnsi="Times New Roman" w:cs="Times New Roman"/>
          <w:color w:val="000000" w:themeColor="text1"/>
        </w:rPr>
        <w:t>…</w:t>
      </w:r>
      <w:r w:rsidR="00BD7547" w:rsidRPr="00FC5802">
        <w:rPr>
          <w:rFonts w:ascii="Times New Roman" w:hAnsi="Times New Roman" w:cs="Times New Roman"/>
          <w:color w:val="000000" w:themeColor="text1"/>
        </w:rPr>
        <w:t>.</w:t>
      </w:r>
      <w:r w:rsidR="004E5AF1" w:rsidRPr="00FC5802">
        <w:rPr>
          <w:rFonts w:ascii="Times New Roman" w:hAnsi="Times New Roman" w:cs="Times New Roman"/>
          <w:color w:val="000000" w:themeColor="text1"/>
        </w:rPr>
        <w:t>2</w:t>
      </w:r>
    </w:p>
    <w:p w14:paraId="5117D4C2" w14:textId="5065AEA8" w:rsidR="00FC5802" w:rsidRPr="00FC5802" w:rsidRDefault="00A54354" w:rsidP="00CC2F2B">
      <w:pPr>
        <w:spacing w:after="0" w:line="48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Appendix</w:t>
      </w:r>
      <w:r w:rsidR="00B41DE9" w:rsidRPr="00FC5802">
        <w:rPr>
          <w:rFonts w:ascii="Times New Roman" w:hAnsi="Times New Roman" w:cs="Times New Roman"/>
          <w:color w:val="000000" w:themeColor="text1"/>
        </w:rPr>
        <w:t xml:space="preserve"> Table 1: </w:t>
      </w:r>
      <w:r w:rsidR="00B41DE9" w:rsidRPr="00FC5802" w:rsidDel="00447908">
        <w:rPr>
          <w:rFonts w:ascii="Times New Roman" w:hAnsi="Times New Roman" w:cs="Times New Roman"/>
          <w:color w:val="000000" w:themeColor="text1"/>
        </w:rPr>
        <w:t>Diuretic</w:t>
      </w:r>
      <w:r w:rsidR="00B41DE9" w:rsidRPr="00FC5802">
        <w:rPr>
          <w:rFonts w:ascii="Times New Roman" w:hAnsi="Times New Roman" w:cs="Times New Roman"/>
          <w:color w:val="000000" w:themeColor="text1"/>
        </w:rPr>
        <w:t xml:space="preserve"> Consideration</w:t>
      </w:r>
      <w:r w:rsidR="00B41DE9" w:rsidRPr="00FC5802" w:rsidDel="00447908">
        <w:rPr>
          <w:rFonts w:ascii="Times New Roman" w:hAnsi="Times New Roman" w:cs="Times New Roman"/>
          <w:color w:val="000000" w:themeColor="text1"/>
        </w:rPr>
        <w:t>s</w:t>
      </w:r>
      <w:r w:rsidR="00CC2F2B">
        <w:rPr>
          <w:rFonts w:ascii="Times New Roman" w:hAnsi="Times New Roman" w:cs="Times New Roman"/>
          <w:color w:val="000000" w:themeColor="text1"/>
        </w:rPr>
        <w:t>…………………………………………………3</w:t>
      </w:r>
    </w:p>
    <w:p w14:paraId="06B591C8" w14:textId="38B33B04" w:rsidR="0007660B" w:rsidRPr="00C05DD1" w:rsidRDefault="00A54354" w:rsidP="00C05DD1">
      <w:pPr>
        <w:pStyle w:val="Caption"/>
        <w:spacing w:after="0" w:line="480" w:lineRule="auto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Appendix</w:t>
      </w:r>
      <w:r w:rsidR="00B41DE9" w:rsidRPr="00FC580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Table 2: Management</w:t>
      </w:r>
      <w:r w:rsidR="00B41DE9" w:rsidRPr="00FC5802" w:rsidDel="0097508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of Patients </w:t>
      </w:r>
      <w:proofErr w:type="gramStart"/>
      <w:r w:rsidR="00B41DE9" w:rsidRPr="00FC580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W</w:t>
      </w:r>
      <w:r w:rsidR="00B41DE9" w:rsidRPr="00FC5802" w:rsidDel="0097508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ith</w:t>
      </w:r>
      <w:proofErr w:type="gramEnd"/>
      <w:r w:rsidR="00B41DE9" w:rsidRPr="00FC5802" w:rsidDel="0097508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 w:rsidR="00B41DE9" w:rsidRPr="00FC580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Hyperkalemia and Metabolic Acidosi</w:t>
      </w:r>
      <w:r w:rsidR="00FC5802" w:rsidRPr="00FC580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</w:t>
      </w:r>
      <w:r w:rsidR="001747A3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…4</w:t>
      </w:r>
    </w:p>
    <w:p w14:paraId="3BA0CBF0" w14:textId="77777777" w:rsidR="001D26BE" w:rsidRPr="00F559AD" w:rsidRDefault="001D26BE" w:rsidP="00F559AD">
      <w:pPr>
        <w:rPr>
          <w:i/>
          <w:iCs/>
        </w:rPr>
      </w:pPr>
    </w:p>
    <w:p w14:paraId="4559AF84" w14:textId="77777777" w:rsidR="00B41DE9" w:rsidRPr="00B41DE9" w:rsidRDefault="00B41DE9" w:rsidP="00B41DE9"/>
    <w:p w14:paraId="1D40D598" w14:textId="7380529C" w:rsidR="004E5AF1" w:rsidRDefault="004E5A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3213348" w14:textId="02040B3A" w:rsidR="00BF3209" w:rsidRPr="00B22F0C" w:rsidRDefault="00BF3209" w:rsidP="00BF3209">
      <w:pPr>
        <w:pStyle w:val="Caption"/>
        <w:rPr>
          <w:rFonts w:ascii="Times New Roman" w:hAnsi="Times New Roman" w:cs="Times New Roman"/>
          <w:sz w:val="20"/>
          <w:szCs w:val="20"/>
          <w:vertAlign w:val="superscript"/>
        </w:rPr>
      </w:pPr>
      <w:r w:rsidRPr="00B22F0C">
        <w:rPr>
          <w:rFonts w:ascii="Times New Roman" w:hAnsi="Times New Roman" w:cs="Times New Roman"/>
          <w:sz w:val="20"/>
          <w:szCs w:val="20"/>
        </w:rPr>
        <w:lastRenderedPageBreak/>
        <w:t>Supplement</w:t>
      </w:r>
      <w:r w:rsidR="00B22F0C" w:rsidRPr="00B22F0C">
        <w:rPr>
          <w:rFonts w:ascii="Times New Roman" w:hAnsi="Times New Roman" w:cs="Times New Roman"/>
          <w:sz w:val="20"/>
          <w:szCs w:val="20"/>
        </w:rPr>
        <w:t xml:space="preserve">ary </w:t>
      </w:r>
      <w:r w:rsidRPr="00B22F0C">
        <w:rPr>
          <w:rFonts w:ascii="Times New Roman" w:hAnsi="Times New Roman" w:cs="Times New Roman"/>
          <w:sz w:val="20"/>
          <w:szCs w:val="20"/>
        </w:rPr>
        <w:t xml:space="preserve">Figure </w:t>
      </w:r>
      <w:r w:rsidRPr="00B22F0C">
        <w:rPr>
          <w:rFonts w:ascii="Times New Roman" w:hAnsi="Times New Roman" w:cs="Times New Roman"/>
          <w:sz w:val="20"/>
          <w:szCs w:val="20"/>
        </w:rPr>
        <w:fldChar w:fldCharType="begin"/>
      </w:r>
      <w:r w:rsidRPr="00B22F0C">
        <w:rPr>
          <w:rFonts w:ascii="Times New Roman" w:hAnsi="Times New Roman" w:cs="Times New Roman"/>
          <w:sz w:val="20"/>
          <w:szCs w:val="20"/>
        </w:rPr>
        <w:instrText xml:space="preserve"> SEQ Figure \* ARABIC </w:instrText>
      </w:r>
      <w:r w:rsidRPr="00B22F0C">
        <w:rPr>
          <w:rFonts w:ascii="Times New Roman" w:hAnsi="Times New Roman" w:cs="Times New Roman"/>
          <w:sz w:val="20"/>
          <w:szCs w:val="20"/>
        </w:rPr>
        <w:fldChar w:fldCharType="separate"/>
      </w:r>
      <w:r w:rsidRPr="00B22F0C">
        <w:rPr>
          <w:rFonts w:ascii="Times New Roman" w:hAnsi="Times New Roman" w:cs="Times New Roman"/>
          <w:noProof/>
          <w:sz w:val="20"/>
          <w:szCs w:val="20"/>
        </w:rPr>
        <w:t>1</w:t>
      </w:r>
      <w:r w:rsidRPr="00B22F0C">
        <w:rPr>
          <w:rFonts w:ascii="Times New Roman" w:hAnsi="Times New Roman" w:cs="Times New Roman"/>
          <w:sz w:val="20"/>
          <w:szCs w:val="20"/>
        </w:rPr>
        <w:fldChar w:fldCharType="end"/>
      </w:r>
      <w:r w:rsidRPr="00B22F0C">
        <w:rPr>
          <w:rFonts w:ascii="Times New Roman" w:hAnsi="Times New Roman" w:cs="Times New Roman"/>
          <w:sz w:val="20"/>
          <w:szCs w:val="20"/>
        </w:rPr>
        <w:t>: Diagnose and Risk-Stratify Hyperkalemia</w:t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  <w:fldChar w:fldCharType="begin"/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  <w:instrText xml:space="preserve"> REF _Ref231553464 \r \h </w:instrText>
      </w:r>
      <w:r w:rsidR="00F67E0A">
        <w:rPr>
          <w:rFonts w:ascii="Times New Roman" w:hAnsi="Times New Roman" w:cs="Times New Roman"/>
          <w:sz w:val="20"/>
          <w:szCs w:val="20"/>
          <w:vertAlign w:val="superscript"/>
        </w:rPr>
        <w:instrText xml:space="preserve"> \* MERGEFORMAT </w:instrText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  <w:fldChar w:fldCharType="separate"/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  <w:fldChar w:fldCharType="end"/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  <w:t>,</w:t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  <w:fldChar w:fldCharType="begin"/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  <w:instrText xml:space="preserve"> REF _Ref231553469 \r \h </w:instrText>
      </w:r>
      <w:r w:rsidR="00F67E0A">
        <w:rPr>
          <w:rFonts w:ascii="Times New Roman" w:hAnsi="Times New Roman" w:cs="Times New Roman"/>
          <w:sz w:val="20"/>
          <w:szCs w:val="20"/>
          <w:vertAlign w:val="superscript"/>
        </w:rPr>
        <w:instrText xml:space="preserve"> \* MERGEFORMAT </w:instrText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  <w:fldChar w:fldCharType="separate"/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  <w:fldChar w:fldCharType="end"/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  <w:t>,</w:t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  <w:fldChar w:fldCharType="begin"/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  <w:instrText xml:space="preserve"> REF _Ref231553474 \r \h </w:instrText>
      </w:r>
      <w:r w:rsidR="00F67E0A">
        <w:rPr>
          <w:rFonts w:ascii="Times New Roman" w:hAnsi="Times New Roman" w:cs="Times New Roman"/>
          <w:sz w:val="20"/>
          <w:szCs w:val="20"/>
          <w:vertAlign w:val="superscript"/>
        </w:rPr>
        <w:instrText xml:space="preserve"> \* MERGEFORMAT </w:instrText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  <w:fldChar w:fldCharType="separate"/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  <w:fldChar w:fldCharType="end"/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  <w:t>,</w:t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  <w:fldChar w:fldCharType="begin"/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  <w:instrText xml:space="preserve"> REF _Ref231553479 \r \h </w:instrText>
      </w:r>
      <w:r w:rsidR="00F67E0A">
        <w:rPr>
          <w:rFonts w:ascii="Times New Roman" w:hAnsi="Times New Roman" w:cs="Times New Roman"/>
          <w:sz w:val="20"/>
          <w:szCs w:val="20"/>
          <w:vertAlign w:val="superscript"/>
        </w:rPr>
        <w:instrText xml:space="preserve"> \* MERGEFORMAT </w:instrText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  <w:fldChar w:fldCharType="separate"/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  <w:fldChar w:fldCharType="end"/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  <w:t>,</w:t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  <w:fldChar w:fldCharType="begin"/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  <w:instrText xml:space="preserve"> REF _Ref231553483 \r \h </w:instrText>
      </w:r>
      <w:r w:rsidR="00F67E0A">
        <w:rPr>
          <w:rFonts w:ascii="Times New Roman" w:hAnsi="Times New Roman" w:cs="Times New Roman"/>
          <w:sz w:val="20"/>
          <w:szCs w:val="20"/>
          <w:vertAlign w:val="superscript"/>
        </w:rPr>
        <w:instrText xml:space="preserve"> \* MERGEFORMAT </w:instrText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  <w:fldChar w:fldCharType="separate"/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  <w:fldChar w:fldCharType="end"/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  <w:t>,</w:t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  <w:fldChar w:fldCharType="begin"/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  <w:instrText xml:space="preserve"> REF _Ref231553490 \r \h </w:instrText>
      </w:r>
      <w:r w:rsidR="00F67E0A">
        <w:rPr>
          <w:rFonts w:ascii="Times New Roman" w:hAnsi="Times New Roman" w:cs="Times New Roman"/>
          <w:sz w:val="20"/>
          <w:szCs w:val="20"/>
          <w:vertAlign w:val="superscript"/>
        </w:rPr>
        <w:instrText xml:space="preserve"> \* MERGEFORMAT </w:instrText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  <w:fldChar w:fldCharType="separate"/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="00787011" w:rsidRPr="00F67E0A">
        <w:rPr>
          <w:rFonts w:ascii="Times New Roman" w:hAnsi="Times New Roman" w:cs="Times New Roman"/>
          <w:sz w:val="20"/>
          <w:szCs w:val="20"/>
          <w:vertAlign w:val="superscript"/>
        </w:rPr>
        <w:fldChar w:fldCharType="end"/>
      </w:r>
      <w:r w:rsidR="007B2A50" w:rsidRPr="00F67E0A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</w:p>
    <w:p w14:paraId="47481B33" w14:textId="353F977B" w:rsidR="00BF3209" w:rsidRDefault="008671F3" w:rsidP="00BF3209">
      <w:pPr>
        <w:keepNext/>
        <w:jc w:val="center"/>
      </w:pPr>
      <w:r w:rsidRPr="008671F3">
        <w:rPr>
          <w:noProof/>
        </w:rPr>
        <w:drawing>
          <wp:inline distT="0" distB="0" distL="0" distR="0" wp14:anchorId="63A32B2A" wp14:editId="3A80F016">
            <wp:extent cx="5943600" cy="3978910"/>
            <wp:effectExtent l="0" t="0" r="0" b="2540"/>
            <wp:docPr id="14394429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44295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7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4665"/>
      </w:tblGrid>
      <w:tr w:rsidR="00EA0BA1" w14:paraId="4185F4D3" w14:textId="77777777" w:rsidTr="00437E58">
        <w:trPr>
          <w:trHeight w:val="755"/>
        </w:trPr>
        <w:tc>
          <w:tcPr>
            <w:tcW w:w="4664" w:type="dxa"/>
          </w:tcPr>
          <w:p w14:paraId="1A46F62A" w14:textId="5BEE87C5" w:rsidR="00C61D24" w:rsidRPr="00C61D24" w:rsidRDefault="00C61D24">
            <w:pPr>
              <w:keepNext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 xml:space="preserve">BMP,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basic metabolic panel</w:t>
            </w:r>
          </w:p>
          <w:p w14:paraId="38512DB5" w14:textId="143CE4CA" w:rsidR="00EA0BA1" w:rsidRPr="00142017" w:rsidRDefault="00EA0BA1">
            <w:pPr>
              <w:keepNext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42017">
              <w:rPr>
                <w:rFonts w:ascii="Times New Roman" w:hAnsi="Times New Roman" w:cs="Times New Roman"/>
                <w:noProof/>
                <w:sz w:val="20"/>
                <w:szCs w:val="20"/>
              </w:rPr>
              <w:t>ECG, echocardiogram</w:t>
            </w:r>
          </w:p>
          <w:p w14:paraId="0EE97DDD" w14:textId="0B7F1DBB" w:rsidR="00EA0BA1" w:rsidRPr="00142017" w:rsidRDefault="00EA0BA1">
            <w:pPr>
              <w:keepNext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42017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 xml:space="preserve">ED, </w:t>
            </w:r>
            <w:r w:rsidRPr="00142017">
              <w:rPr>
                <w:rFonts w:ascii="Times New Roman" w:hAnsi="Times New Roman" w:cs="Times New Roman"/>
                <w:noProof/>
                <w:sz w:val="20"/>
                <w:szCs w:val="20"/>
              </w:rPr>
              <w:t>emergency department</w:t>
            </w:r>
          </w:p>
        </w:tc>
        <w:tc>
          <w:tcPr>
            <w:tcW w:w="4665" w:type="dxa"/>
          </w:tcPr>
          <w:p w14:paraId="2E8E3A8A" w14:textId="77777777" w:rsidR="00EA0BA1" w:rsidRPr="00142017" w:rsidRDefault="00EA0BA1">
            <w:pPr>
              <w:keepNext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42017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 xml:space="preserve">HK, </w:t>
            </w:r>
            <w:r w:rsidRPr="00142017">
              <w:rPr>
                <w:rFonts w:ascii="Times New Roman" w:hAnsi="Times New Roman" w:cs="Times New Roman"/>
                <w:noProof/>
                <w:sz w:val="20"/>
                <w:szCs w:val="20"/>
              </w:rPr>
              <w:t>hyperkalemia</w:t>
            </w:r>
          </w:p>
          <w:p w14:paraId="0486C6D1" w14:textId="3BF98491" w:rsidR="00EA0BA1" w:rsidRPr="00142017" w:rsidRDefault="00EA0BA1">
            <w:pPr>
              <w:keepNext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42017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 xml:space="preserve">K+, </w:t>
            </w:r>
            <w:r w:rsidRPr="005042B5">
              <w:rPr>
                <w:rFonts w:ascii="Times New Roman" w:hAnsi="Times New Roman" w:cs="Times New Roman"/>
                <w:noProof/>
                <w:sz w:val="20"/>
                <w:szCs w:val="20"/>
              </w:rPr>
              <w:t>p</w:t>
            </w:r>
            <w:r w:rsidRPr="00142017">
              <w:rPr>
                <w:rFonts w:ascii="Times New Roman" w:hAnsi="Times New Roman" w:cs="Times New Roman"/>
                <w:noProof/>
                <w:sz w:val="20"/>
                <w:szCs w:val="20"/>
              </w:rPr>
              <w:t>otassium</w:t>
            </w:r>
          </w:p>
        </w:tc>
      </w:tr>
    </w:tbl>
    <w:p w14:paraId="3CB10767" w14:textId="77777777" w:rsidR="00BF3209" w:rsidRPr="00EA0BA1" w:rsidRDefault="00BF3209" w:rsidP="007F0486">
      <w:pPr>
        <w:pStyle w:val="Caption"/>
        <w:keepNext/>
        <w:rPr>
          <w:rFonts w:ascii="Times New Roman" w:hAnsi="Times New Roman" w:cs="Times New Roman"/>
          <w:i w:val="0"/>
          <w:iCs w:val="0"/>
          <w:sz w:val="20"/>
          <w:szCs w:val="20"/>
        </w:rPr>
      </w:pPr>
    </w:p>
    <w:p w14:paraId="27A1499E" w14:textId="77777777" w:rsidR="00763BBC" w:rsidRDefault="00763BBC" w:rsidP="00763BBC">
      <w:pPr>
        <w:rPr>
          <w:rFonts w:ascii="Times New Roman" w:hAnsi="Times New Roman" w:cs="Times New Roman"/>
          <w:sz w:val="20"/>
          <w:szCs w:val="20"/>
        </w:rPr>
      </w:pPr>
    </w:p>
    <w:p w14:paraId="3B1765BC" w14:textId="77777777" w:rsidR="00BF3209" w:rsidRDefault="00BF3209">
      <w:pPr>
        <w:rPr>
          <w:rFonts w:ascii="Times New Roman" w:hAnsi="Times New Roman" w:cs="Times New Roman"/>
          <w:i/>
          <w:iCs/>
          <w:color w:val="0E2841" w:themeColor="text2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0279750" w14:textId="170AE0E6" w:rsidR="007F0486" w:rsidRPr="007F0486" w:rsidRDefault="007F0486" w:rsidP="007F0486">
      <w:pPr>
        <w:pStyle w:val="Caption"/>
        <w:keepNext/>
        <w:rPr>
          <w:rFonts w:ascii="Times New Roman" w:hAnsi="Times New Roman" w:cs="Times New Roman"/>
          <w:sz w:val="20"/>
          <w:szCs w:val="20"/>
        </w:rPr>
      </w:pPr>
      <w:r w:rsidRPr="007F0486">
        <w:rPr>
          <w:rFonts w:ascii="Times New Roman" w:hAnsi="Times New Roman" w:cs="Times New Roman"/>
          <w:sz w:val="20"/>
          <w:szCs w:val="20"/>
        </w:rPr>
        <w:lastRenderedPageBreak/>
        <w:t xml:space="preserve">Supplementary Table </w:t>
      </w:r>
      <w:r w:rsidRPr="007F0486">
        <w:rPr>
          <w:rFonts w:ascii="Times New Roman" w:hAnsi="Times New Roman" w:cs="Times New Roman"/>
          <w:sz w:val="20"/>
          <w:szCs w:val="20"/>
        </w:rPr>
        <w:fldChar w:fldCharType="begin"/>
      </w:r>
      <w:r w:rsidRPr="007F0486">
        <w:rPr>
          <w:rFonts w:ascii="Times New Roman" w:hAnsi="Times New Roman" w:cs="Times New Roman"/>
          <w:sz w:val="20"/>
          <w:szCs w:val="20"/>
        </w:rPr>
        <w:instrText xml:space="preserve"> SEQ Table \* ARABIC </w:instrText>
      </w:r>
      <w:r w:rsidRPr="007F0486">
        <w:rPr>
          <w:rFonts w:ascii="Times New Roman" w:hAnsi="Times New Roman" w:cs="Times New Roman"/>
          <w:sz w:val="20"/>
          <w:szCs w:val="20"/>
        </w:rPr>
        <w:fldChar w:fldCharType="separate"/>
      </w:r>
      <w:r w:rsidR="00B22F0C">
        <w:rPr>
          <w:rFonts w:ascii="Times New Roman" w:hAnsi="Times New Roman" w:cs="Times New Roman"/>
          <w:noProof/>
          <w:sz w:val="20"/>
          <w:szCs w:val="20"/>
        </w:rPr>
        <w:t>1</w:t>
      </w:r>
      <w:r w:rsidRPr="007F0486">
        <w:rPr>
          <w:rFonts w:ascii="Times New Roman" w:hAnsi="Times New Roman" w:cs="Times New Roman"/>
          <w:sz w:val="20"/>
          <w:szCs w:val="20"/>
        </w:rPr>
        <w:fldChar w:fldCharType="end"/>
      </w:r>
      <w:r w:rsidRPr="007F0486">
        <w:rPr>
          <w:rFonts w:ascii="Times New Roman" w:hAnsi="Times New Roman" w:cs="Times New Roman"/>
          <w:sz w:val="20"/>
          <w:szCs w:val="20"/>
        </w:rPr>
        <w:t>: Diuretic Considerations</w:t>
      </w:r>
      <w:r w:rsidR="009A034F" w:rsidRPr="00F559AD">
        <w:rPr>
          <w:rFonts w:ascii="Times New Roman" w:hAnsi="Times New Roman" w:cs="Times New Roman"/>
          <w:sz w:val="20"/>
          <w:szCs w:val="20"/>
          <w:vertAlign w:val="superscript"/>
        </w:rPr>
        <w:fldChar w:fldCharType="begin"/>
      </w:r>
      <w:r w:rsidR="009A034F" w:rsidRPr="00F559AD">
        <w:rPr>
          <w:rFonts w:ascii="Times New Roman" w:hAnsi="Times New Roman" w:cs="Times New Roman"/>
          <w:sz w:val="20"/>
          <w:szCs w:val="20"/>
          <w:vertAlign w:val="superscript"/>
        </w:rPr>
        <w:instrText xml:space="preserve"> REF _Ref231553760 \r \h </w:instrText>
      </w:r>
      <w:r w:rsidR="003645C3">
        <w:rPr>
          <w:rFonts w:ascii="Times New Roman" w:hAnsi="Times New Roman" w:cs="Times New Roman"/>
          <w:sz w:val="20"/>
          <w:szCs w:val="20"/>
          <w:vertAlign w:val="superscript"/>
        </w:rPr>
        <w:instrText xml:space="preserve"> \* MERGEFORMAT </w:instrText>
      </w:r>
      <w:r w:rsidR="009A034F" w:rsidRPr="00F559AD">
        <w:rPr>
          <w:rFonts w:ascii="Times New Roman" w:hAnsi="Times New Roman" w:cs="Times New Roman"/>
          <w:sz w:val="20"/>
          <w:szCs w:val="20"/>
          <w:vertAlign w:val="superscript"/>
        </w:rPr>
      </w:r>
      <w:r w:rsidR="009A034F" w:rsidRPr="00F559AD">
        <w:rPr>
          <w:rFonts w:ascii="Times New Roman" w:hAnsi="Times New Roman" w:cs="Times New Roman"/>
          <w:sz w:val="20"/>
          <w:szCs w:val="20"/>
          <w:vertAlign w:val="superscript"/>
        </w:rPr>
        <w:fldChar w:fldCharType="separate"/>
      </w:r>
      <w:r w:rsidR="009A034F" w:rsidRPr="00F559AD">
        <w:rPr>
          <w:rFonts w:ascii="Times New Roman" w:hAnsi="Times New Roman" w:cs="Times New Roman"/>
          <w:sz w:val="20"/>
          <w:szCs w:val="20"/>
          <w:vertAlign w:val="superscript"/>
        </w:rPr>
        <w:t>7</w:t>
      </w:r>
      <w:r w:rsidR="009A034F" w:rsidRPr="00F559AD">
        <w:rPr>
          <w:rFonts w:ascii="Times New Roman" w:hAnsi="Times New Roman" w:cs="Times New Roman"/>
          <w:sz w:val="20"/>
          <w:szCs w:val="20"/>
          <w:vertAlign w:val="superscript"/>
        </w:rPr>
        <w:fldChar w:fldCharType="end"/>
      </w:r>
      <w:r w:rsidR="009A034F" w:rsidRPr="00F559AD">
        <w:rPr>
          <w:rFonts w:ascii="Times New Roman" w:hAnsi="Times New Roman" w:cs="Times New Roman"/>
          <w:sz w:val="20"/>
          <w:szCs w:val="20"/>
          <w:vertAlign w:val="superscript"/>
        </w:rPr>
        <w:t>,</w:t>
      </w:r>
      <w:r w:rsidR="009A034F" w:rsidRPr="00F559AD">
        <w:rPr>
          <w:rFonts w:ascii="Times New Roman" w:hAnsi="Times New Roman" w:cs="Times New Roman"/>
          <w:sz w:val="20"/>
          <w:szCs w:val="20"/>
          <w:vertAlign w:val="superscript"/>
        </w:rPr>
        <w:fldChar w:fldCharType="begin"/>
      </w:r>
      <w:r w:rsidR="009A034F" w:rsidRPr="00F559AD">
        <w:rPr>
          <w:rFonts w:ascii="Times New Roman" w:hAnsi="Times New Roman" w:cs="Times New Roman"/>
          <w:sz w:val="20"/>
          <w:szCs w:val="20"/>
          <w:vertAlign w:val="superscript"/>
        </w:rPr>
        <w:instrText xml:space="preserve"> REF _Ref231553764 \r \h </w:instrText>
      </w:r>
      <w:r w:rsidR="003645C3">
        <w:rPr>
          <w:rFonts w:ascii="Times New Roman" w:hAnsi="Times New Roman" w:cs="Times New Roman"/>
          <w:sz w:val="20"/>
          <w:szCs w:val="20"/>
          <w:vertAlign w:val="superscript"/>
        </w:rPr>
        <w:instrText xml:space="preserve"> \* MERGEFORMAT </w:instrText>
      </w:r>
      <w:r w:rsidR="009A034F" w:rsidRPr="00F559AD">
        <w:rPr>
          <w:rFonts w:ascii="Times New Roman" w:hAnsi="Times New Roman" w:cs="Times New Roman"/>
          <w:sz w:val="20"/>
          <w:szCs w:val="20"/>
          <w:vertAlign w:val="superscript"/>
        </w:rPr>
      </w:r>
      <w:r w:rsidR="009A034F" w:rsidRPr="00F559AD">
        <w:rPr>
          <w:rFonts w:ascii="Times New Roman" w:hAnsi="Times New Roman" w:cs="Times New Roman"/>
          <w:sz w:val="20"/>
          <w:szCs w:val="20"/>
          <w:vertAlign w:val="superscript"/>
        </w:rPr>
        <w:fldChar w:fldCharType="separate"/>
      </w:r>
      <w:r w:rsidR="009A034F" w:rsidRPr="00F559AD">
        <w:rPr>
          <w:rFonts w:ascii="Times New Roman" w:hAnsi="Times New Roman" w:cs="Times New Roman"/>
          <w:sz w:val="20"/>
          <w:szCs w:val="20"/>
          <w:vertAlign w:val="superscript"/>
        </w:rPr>
        <w:t>8</w:t>
      </w:r>
      <w:r w:rsidR="009A034F" w:rsidRPr="00F559AD">
        <w:rPr>
          <w:rFonts w:ascii="Times New Roman" w:hAnsi="Times New Roman" w:cs="Times New Roman"/>
          <w:sz w:val="20"/>
          <w:szCs w:val="20"/>
          <w:vertAlign w:val="superscript"/>
        </w:rPr>
        <w:fldChar w:fldCharType="end"/>
      </w:r>
      <w:r w:rsidR="009A034F" w:rsidRPr="00F559AD">
        <w:rPr>
          <w:rFonts w:ascii="Times New Roman" w:hAnsi="Times New Roman" w:cs="Times New Roman"/>
          <w:sz w:val="20"/>
          <w:szCs w:val="20"/>
          <w:vertAlign w:val="superscript"/>
        </w:rPr>
        <w:t>,</w:t>
      </w:r>
      <w:r w:rsidR="009A034F" w:rsidRPr="00F559AD">
        <w:rPr>
          <w:rFonts w:ascii="Times New Roman" w:hAnsi="Times New Roman" w:cs="Times New Roman"/>
          <w:sz w:val="20"/>
          <w:szCs w:val="20"/>
          <w:vertAlign w:val="superscript"/>
        </w:rPr>
        <w:fldChar w:fldCharType="begin"/>
      </w:r>
      <w:r w:rsidR="009A034F" w:rsidRPr="00F559AD">
        <w:rPr>
          <w:rFonts w:ascii="Times New Roman" w:hAnsi="Times New Roman" w:cs="Times New Roman"/>
          <w:sz w:val="20"/>
          <w:szCs w:val="20"/>
          <w:vertAlign w:val="superscript"/>
        </w:rPr>
        <w:instrText xml:space="preserve"> REF _Ref231553765 \r \h </w:instrText>
      </w:r>
      <w:r w:rsidR="003645C3">
        <w:rPr>
          <w:rFonts w:ascii="Times New Roman" w:hAnsi="Times New Roman" w:cs="Times New Roman"/>
          <w:sz w:val="20"/>
          <w:szCs w:val="20"/>
          <w:vertAlign w:val="superscript"/>
        </w:rPr>
        <w:instrText xml:space="preserve"> \* MERGEFORMAT </w:instrText>
      </w:r>
      <w:r w:rsidR="009A034F" w:rsidRPr="00F559AD">
        <w:rPr>
          <w:rFonts w:ascii="Times New Roman" w:hAnsi="Times New Roman" w:cs="Times New Roman"/>
          <w:sz w:val="20"/>
          <w:szCs w:val="20"/>
          <w:vertAlign w:val="superscript"/>
        </w:rPr>
      </w:r>
      <w:r w:rsidR="009A034F" w:rsidRPr="00F559AD">
        <w:rPr>
          <w:rFonts w:ascii="Times New Roman" w:hAnsi="Times New Roman" w:cs="Times New Roman"/>
          <w:sz w:val="20"/>
          <w:szCs w:val="20"/>
          <w:vertAlign w:val="superscript"/>
        </w:rPr>
        <w:fldChar w:fldCharType="separate"/>
      </w:r>
      <w:r w:rsidR="009A034F" w:rsidRPr="00F559AD"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="009A034F" w:rsidRPr="00F559AD">
        <w:rPr>
          <w:rFonts w:ascii="Times New Roman" w:hAnsi="Times New Roman" w:cs="Times New Roman"/>
          <w:sz w:val="20"/>
          <w:szCs w:val="20"/>
          <w:vertAlign w:val="superscript"/>
        </w:rPr>
        <w:fldChar w:fldCharType="end"/>
      </w:r>
      <w:r w:rsidR="009A034F" w:rsidRPr="00F559AD">
        <w:rPr>
          <w:rFonts w:ascii="Times New Roman" w:hAnsi="Times New Roman" w:cs="Times New Roman"/>
          <w:sz w:val="20"/>
          <w:szCs w:val="20"/>
          <w:vertAlign w:val="superscript"/>
        </w:rPr>
        <w:t>,</w:t>
      </w:r>
      <w:r w:rsidR="009A034F" w:rsidRPr="00F559AD">
        <w:rPr>
          <w:rFonts w:ascii="Times New Roman" w:hAnsi="Times New Roman" w:cs="Times New Roman"/>
          <w:sz w:val="20"/>
          <w:szCs w:val="20"/>
          <w:vertAlign w:val="superscript"/>
        </w:rPr>
        <w:fldChar w:fldCharType="begin"/>
      </w:r>
      <w:r w:rsidR="009A034F" w:rsidRPr="00F559AD">
        <w:rPr>
          <w:rFonts w:ascii="Times New Roman" w:hAnsi="Times New Roman" w:cs="Times New Roman"/>
          <w:sz w:val="20"/>
          <w:szCs w:val="20"/>
          <w:vertAlign w:val="superscript"/>
        </w:rPr>
        <w:instrText xml:space="preserve"> REF _Ref231553766 \r \h </w:instrText>
      </w:r>
      <w:r w:rsidR="003645C3">
        <w:rPr>
          <w:rFonts w:ascii="Times New Roman" w:hAnsi="Times New Roman" w:cs="Times New Roman"/>
          <w:sz w:val="20"/>
          <w:szCs w:val="20"/>
          <w:vertAlign w:val="superscript"/>
        </w:rPr>
        <w:instrText xml:space="preserve"> \* MERGEFORMAT </w:instrText>
      </w:r>
      <w:r w:rsidR="009A034F" w:rsidRPr="00F559AD">
        <w:rPr>
          <w:rFonts w:ascii="Times New Roman" w:hAnsi="Times New Roman" w:cs="Times New Roman"/>
          <w:sz w:val="20"/>
          <w:szCs w:val="20"/>
          <w:vertAlign w:val="superscript"/>
        </w:rPr>
      </w:r>
      <w:r w:rsidR="009A034F" w:rsidRPr="00F559AD">
        <w:rPr>
          <w:rFonts w:ascii="Times New Roman" w:hAnsi="Times New Roman" w:cs="Times New Roman"/>
          <w:sz w:val="20"/>
          <w:szCs w:val="20"/>
          <w:vertAlign w:val="superscript"/>
        </w:rPr>
        <w:fldChar w:fldCharType="separate"/>
      </w:r>
      <w:r w:rsidR="009A034F" w:rsidRPr="00F559AD">
        <w:rPr>
          <w:rFonts w:ascii="Times New Roman" w:hAnsi="Times New Roman" w:cs="Times New Roman"/>
          <w:sz w:val="20"/>
          <w:szCs w:val="20"/>
          <w:vertAlign w:val="superscript"/>
        </w:rPr>
        <w:t>10</w:t>
      </w:r>
      <w:r w:rsidR="009A034F" w:rsidRPr="00F559AD">
        <w:rPr>
          <w:rFonts w:ascii="Times New Roman" w:hAnsi="Times New Roman" w:cs="Times New Roman"/>
          <w:sz w:val="20"/>
          <w:szCs w:val="20"/>
          <w:vertAlign w:val="superscript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7"/>
        <w:gridCol w:w="2553"/>
        <w:gridCol w:w="2712"/>
        <w:gridCol w:w="2578"/>
      </w:tblGrid>
      <w:tr w:rsidR="00DC2DE4" w14:paraId="7CAF6777" w14:textId="77777777" w:rsidTr="00C7271C">
        <w:tc>
          <w:tcPr>
            <w:tcW w:w="1165" w:type="dxa"/>
          </w:tcPr>
          <w:p w14:paraId="7C7B56D8" w14:textId="77777777" w:rsidR="00DC2DE4" w:rsidRPr="005924B8" w:rsidRDefault="00DC2D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</w:tcPr>
          <w:p w14:paraId="22BF97BA" w14:textId="2DC2E56F" w:rsidR="00DC2DE4" w:rsidRPr="005924B8" w:rsidRDefault="00DC2DE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24B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fi-FI"/>
              </w:rPr>
              <w:t>Bumex</w:t>
            </w:r>
            <w:r w:rsidRPr="005924B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  <w:lang w:val="fi-FI"/>
              </w:rPr>
              <w:t>®</w:t>
            </w:r>
            <w:r w:rsidRPr="005924B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fi-FI"/>
              </w:rPr>
              <w:t xml:space="preserve"> (bumetanide)</w:t>
            </w:r>
            <w:r w:rsidR="00AA079D" w:rsidRPr="00B45E8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  <w:lang w:val="fi-FI"/>
              </w:rPr>
              <w:fldChar w:fldCharType="begin"/>
            </w:r>
            <w:r w:rsidR="00AA079D" w:rsidRPr="00B45E8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  <w:lang w:val="fi-FI"/>
              </w:rPr>
              <w:instrText xml:space="preserve"> REF _Ref231553760 \r \h </w:instrText>
            </w:r>
            <w:r w:rsidR="00B45E8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  <w:lang w:val="fi-FI"/>
              </w:rPr>
              <w:instrText xml:space="preserve"> \* MERGEFORMAT </w:instrText>
            </w:r>
            <w:r w:rsidR="00AA079D" w:rsidRPr="00B45E8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  <w:lang w:val="fi-FI"/>
              </w:rPr>
            </w:r>
            <w:r w:rsidR="00AA079D" w:rsidRPr="00B45E8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  <w:lang w:val="fi-FI"/>
              </w:rPr>
              <w:fldChar w:fldCharType="separate"/>
            </w:r>
            <w:r w:rsidR="00AA079D" w:rsidRPr="00B45E8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  <w:lang w:val="fi-FI"/>
              </w:rPr>
              <w:t>7</w:t>
            </w:r>
            <w:r w:rsidR="00AA079D" w:rsidRPr="00B45E8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  <w:lang w:val="fi-FI"/>
              </w:rPr>
              <w:fldChar w:fldCharType="end"/>
            </w:r>
            <w:r w:rsidRPr="005924B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  <w:lang w:val="fi-FI"/>
              </w:rPr>
              <w:fldChar w:fldCharType="begin"/>
            </w:r>
            <w:r w:rsidRPr="005924B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  <w:lang w:val="fi-FI"/>
              </w:rPr>
              <w:instrText xml:space="preserve"> REF _Ref231287398 \r \h  \* MERGEFORMAT </w:instrText>
            </w:r>
            <w:r w:rsidRPr="005924B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  <w:lang w:val="fi-FI"/>
              </w:rPr>
            </w:r>
            <w:r w:rsidRPr="005924B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  <w:lang w:val="fi-FI"/>
              </w:rPr>
              <w:fldChar w:fldCharType="separate"/>
            </w:r>
            <w:r w:rsidRPr="005924B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  <w:lang w:val="fi-FI"/>
              </w:rPr>
              <w:fldChar w:fldCharType="end"/>
            </w:r>
            <w:r w:rsidRPr="005924B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fi-FI"/>
              </w:rPr>
              <w:t xml:space="preserve"> </w:t>
            </w:r>
          </w:p>
        </w:tc>
        <w:tc>
          <w:tcPr>
            <w:tcW w:w="2790" w:type="dxa"/>
          </w:tcPr>
          <w:p w14:paraId="2B2C8CC5" w14:textId="28E8AD17" w:rsidR="00DC2DE4" w:rsidRPr="005924B8" w:rsidRDefault="00DC2DE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24B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fi-FI"/>
              </w:rPr>
              <w:t>Lasix</w:t>
            </w:r>
            <w:r w:rsidRPr="005924B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  <w:lang w:val="fi-FI"/>
              </w:rPr>
              <w:t>®</w:t>
            </w:r>
            <w:r w:rsidRPr="005924B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fi-FI"/>
              </w:rPr>
              <w:t xml:space="preserve"> (furosemide)</w:t>
            </w:r>
            <w:r w:rsidR="00AA079D" w:rsidRPr="00B45E8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  <w:lang w:val="fi-FI"/>
              </w:rPr>
              <w:fldChar w:fldCharType="begin"/>
            </w:r>
            <w:r w:rsidR="00AA079D" w:rsidRPr="00B45E8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  <w:lang w:val="fi-FI"/>
              </w:rPr>
              <w:instrText xml:space="preserve"> REF _Ref231553764 \r \h </w:instrText>
            </w:r>
            <w:r w:rsidR="00B45E8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  <w:lang w:val="fi-FI"/>
              </w:rPr>
              <w:instrText xml:space="preserve"> \* MERGEFORMAT </w:instrText>
            </w:r>
            <w:r w:rsidR="00AA079D" w:rsidRPr="00B45E8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  <w:lang w:val="fi-FI"/>
              </w:rPr>
            </w:r>
            <w:r w:rsidR="00AA079D" w:rsidRPr="00B45E8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  <w:lang w:val="fi-FI"/>
              </w:rPr>
              <w:fldChar w:fldCharType="separate"/>
            </w:r>
            <w:r w:rsidR="00AA079D" w:rsidRPr="00B45E8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  <w:lang w:val="fi-FI"/>
              </w:rPr>
              <w:t>8</w:t>
            </w:r>
            <w:r w:rsidR="00AA079D" w:rsidRPr="00B45E8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  <w:lang w:val="fi-FI"/>
              </w:rPr>
              <w:fldChar w:fldCharType="end"/>
            </w:r>
            <w:r w:rsidR="00AA079D" w:rsidRPr="005924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695" w:type="dxa"/>
          </w:tcPr>
          <w:p w14:paraId="67211F01" w14:textId="01451610" w:rsidR="00DC2DE4" w:rsidRPr="005924B8" w:rsidRDefault="00DC2DE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24B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fi-FI"/>
              </w:rPr>
              <w:t>Demadex</w:t>
            </w:r>
            <w:r w:rsidRPr="005924B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  <w:lang w:val="fi-FI"/>
              </w:rPr>
              <w:t>®</w:t>
            </w:r>
            <w:r w:rsidRPr="005924B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fi-FI"/>
              </w:rPr>
              <w:t xml:space="preserve"> (torsemide)</w:t>
            </w:r>
            <w:r w:rsidR="00AA079D" w:rsidRPr="00B45E8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  <w:lang w:val="fi-FI"/>
              </w:rPr>
              <w:fldChar w:fldCharType="begin"/>
            </w:r>
            <w:r w:rsidR="00AA079D" w:rsidRPr="00B45E8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  <w:lang w:val="fi-FI"/>
              </w:rPr>
              <w:instrText xml:space="preserve"> REF _Ref231553765 \r \h </w:instrText>
            </w:r>
            <w:r w:rsidR="00B45E8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  <w:lang w:val="fi-FI"/>
              </w:rPr>
              <w:instrText xml:space="preserve"> \* MERGEFORMAT </w:instrText>
            </w:r>
            <w:r w:rsidR="00AA079D" w:rsidRPr="00B45E8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  <w:lang w:val="fi-FI"/>
              </w:rPr>
            </w:r>
            <w:r w:rsidR="00AA079D" w:rsidRPr="00B45E8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  <w:lang w:val="fi-FI"/>
              </w:rPr>
              <w:fldChar w:fldCharType="separate"/>
            </w:r>
            <w:r w:rsidR="00AA079D" w:rsidRPr="00B45E8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  <w:lang w:val="fi-FI"/>
              </w:rPr>
              <w:t>9</w:t>
            </w:r>
            <w:r w:rsidR="00AA079D" w:rsidRPr="00B45E8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  <w:lang w:val="fi-FI"/>
              </w:rPr>
              <w:fldChar w:fldCharType="end"/>
            </w:r>
            <w:r w:rsidRPr="005924B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fi-FI"/>
              </w:rPr>
              <w:t xml:space="preserve"> </w:t>
            </w:r>
          </w:p>
        </w:tc>
      </w:tr>
      <w:tr w:rsidR="00DC2DE4" w14:paraId="0FF7E196" w14:textId="77777777" w:rsidTr="00C7271C">
        <w:tc>
          <w:tcPr>
            <w:tcW w:w="1165" w:type="dxa"/>
          </w:tcPr>
          <w:p w14:paraId="702134F7" w14:textId="77777777" w:rsidR="00DC2DE4" w:rsidRPr="005924B8" w:rsidRDefault="00DC2DE4" w:rsidP="0030055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924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Label Information</w:t>
            </w:r>
          </w:p>
        </w:tc>
        <w:tc>
          <w:tcPr>
            <w:tcW w:w="2700" w:type="dxa"/>
          </w:tcPr>
          <w:p w14:paraId="44F9E7EF" w14:textId="77777777" w:rsidR="00DC2DE4" w:rsidRPr="000E60B3" w:rsidRDefault="00DC2DE4">
            <w:pPr>
              <w:keepNext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E60B3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Dosage Forms and Strengths:</w:t>
            </w:r>
            <w:r w:rsidRPr="000E60B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0.5 mg, 1 mg, or 2 mg tablet</w:t>
            </w:r>
          </w:p>
          <w:p w14:paraId="42438D92" w14:textId="77777777" w:rsidR="00DC2DE4" w:rsidRDefault="00DC2DE4">
            <w:pPr>
              <w:keepNext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E60B3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Starting Dose: </w:t>
            </w:r>
            <w:r w:rsidRPr="000E60B3">
              <w:rPr>
                <w:rFonts w:ascii="Times New Roman" w:hAnsi="Times New Roman" w:cs="Times New Roman"/>
                <w:noProof/>
                <w:sz w:val="20"/>
                <w:szCs w:val="20"/>
              </w:rPr>
              <w:t>0.5-10 mg PO</w:t>
            </w:r>
          </w:p>
          <w:p w14:paraId="349AFA66" w14:textId="77777777" w:rsidR="00DC2DE4" w:rsidRPr="000E60B3" w:rsidRDefault="00DC2DE4" w:rsidP="000A3731">
            <w:pPr>
              <w:pStyle w:val="ListParagraph"/>
              <w:keepNext/>
              <w:numPr>
                <w:ilvl w:val="0"/>
                <w:numId w:val="15"/>
              </w:num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E60B3">
              <w:rPr>
                <w:rFonts w:ascii="Times New Roman" w:hAnsi="Times New Roman" w:cs="Times New Roman"/>
                <w:noProof/>
                <w:sz w:val="20"/>
                <w:szCs w:val="20"/>
              </w:rPr>
              <w:t>If needed, a second or third dose may be given at 4- to 5-hour intervals up to a maximum daily dose of 10 mg</w:t>
            </w:r>
          </w:p>
          <w:p w14:paraId="3884E529" w14:textId="77777777" w:rsidR="00DC2DE4" w:rsidRPr="000E60B3" w:rsidRDefault="00DC2DE4">
            <w:pPr>
              <w:keepNext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E60B3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Maintenance Dose:</w:t>
            </w:r>
            <w:r w:rsidRPr="000E60B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Intermittent dose schedule; tablets are given on alternate days or for 3-4 days with rest periods of 1-2 days in between</w:t>
            </w:r>
          </w:p>
        </w:tc>
        <w:tc>
          <w:tcPr>
            <w:tcW w:w="2790" w:type="dxa"/>
          </w:tcPr>
          <w:p w14:paraId="5D582205" w14:textId="77777777" w:rsidR="00DC2DE4" w:rsidRPr="000E60B3" w:rsidRDefault="00DC2DE4">
            <w:pPr>
              <w:keepNext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E60B3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Dosage Forms and Strengths:</w:t>
            </w:r>
            <w:r w:rsidRPr="000E60B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20 mg, 40 mg, or 80 mg tablet</w:t>
            </w:r>
          </w:p>
          <w:p w14:paraId="191E08A3" w14:textId="77777777" w:rsidR="00DC2DE4" w:rsidRPr="000E60B3" w:rsidRDefault="00DC2DE4">
            <w:pPr>
              <w:keepNext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E60B3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Starting Dose: </w:t>
            </w:r>
          </w:p>
          <w:p w14:paraId="303E217E" w14:textId="64E80ADA" w:rsidR="00DC2DE4" w:rsidRDefault="00DC2DE4" w:rsidP="000A3731">
            <w:pPr>
              <w:pStyle w:val="ListParagraph"/>
              <w:keepNext/>
              <w:numPr>
                <w:ilvl w:val="0"/>
                <w:numId w:val="15"/>
              </w:num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14D8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Hypertension (HT):</w:t>
            </w:r>
            <w:r w:rsidRPr="000A3731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0E60B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40 mg PO 2x daily </w:t>
            </w:r>
          </w:p>
          <w:p w14:paraId="5A97B52A" w14:textId="77777777" w:rsidR="00DC2DE4" w:rsidRDefault="00DC2DE4" w:rsidP="000A3731">
            <w:pPr>
              <w:pStyle w:val="ListParagraph"/>
              <w:keepNext/>
              <w:numPr>
                <w:ilvl w:val="1"/>
                <w:numId w:val="14"/>
              </w:num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E60B3">
              <w:rPr>
                <w:rFonts w:ascii="Times New Roman" w:hAnsi="Times New Roman" w:cs="Times New Roman"/>
                <w:noProof/>
                <w:sz w:val="20"/>
                <w:szCs w:val="20"/>
              </w:rPr>
              <w:t>If needed, add other antihypertensive agents</w:t>
            </w:r>
          </w:p>
          <w:p w14:paraId="090DF6A9" w14:textId="77777777" w:rsidR="00DC2DE4" w:rsidRDefault="00DC2DE4" w:rsidP="00714D86">
            <w:pPr>
              <w:pStyle w:val="ListParagraph"/>
              <w:keepNext/>
              <w:numPr>
                <w:ilvl w:val="0"/>
                <w:numId w:val="15"/>
              </w:num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14D8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Edema:</w:t>
            </w:r>
            <w:r w:rsidRPr="00714D86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0E60B3">
              <w:rPr>
                <w:rFonts w:ascii="Times New Roman" w:hAnsi="Times New Roman" w:cs="Times New Roman"/>
                <w:noProof/>
                <w:sz w:val="20"/>
                <w:szCs w:val="20"/>
              </w:rPr>
              <w:t>20-80 mg PO 1x daily</w:t>
            </w:r>
          </w:p>
          <w:p w14:paraId="77BC622B" w14:textId="77777777" w:rsidR="00DC2DE4" w:rsidRPr="000E60B3" w:rsidRDefault="00DC2DE4" w:rsidP="00E55131">
            <w:pPr>
              <w:pStyle w:val="ListParagraph"/>
              <w:keepNext/>
              <w:numPr>
                <w:ilvl w:val="1"/>
                <w:numId w:val="14"/>
              </w:num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E60B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If needed, the same dose can be administered 6-8 hours later, or the dose may be increased. The dose may be increased by 20 or 40 mg and given not sooner than 6-8 hours after the previous dose until the desired diuretic effect </w:t>
            </w:r>
          </w:p>
          <w:p w14:paraId="110F1558" w14:textId="50FF9A21" w:rsidR="00DC2DE4" w:rsidRPr="000E60B3" w:rsidRDefault="00DC2D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60B3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Maintenance Dose:</w:t>
            </w:r>
            <w:r w:rsidRPr="000E60B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For edema, individually determined single dose PO </w:t>
            </w:r>
            <w:r w:rsidR="0063187E">
              <w:rPr>
                <w:rFonts w:ascii="Times New Roman" w:hAnsi="Times New Roman" w:cs="Times New Roman"/>
                <w:noProof/>
                <w:sz w:val="20"/>
                <w:szCs w:val="20"/>
              </w:rPr>
              <w:br/>
            </w:r>
            <w:r w:rsidRPr="000E60B3">
              <w:rPr>
                <w:rFonts w:ascii="Times New Roman" w:hAnsi="Times New Roman" w:cs="Times New Roman"/>
                <w:noProof/>
                <w:sz w:val="20"/>
                <w:szCs w:val="20"/>
              </w:rPr>
              <w:t>1-2x daily. Safest results dosing on 2-4 consecutive days per week</w:t>
            </w:r>
          </w:p>
        </w:tc>
        <w:tc>
          <w:tcPr>
            <w:tcW w:w="2695" w:type="dxa"/>
          </w:tcPr>
          <w:p w14:paraId="0AB27F0E" w14:textId="00E19F8A" w:rsidR="00DC2DE4" w:rsidRPr="005924B8" w:rsidRDefault="00DC2DE4">
            <w:pPr>
              <w:keepNext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924B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Dosage Forms and Strengths:</w:t>
            </w:r>
            <w:r w:rsidRPr="005924B8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5 mg, 10 mg, </w:t>
            </w:r>
            <w:r w:rsidR="005125C4">
              <w:rPr>
                <w:rFonts w:ascii="Times New Roman" w:hAnsi="Times New Roman" w:cs="Times New Roman"/>
                <w:noProof/>
                <w:sz w:val="20"/>
                <w:szCs w:val="20"/>
              </w:rPr>
              <w:br/>
            </w:r>
            <w:r w:rsidRPr="005924B8">
              <w:rPr>
                <w:rFonts w:ascii="Times New Roman" w:hAnsi="Times New Roman" w:cs="Times New Roman"/>
                <w:noProof/>
                <w:sz w:val="20"/>
                <w:szCs w:val="20"/>
              </w:rPr>
              <w:t>20 mg, or 100 mg tablet</w:t>
            </w:r>
          </w:p>
          <w:p w14:paraId="7CC0E465" w14:textId="77777777" w:rsidR="00DC2DE4" w:rsidRPr="005924B8" w:rsidRDefault="00DC2DE4">
            <w:pPr>
              <w:keepNext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924B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Starting Dose: </w:t>
            </w:r>
          </w:p>
          <w:p w14:paraId="0F06EC42" w14:textId="34F52DEE" w:rsidR="00DC2DE4" w:rsidRDefault="00826C2A" w:rsidP="00714D86">
            <w:pPr>
              <w:pStyle w:val="ListParagraph"/>
              <w:keepNext/>
              <w:numPr>
                <w:ilvl w:val="0"/>
                <w:numId w:val="16"/>
              </w:num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14D8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Congestive</w:t>
            </w:r>
            <w:r w:rsidR="00DC2DE4" w:rsidRPr="00714D8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Heart Failure (CHF):</w:t>
            </w:r>
            <w:r w:rsidR="00DC2DE4" w:rsidRPr="00714D86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DC2DE4" w:rsidRPr="00B95C23">
              <w:rPr>
                <w:rFonts w:ascii="Times New Roman" w:hAnsi="Times New Roman" w:cs="Times New Roman"/>
                <w:noProof/>
                <w:sz w:val="20"/>
                <w:szCs w:val="20"/>
              </w:rPr>
              <w:t>10-20 mg PO 1x daily</w:t>
            </w:r>
          </w:p>
          <w:p w14:paraId="17A2534E" w14:textId="77777777" w:rsidR="00DC2DE4" w:rsidRDefault="00DC2DE4" w:rsidP="00714D86">
            <w:pPr>
              <w:pStyle w:val="ListParagraph"/>
              <w:keepNext/>
              <w:numPr>
                <w:ilvl w:val="0"/>
                <w:numId w:val="16"/>
              </w:num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14D8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Chronic Renal Failure (CRF):</w:t>
            </w:r>
            <w:r w:rsidRPr="00714D86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B95C23">
              <w:rPr>
                <w:rFonts w:ascii="Times New Roman" w:hAnsi="Times New Roman" w:cs="Times New Roman"/>
                <w:noProof/>
                <w:sz w:val="20"/>
                <w:szCs w:val="20"/>
              </w:rPr>
              <w:t>20 mg PO 1x daily</w:t>
            </w:r>
          </w:p>
          <w:p w14:paraId="49629B12" w14:textId="77777777" w:rsidR="00DC2DE4" w:rsidRPr="00B95C23" w:rsidRDefault="00DC2DE4" w:rsidP="00714D86">
            <w:pPr>
              <w:pStyle w:val="ListParagraph"/>
              <w:keepNext/>
              <w:numPr>
                <w:ilvl w:val="0"/>
                <w:numId w:val="16"/>
              </w:num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14D86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HT:</w:t>
            </w:r>
            <w:r w:rsidRPr="00714D86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B95C23">
              <w:rPr>
                <w:rFonts w:ascii="Times New Roman" w:hAnsi="Times New Roman" w:cs="Times New Roman"/>
                <w:noProof/>
                <w:sz w:val="20"/>
                <w:szCs w:val="20"/>
              </w:rPr>
              <w:t>5 mg PO 1x daily</w:t>
            </w:r>
          </w:p>
          <w:p w14:paraId="66E3E32B" w14:textId="77777777" w:rsidR="00DC2DE4" w:rsidRPr="005924B8" w:rsidRDefault="00DC2DE4">
            <w:pPr>
              <w:keepNext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924B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Maintenance Dose:</w:t>
            </w:r>
            <w:r w:rsidRPr="005924B8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  <w:p w14:paraId="4F8EDC76" w14:textId="77777777" w:rsidR="00DC2DE4" w:rsidRPr="00714D86" w:rsidRDefault="00DC2DE4" w:rsidP="00714D86">
            <w:pPr>
              <w:pStyle w:val="ListParagraph"/>
              <w:keepNext/>
              <w:numPr>
                <w:ilvl w:val="0"/>
                <w:numId w:val="16"/>
              </w:num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95C23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CHF and CRF</w:t>
            </w:r>
            <w:r w:rsidRPr="00714D86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: If needed, the dose should be titrated by doubling until the desired response is obtained </w:t>
            </w:r>
          </w:p>
          <w:p w14:paraId="36AC6DAA" w14:textId="77777777" w:rsidR="00DC2DE4" w:rsidRPr="00B95C23" w:rsidRDefault="00DC2DE4" w:rsidP="00714D86">
            <w:pPr>
              <w:pStyle w:val="ListParagraph"/>
              <w:keepNext/>
              <w:numPr>
                <w:ilvl w:val="0"/>
                <w:numId w:val="16"/>
              </w:num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95C23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HT: </w:t>
            </w:r>
            <w:r w:rsidRPr="00714D86">
              <w:rPr>
                <w:rFonts w:ascii="Times New Roman" w:hAnsi="Times New Roman" w:cs="Times New Roman"/>
                <w:noProof/>
                <w:sz w:val="20"/>
                <w:szCs w:val="20"/>
              </w:rPr>
              <w:t>If a 5 mg dose is not adequate, the dose may be increased to 10 mg once daily after 4-6 weeks. If 10 mg is insufficient, an additional antihypertensive agent should be added</w:t>
            </w:r>
          </w:p>
        </w:tc>
      </w:tr>
      <w:tr w:rsidR="00DC2DE4" w14:paraId="55D81C7B" w14:textId="77777777" w:rsidTr="00C7271C">
        <w:tc>
          <w:tcPr>
            <w:tcW w:w="1165" w:type="dxa"/>
            <w:vMerge w:val="restart"/>
          </w:tcPr>
          <w:p w14:paraId="3395EE44" w14:textId="77777777" w:rsidR="00DC2DE4" w:rsidRPr="005924B8" w:rsidRDefault="00DC2DE4" w:rsidP="0030055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924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Key Considerations</w:t>
            </w:r>
          </w:p>
        </w:tc>
        <w:tc>
          <w:tcPr>
            <w:tcW w:w="2700" w:type="dxa"/>
          </w:tcPr>
          <w:p w14:paraId="19E27814" w14:textId="77777777" w:rsidR="00DC2DE4" w:rsidRPr="005924B8" w:rsidRDefault="00DC2D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24B8">
              <w:rPr>
                <w:rFonts w:ascii="Times New Roman" w:hAnsi="Times New Roman" w:cs="Times New Roman"/>
                <w:noProof/>
                <w:sz w:val="20"/>
                <w:szCs w:val="20"/>
              </w:rPr>
              <w:t>Bumetanide can be substituted for furosemide at approximately a 1:40 ratio</w:t>
            </w:r>
          </w:p>
        </w:tc>
        <w:tc>
          <w:tcPr>
            <w:tcW w:w="2790" w:type="dxa"/>
          </w:tcPr>
          <w:p w14:paraId="202554C9" w14:textId="7D6C3881" w:rsidR="00DC2DE4" w:rsidRPr="005924B8" w:rsidRDefault="00DC2DE4" w:rsidP="002C2671">
            <w:pPr>
              <w:pStyle w:val="ListParagraph"/>
              <w:keepNext/>
              <w:numPr>
                <w:ilvl w:val="0"/>
                <w:numId w:val="17"/>
              </w:num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924B8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Doses exceeding </w:t>
            </w:r>
            <w:r w:rsidR="000E5FBC">
              <w:rPr>
                <w:rFonts w:ascii="Times New Roman" w:hAnsi="Times New Roman" w:cs="Times New Roman"/>
                <w:noProof/>
                <w:sz w:val="20"/>
                <w:szCs w:val="20"/>
              </w:rPr>
              <w:br/>
            </w:r>
            <w:r w:rsidRPr="005924B8">
              <w:rPr>
                <w:rFonts w:ascii="Times New Roman" w:hAnsi="Times New Roman" w:cs="Times New Roman"/>
                <w:noProof/>
                <w:sz w:val="20"/>
                <w:szCs w:val="20"/>
              </w:rPr>
              <w:t>80 mg/day for prolonged periods require careful clinical observation</w:t>
            </w:r>
          </w:p>
          <w:p w14:paraId="53325B5D" w14:textId="77777777" w:rsidR="00DC2DE4" w:rsidRPr="005924B8" w:rsidRDefault="00DC2DE4" w:rsidP="002C2671">
            <w:pPr>
              <w:pStyle w:val="ListParagraph"/>
              <w:keepNext/>
              <w:numPr>
                <w:ilvl w:val="0"/>
                <w:numId w:val="17"/>
              </w:num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924B8">
              <w:rPr>
                <w:rFonts w:ascii="Times New Roman" w:hAnsi="Times New Roman" w:cs="Times New Roman"/>
                <w:noProof/>
                <w:sz w:val="20"/>
                <w:szCs w:val="20"/>
              </w:rPr>
              <w:t>Furosemide has variable oral bioavailability</w:t>
            </w:r>
          </w:p>
        </w:tc>
        <w:tc>
          <w:tcPr>
            <w:tcW w:w="2695" w:type="dxa"/>
          </w:tcPr>
          <w:p w14:paraId="4DE7EF67" w14:textId="0682E126" w:rsidR="00DC2DE4" w:rsidRPr="005924B8" w:rsidRDefault="00DC2D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24B8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Single doses higher than </w:t>
            </w:r>
            <w:r w:rsidR="005D3951">
              <w:rPr>
                <w:rFonts w:ascii="Times New Roman" w:hAnsi="Times New Roman" w:cs="Times New Roman"/>
                <w:noProof/>
                <w:sz w:val="20"/>
                <w:szCs w:val="20"/>
              </w:rPr>
              <w:br/>
            </w:r>
            <w:r w:rsidRPr="005924B8">
              <w:rPr>
                <w:rFonts w:ascii="Times New Roman" w:hAnsi="Times New Roman" w:cs="Times New Roman"/>
                <w:noProof/>
                <w:sz w:val="20"/>
                <w:szCs w:val="20"/>
              </w:rPr>
              <w:t>200 mg have not been adequately studied</w:t>
            </w:r>
          </w:p>
        </w:tc>
      </w:tr>
      <w:tr w:rsidR="00DC2DE4" w14:paraId="164474C4" w14:textId="77777777" w:rsidTr="0030055E">
        <w:tc>
          <w:tcPr>
            <w:tcW w:w="1165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EC98142" w14:textId="77777777" w:rsidR="00DC2DE4" w:rsidRPr="005924B8" w:rsidRDefault="00DC2D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5" w:type="dxa"/>
            <w:gridSpan w:val="3"/>
            <w:tcBorders>
              <w:bottom w:val="single" w:sz="4" w:space="0" w:color="auto"/>
            </w:tcBorders>
          </w:tcPr>
          <w:p w14:paraId="7370B45D" w14:textId="77777777" w:rsidR="00DC2DE4" w:rsidRPr="005924B8" w:rsidRDefault="00DC2D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24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Patients with eGFR &lt;30 mL/min/1.73 m</w:t>
            </w:r>
            <w:r w:rsidRPr="005924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5924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often require higher or more frequent dosing. </w:t>
            </w:r>
          </w:p>
          <w:p w14:paraId="45C4497F" w14:textId="6578A3F0" w:rsidR="00DC2DE4" w:rsidRPr="005924B8" w:rsidRDefault="00DC2D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924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Repeat serum K+ measurement within 7 days of initiating diuretics.</w:t>
            </w:r>
            <w:r w:rsidR="00E36254" w:rsidRPr="003721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fldChar w:fldCharType="begin"/>
            </w:r>
            <w:r w:rsidR="00E36254" w:rsidRPr="003721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instrText xml:space="preserve"> REF _Ref231553766 \r \h </w:instrText>
            </w:r>
            <w:r w:rsidR="003721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instrText xml:space="preserve"> \* MERGEFORMAT </w:instrText>
            </w:r>
            <w:r w:rsidR="00E36254" w:rsidRPr="003721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r>
            <w:r w:rsidR="00E36254" w:rsidRPr="003721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fldChar w:fldCharType="separate"/>
            </w:r>
            <w:r w:rsidR="00E36254" w:rsidRPr="003721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10</w:t>
            </w:r>
            <w:r w:rsidR="00E36254" w:rsidRPr="003721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fldChar w:fldCharType="end"/>
            </w:r>
            <w:r w:rsidRPr="005924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F3C93" w14:paraId="51995FBA" w14:textId="77777777" w:rsidTr="0030055E">
        <w:tc>
          <w:tcPr>
            <w:tcW w:w="93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41FEF2" w14:textId="00366707" w:rsidR="00110A5B" w:rsidRPr="00110A5B" w:rsidRDefault="00110A5B" w:rsidP="00110A5B">
            <w:pPr>
              <w:contextualSpacing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kern w:val="24"/>
                <w:sz w:val="20"/>
                <w:szCs w:val="20"/>
                <w:lang w:eastAsia="en-US"/>
              </w:rPr>
              <w:t xml:space="preserve">eGFR, </w:t>
            </w:r>
            <w:r w:rsidRPr="00110A5B"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estimated glomerular filtration rate</w:t>
            </w:r>
          </w:p>
          <w:p w14:paraId="58EFE73F" w14:textId="3EC76A33" w:rsidR="00110A5B" w:rsidRDefault="00110A5B" w:rsidP="00110A5B">
            <w:pPr>
              <w:contextualSpacing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 w:rsidRPr="00D85979">
              <w:rPr>
                <w:rFonts w:ascii="Times New Roman" w:hAnsi="Times New Roman" w:cs="Times New Roman"/>
                <w:i/>
                <w:iCs/>
                <w:kern w:val="24"/>
                <w:sz w:val="20"/>
                <w:szCs w:val="20"/>
                <w:lang w:eastAsia="en-US"/>
              </w:rPr>
              <w:t>K+,</w:t>
            </w: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 xml:space="preserve"> potassium</w:t>
            </w:r>
          </w:p>
          <w:p w14:paraId="129DFA56" w14:textId="0687428B" w:rsidR="006F3C93" w:rsidRPr="005924B8" w:rsidRDefault="00110A5B" w:rsidP="00110A5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85979">
              <w:rPr>
                <w:rFonts w:ascii="Times New Roman" w:hAnsi="Times New Roman" w:cs="Times New Roman"/>
                <w:i/>
                <w:iCs/>
                <w:kern w:val="24"/>
                <w:sz w:val="20"/>
                <w:szCs w:val="20"/>
                <w:lang w:eastAsia="en-US"/>
              </w:rPr>
              <w:t>PO,</w:t>
            </w: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 xml:space="preserve"> per </w:t>
            </w:r>
            <w:proofErr w:type="spellStart"/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os</w:t>
            </w:r>
            <w:proofErr w:type="spellEnd"/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 xml:space="preserve"> (orally)</w:t>
            </w:r>
          </w:p>
        </w:tc>
      </w:tr>
    </w:tbl>
    <w:p w14:paraId="5B403EB2" w14:textId="0312822A" w:rsidR="00B22F0C" w:rsidRDefault="00B22F0C" w:rsidP="00DC2DE4">
      <w:pPr>
        <w:pStyle w:val="Caption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81842EC" w14:textId="77777777" w:rsidR="00B22F0C" w:rsidRDefault="00B22F0C">
      <w:pPr>
        <w:rPr>
          <w:rFonts w:ascii="Times New Roman" w:eastAsia="Times New Roman" w:hAnsi="Times New Roman" w:cs="Times New Roman"/>
          <w:i/>
          <w:iCs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br w:type="page"/>
      </w:r>
    </w:p>
    <w:p w14:paraId="2B1D7C0A" w14:textId="15D2C732" w:rsidR="00B22F0C" w:rsidRPr="00B22F0C" w:rsidRDefault="00B22F0C" w:rsidP="00B22F0C">
      <w:pPr>
        <w:pStyle w:val="Caption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B22F0C">
        <w:rPr>
          <w:rFonts w:ascii="Times New Roman" w:hAnsi="Times New Roman" w:cs="Times New Roman"/>
          <w:sz w:val="20"/>
          <w:szCs w:val="20"/>
        </w:rPr>
        <w:lastRenderedPageBreak/>
        <w:t xml:space="preserve">Supplementary Table </w:t>
      </w:r>
      <w:r w:rsidRPr="00B22F0C">
        <w:rPr>
          <w:rFonts w:ascii="Times New Roman" w:hAnsi="Times New Roman" w:cs="Times New Roman"/>
          <w:sz w:val="20"/>
          <w:szCs w:val="20"/>
        </w:rPr>
        <w:fldChar w:fldCharType="begin"/>
      </w:r>
      <w:r w:rsidRPr="00B22F0C">
        <w:rPr>
          <w:rFonts w:ascii="Times New Roman" w:hAnsi="Times New Roman" w:cs="Times New Roman"/>
          <w:sz w:val="20"/>
          <w:szCs w:val="20"/>
        </w:rPr>
        <w:instrText xml:space="preserve"> SEQ Table \* ARABIC </w:instrText>
      </w:r>
      <w:r w:rsidRPr="00B22F0C">
        <w:rPr>
          <w:rFonts w:ascii="Times New Roman" w:hAnsi="Times New Roman" w:cs="Times New Roman"/>
          <w:sz w:val="20"/>
          <w:szCs w:val="20"/>
        </w:rPr>
        <w:fldChar w:fldCharType="separate"/>
      </w:r>
      <w:r w:rsidRPr="00B22F0C">
        <w:rPr>
          <w:rFonts w:ascii="Times New Roman" w:hAnsi="Times New Roman" w:cs="Times New Roman"/>
          <w:noProof/>
          <w:sz w:val="20"/>
          <w:szCs w:val="20"/>
        </w:rPr>
        <w:t>2</w:t>
      </w:r>
      <w:r w:rsidRPr="00B22F0C">
        <w:rPr>
          <w:rFonts w:ascii="Times New Roman" w:hAnsi="Times New Roman" w:cs="Times New Roman"/>
          <w:sz w:val="20"/>
          <w:szCs w:val="20"/>
        </w:rPr>
        <w:fldChar w:fldCharType="end"/>
      </w:r>
      <w:r w:rsidRPr="00B22F0C">
        <w:rPr>
          <w:rFonts w:ascii="Times New Roman" w:hAnsi="Times New Roman" w:cs="Times New Roman"/>
          <w:sz w:val="20"/>
          <w:szCs w:val="20"/>
        </w:rPr>
        <w:t>: Management</w:t>
      </w:r>
      <w:r w:rsidRPr="00B22F0C" w:rsidDel="00975080">
        <w:rPr>
          <w:rFonts w:ascii="Times New Roman" w:hAnsi="Times New Roman" w:cs="Times New Roman"/>
          <w:sz w:val="20"/>
          <w:szCs w:val="20"/>
        </w:rPr>
        <w:t xml:space="preserve"> of Patients</w:t>
      </w:r>
      <w:r w:rsidRPr="00B22F0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B22F0C">
        <w:rPr>
          <w:rFonts w:ascii="Times New Roman" w:hAnsi="Times New Roman" w:cs="Times New Roman"/>
          <w:sz w:val="20"/>
          <w:szCs w:val="20"/>
        </w:rPr>
        <w:t>W</w:t>
      </w:r>
      <w:r w:rsidRPr="00B22F0C" w:rsidDel="00975080">
        <w:rPr>
          <w:rFonts w:ascii="Times New Roman" w:hAnsi="Times New Roman" w:cs="Times New Roman"/>
          <w:sz w:val="20"/>
          <w:szCs w:val="20"/>
        </w:rPr>
        <w:t>ith</w:t>
      </w:r>
      <w:proofErr w:type="gramEnd"/>
      <w:r w:rsidRPr="00B22F0C" w:rsidDel="00975080">
        <w:rPr>
          <w:rFonts w:ascii="Times New Roman" w:hAnsi="Times New Roman" w:cs="Times New Roman"/>
          <w:sz w:val="20"/>
          <w:szCs w:val="20"/>
        </w:rPr>
        <w:t xml:space="preserve"> </w:t>
      </w:r>
      <w:r w:rsidRPr="00B22F0C">
        <w:rPr>
          <w:rFonts w:ascii="Times New Roman" w:hAnsi="Times New Roman" w:cs="Times New Roman"/>
          <w:sz w:val="20"/>
          <w:szCs w:val="20"/>
        </w:rPr>
        <w:t>Hyperkalemia and Metabolic Acidosis</w:t>
      </w:r>
      <w:r w:rsidR="00C32E6C" w:rsidRPr="00C32E6C">
        <w:rPr>
          <w:rFonts w:ascii="Times New Roman" w:hAnsi="Times New Roman" w:cs="Times New Roman"/>
          <w:sz w:val="20"/>
          <w:szCs w:val="20"/>
          <w:vertAlign w:val="superscript"/>
        </w:rPr>
        <w:fldChar w:fldCharType="begin"/>
      </w:r>
      <w:r w:rsidR="00C32E6C" w:rsidRPr="00C32E6C">
        <w:rPr>
          <w:rFonts w:ascii="Times New Roman" w:hAnsi="Times New Roman" w:cs="Times New Roman"/>
          <w:sz w:val="20"/>
          <w:szCs w:val="20"/>
          <w:vertAlign w:val="superscript"/>
        </w:rPr>
        <w:instrText xml:space="preserve"> REF _Ref231553866 \r \h </w:instrText>
      </w:r>
      <w:r w:rsidR="00C32E6C">
        <w:rPr>
          <w:rFonts w:ascii="Times New Roman" w:hAnsi="Times New Roman" w:cs="Times New Roman"/>
          <w:sz w:val="20"/>
          <w:szCs w:val="20"/>
          <w:vertAlign w:val="superscript"/>
        </w:rPr>
        <w:instrText xml:space="preserve"> \* MERGEFORMAT </w:instrText>
      </w:r>
      <w:r w:rsidR="00C32E6C" w:rsidRPr="00C32E6C">
        <w:rPr>
          <w:rFonts w:ascii="Times New Roman" w:hAnsi="Times New Roman" w:cs="Times New Roman"/>
          <w:sz w:val="20"/>
          <w:szCs w:val="20"/>
          <w:vertAlign w:val="superscript"/>
        </w:rPr>
      </w:r>
      <w:r w:rsidR="00C32E6C" w:rsidRPr="00C32E6C">
        <w:rPr>
          <w:rFonts w:ascii="Times New Roman" w:hAnsi="Times New Roman" w:cs="Times New Roman"/>
          <w:sz w:val="20"/>
          <w:szCs w:val="20"/>
          <w:vertAlign w:val="superscript"/>
        </w:rPr>
        <w:fldChar w:fldCharType="separate"/>
      </w:r>
      <w:r w:rsidR="00C32E6C" w:rsidRPr="00C32E6C">
        <w:rPr>
          <w:rFonts w:ascii="Times New Roman" w:hAnsi="Times New Roman" w:cs="Times New Roman"/>
          <w:sz w:val="20"/>
          <w:szCs w:val="20"/>
          <w:vertAlign w:val="superscript"/>
        </w:rPr>
        <w:t>11</w:t>
      </w:r>
      <w:r w:rsidR="00C32E6C" w:rsidRPr="00C32E6C">
        <w:rPr>
          <w:rFonts w:ascii="Times New Roman" w:hAnsi="Times New Roman" w:cs="Times New Roman"/>
          <w:sz w:val="20"/>
          <w:szCs w:val="20"/>
          <w:vertAlign w:val="superscript"/>
        </w:rPr>
        <w:fldChar w:fldCharType="end"/>
      </w:r>
      <w:r w:rsidRPr="00B22F0C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994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20"/>
        <w:gridCol w:w="7920"/>
      </w:tblGrid>
      <w:tr w:rsidR="00322C6D" w:rsidRPr="00B6562F" w14:paraId="42364174" w14:textId="77777777" w:rsidTr="00C7271C">
        <w:trPr>
          <w:trHeight w:val="552"/>
          <w:jc w:val="center"/>
        </w:trPr>
        <w:tc>
          <w:tcPr>
            <w:tcW w:w="202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3CF21D" w14:textId="77777777" w:rsidR="00322C6D" w:rsidRPr="003A0BE2" w:rsidRDefault="00322C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BE2">
              <w:rPr>
                <w:rFonts w:ascii="Times New Roman" w:hAnsi="Times New Roman" w:cs="Times New Roman"/>
                <w:b/>
                <w:sz w:val="20"/>
                <w:szCs w:val="20"/>
              </w:rPr>
              <w:t>Condition</w:t>
            </w:r>
          </w:p>
        </w:tc>
        <w:tc>
          <w:tcPr>
            <w:tcW w:w="792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211BD9" w14:textId="77777777" w:rsidR="00322C6D" w:rsidRPr="003A0BE2" w:rsidRDefault="00322C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BE2">
              <w:rPr>
                <w:rFonts w:ascii="Times New Roman" w:hAnsi="Times New Roman" w:cs="Times New Roman"/>
                <w:b/>
                <w:sz w:val="20"/>
                <w:szCs w:val="20"/>
              </w:rPr>
              <w:t>Sodium Bicarbonate (NaHCO</w:t>
            </w:r>
            <w:r w:rsidRPr="003A0BE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3</w:t>
            </w:r>
            <w:r w:rsidRPr="003A0BE2">
              <w:rPr>
                <w:rFonts w:ascii="Times New Roman" w:hAnsi="Times New Roman" w:cs="Times New Roman"/>
                <w:b/>
                <w:sz w:val="20"/>
                <w:szCs w:val="20"/>
              </w:rPr>
              <w:t>) ​</w:t>
            </w:r>
            <w:r w:rsidRPr="003A0BE2">
              <w:rPr>
                <w:rFonts w:ascii="Times New Roman" w:hAnsi="Times New Roman" w:cs="Times New Roman"/>
                <w:sz w:val="20"/>
                <w:szCs w:val="20"/>
              </w:rPr>
              <w:t>​</w:t>
            </w:r>
          </w:p>
        </w:tc>
      </w:tr>
      <w:tr w:rsidR="00322C6D" w:rsidRPr="00B6562F" w14:paraId="4AAA13F5" w14:textId="77777777" w:rsidTr="00C7271C">
        <w:trPr>
          <w:trHeight w:val="1713"/>
          <w:jc w:val="center"/>
        </w:trPr>
        <w:tc>
          <w:tcPr>
            <w:tcW w:w="202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79CF04" w14:textId="77777777" w:rsidR="00322C6D" w:rsidRPr="003A0BE2" w:rsidRDefault="00322C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0BE2">
              <w:rPr>
                <w:rFonts w:ascii="Times New Roman" w:hAnsi="Times New Roman" w:cs="Times New Roman"/>
                <w:b/>
                <w:sz w:val="20"/>
                <w:szCs w:val="20"/>
              </w:rPr>
              <w:t>Chronic Metabolic Acidosis</w:t>
            </w:r>
          </w:p>
        </w:tc>
        <w:tc>
          <w:tcPr>
            <w:tcW w:w="792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07980D" w14:textId="0E462B53" w:rsidR="00322C6D" w:rsidRPr="003A0BE2" w:rsidRDefault="00322C6D" w:rsidP="00322C6D">
            <w:pPr>
              <w:numPr>
                <w:ilvl w:val="0"/>
                <w:numId w:val="7"/>
              </w:numPr>
              <w:tabs>
                <w:tab w:val="num" w:pos="7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0BE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Chronic renal failure</w:t>
            </w:r>
            <w:r w:rsidRPr="003A0BE2">
              <w:rPr>
                <w:rFonts w:ascii="Times New Roman" w:hAnsi="Times New Roman" w:cs="Times New Roman"/>
                <w:sz w:val="20"/>
                <w:szCs w:val="20"/>
              </w:rPr>
              <w:t xml:space="preserve">: 1625 to 2925 mg/day </w:t>
            </w:r>
            <w:r w:rsidR="00FE34FF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3A0BE2">
              <w:rPr>
                <w:rFonts w:ascii="Times New Roman" w:hAnsi="Times New Roman" w:cs="Times New Roman"/>
                <w:sz w:val="20"/>
                <w:szCs w:val="20"/>
              </w:rPr>
              <w:t xml:space="preserve"> divided every 4 to 6 hours</w:t>
            </w:r>
          </w:p>
          <w:p w14:paraId="1061357E" w14:textId="77777777" w:rsidR="00322C6D" w:rsidRPr="003A0BE2" w:rsidRDefault="00322C6D" w:rsidP="00322C6D">
            <w:pPr>
              <w:numPr>
                <w:ilvl w:val="1"/>
                <w:numId w:val="7"/>
              </w:numPr>
              <w:tabs>
                <w:tab w:val="num" w:pos="144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0BE2">
              <w:rPr>
                <w:rFonts w:ascii="Times New Roman" w:hAnsi="Times New Roman" w:cs="Times New Roman"/>
                <w:sz w:val="20"/>
                <w:szCs w:val="20"/>
              </w:rPr>
              <w:t>Dose adjustments are based on serum HCO</w:t>
            </w:r>
            <w:r w:rsidRPr="003A0BE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3A0BE2">
              <w:rPr>
                <w:rFonts w:ascii="Times New Roman" w:hAnsi="Times New Roman" w:cs="Times New Roman"/>
                <w:sz w:val="20"/>
                <w:szCs w:val="20"/>
              </w:rPr>
              <w:t xml:space="preserve"> levels</w:t>
            </w:r>
          </w:p>
          <w:p w14:paraId="7C4DE588" w14:textId="7D79E608" w:rsidR="00322C6D" w:rsidRPr="003A0BE2" w:rsidRDefault="00322C6D" w:rsidP="00322C6D">
            <w:pPr>
              <w:numPr>
                <w:ilvl w:val="0"/>
                <w:numId w:val="7"/>
              </w:numPr>
              <w:tabs>
                <w:tab w:val="num" w:pos="7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0BE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Distal renal tubular acidosis</w:t>
            </w:r>
            <w:r w:rsidRPr="003A0BE2">
              <w:rPr>
                <w:rFonts w:ascii="Times New Roman" w:hAnsi="Times New Roman" w:cs="Times New Roman"/>
                <w:sz w:val="20"/>
                <w:szCs w:val="20"/>
              </w:rPr>
              <w:t xml:space="preserve">: 48 to 168 mg/kg/day </w:t>
            </w:r>
            <w:r w:rsidR="00FE34FF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3A0BE2">
              <w:rPr>
                <w:rFonts w:ascii="Times New Roman" w:hAnsi="Times New Roman" w:cs="Times New Roman"/>
                <w:sz w:val="20"/>
                <w:szCs w:val="20"/>
              </w:rPr>
              <w:t xml:space="preserve"> divided every 4 to 6 hours</w:t>
            </w:r>
          </w:p>
          <w:p w14:paraId="536B8C8A" w14:textId="77777777" w:rsidR="00322C6D" w:rsidRPr="003A0BE2" w:rsidRDefault="00322C6D" w:rsidP="00322C6D">
            <w:pPr>
              <w:numPr>
                <w:ilvl w:val="1"/>
                <w:numId w:val="7"/>
              </w:numPr>
              <w:tabs>
                <w:tab w:val="num" w:pos="144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0BE2">
              <w:rPr>
                <w:rFonts w:ascii="Times New Roman" w:hAnsi="Times New Roman" w:cs="Times New Roman"/>
                <w:sz w:val="20"/>
                <w:szCs w:val="20"/>
              </w:rPr>
              <w:t>Dose adjustments are based on serum HCO</w:t>
            </w:r>
            <w:r w:rsidRPr="003A0BE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3A0BE2">
              <w:rPr>
                <w:rFonts w:ascii="Times New Roman" w:hAnsi="Times New Roman" w:cs="Times New Roman"/>
                <w:sz w:val="20"/>
                <w:szCs w:val="20"/>
              </w:rPr>
              <w:t xml:space="preserve"> levels</w:t>
            </w:r>
          </w:p>
          <w:p w14:paraId="6620B81E" w14:textId="303167ED" w:rsidR="00322C6D" w:rsidRDefault="00322C6D" w:rsidP="00322C6D">
            <w:pPr>
              <w:numPr>
                <w:ilvl w:val="0"/>
                <w:numId w:val="7"/>
              </w:numPr>
              <w:tabs>
                <w:tab w:val="num" w:pos="7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0BE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Proximal renal tubular acidosis</w:t>
            </w:r>
            <w:r w:rsidRPr="003A0BE2">
              <w:rPr>
                <w:rFonts w:ascii="Times New Roman" w:hAnsi="Times New Roman" w:cs="Times New Roman"/>
                <w:sz w:val="20"/>
                <w:szCs w:val="20"/>
              </w:rPr>
              <w:t xml:space="preserve">: 420 to 840 mg/kg/day </w:t>
            </w:r>
            <w:r w:rsidR="00FE34FF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3A0BE2">
              <w:rPr>
                <w:rFonts w:ascii="Times New Roman" w:hAnsi="Times New Roman" w:cs="Times New Roman"/>
                <w:sz w:val="20"/>
                <w:szCs w:val="20"/>
              </w:rPr>
              <w:t xml:space="preserve"> divided every 4 to 6 hours</w:t>
            </w:r>
          </w:p>
          <w:p w14:paraId="2492A2E0" w14:textId="77777777" w:rsidR="004128DB" w:rsidRPr="004128DB" w:rsidRDefault="004128DB" w:rsidP="004128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9B22AB" w14:textId="77777777" w:rsidR="004128DB" w:rsidRDefault="004128DB" w:rsidP="004128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FB66F8" w14:textId="77777777" w:rsidR="004128DB" w:rsidRPr="004128DB" w:rsidRDefault="004128DB" w:rsidP="004128D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C6D" w:rsidRPr="00B6562F" w14:paraId="52BAD2C8" w14:textId="77777777" w:rsidTr="00C7271C">
        <w:trPr>
          <w:trHeight w:val="516"/>
          <w:jc w:val="center"/>
        </w:trPr>
        <w:tc>
          <w:tcPr>
            <w:tcW w:w="202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CC6C00" w14:textId="77777777" w:rsidR="00322C6D" w:rsidRPr="003A0BE2" w:rsidRDefault="00322C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BE2">
              <w:rPr>
                <w:rFonts w:ascii="Times New Roman" w:hAnsi="Times New Roman" w:cs="Times New Roman"/>
                <w:b/>
                <w:sz w:val="20"/>
                <w:szCs w:val="20"/>
              </w:rPr>
              <w:t>Acute Metabolic Acidosis</w:t>
            </w:r>
          </w:p>
        </w:tc>
        <w:tc>
          <w:tcPr>
            <w:tcW w:w="792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583F93" w14:textId="77777777" w:rsidR="00322C6D" w:rsidRPr="003A0BE2" w:rsidRDefault="00322C6D" w:rsidP="00322C6D">
            <w:pPr>
              <w:numPr>
                <w:ilvl w:val="0"/>
                <w:numId w:val="8"/>
              </w:numPr>
              <w:tabs>
                <w:tab w:val="num" w:pos="7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0BE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Initiation</w:t>
            </w:r>
            <w:r w:rsidRPr="003A0BE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3A0BE2">
              <w:rPr>
                <w:rFonts w:ascii="Times New Roman" w:hAnsi="Times New Roman" w:cs="Times New Roman"/>
                <w:sz w:val="20"/>
                <w:szCs w:val="20"/>
              </w:rPr>
              <w:t xml:space="preserve">2 to 5 </w:t>
            </w:r>
            <w:proofErr w:type="spellStart"/>
            <w:r w:rsidRPr="003A0BE2">
              <w:rPr>
                <w:rFonts w:ascii="Times New Roman" w:hAnsi="Times New Roman" w:cs="Times New Roman"/>
                <w:sz w:val="20"/>
                <w:szCs w:val="20"/>
              </w:rPr>
              <w:t>mEq</w:t>
            </w:r>
            <w:proofErr w:type="spellEnd"/>
            <w:r w:rsidRPr="003A0BE2">
              <w:rPr>
                <w:rFonts w:ascii="Times New Roman" w:hAnsi="Times New Roman" w:cs="Times New Roman"/>
                <w:sz w:val="20"/>
                <w:szCs w:val="20"/>
              </w:rPr>
              <w:t>/kg/dose IV for a single dose</w:t>
            </w:r>
          </w:p>
          <w:p w14:paraId="7E8BC2BD" w14:textId="77777777" w:rsidR="00322C6D" w:rsidRPr="003A0BE2" w:rsidRDefault="00322C6D" w:rsidP="00322C6D">
            <w:pPr>
              <w:numPr>
                <w:ilvl w:val="1"/>
                <w:numId w:val="8"/>
              </w:numPr>
              <w:tabs>
                <w:tab w:val="num" w:pos="144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0BE2">
              <w:rPr>
                <w:rFonts w:ascii="Times New Roman" w:hAnsi="Times New Roman" w:cs="Times New Roman"/>
                <w:sz w:val="20"/>
                <w:szCs w:val="20"/>
              </w:rPr>
              <w:t>Subsequent dosing is based on patient response and acid-base status</w:t>
            </w:r>
          </w:p>
        </w:tc>
      </w:tr>
      <w:tr w:rsidR="00322C6D" w:rsidRPr="00B6562F" w14:paraId="28FF574A" w14:textId="77777777" w:rsidTr="00C7271C">
        <w:trPr>
          <w:trHeight w:val="1528"/>
          <w:jc w:val="center"/>
        </w:trPr>
        <w:tc>
          <w:tcPr>
            <w:tcW w:w="2020" w:type="dxa"/>
            <w:tcBorders>
              <w:top w:val="single" w:sz="6" w:space="0" w:color="333333"/>
              <w:left w:val="single" w:sz="6" w:space="0" w:color="333333"/>
              <w:bottom w:val="single" w:sz="4" w:space="0" w:color="auto"/>
              <w:right w:val="single" w:sz="6" w:space="0" w:color="33333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3521E3" w14:textId="77777777" w:rsidR="00322C6D" w:rsidRPr="003A0BE2" w:rsidRDefault="00322C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fi-FI"/>
              </w:rPr>
            </w:pPr>
            <w:r w:rsidRPr="003A0BE2">
              <w:rPr>
                <w:rFonts w:ascii="Times New Roman" w:hAnsi="Times New Roman" w:cs="Times New Roman"/>
                <w:b/>
                <w:sz w:val="20"/>
                <w:szCs w:val="20"/>
                <w:lang w:val="fi-FI"/>
              </w:rPr>
              <w:t>Severe Hyperkalemia </w:t>
            </w:r>
            <w:r w:rsidRPr="003A0BE2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>​</w:t>
            </w:r>
          </w:p>
          <w:p w14:paraId="6561FC7F" w14:textId="77777777" w:rsidR="00322C6D" w:rsidRPr="003A0BE2" w:rsidRDefault="00322C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fi-FI"/>
              </w:rPr>
            </w:pPr>
            <w:r w:rsidRPr="003A0BE2">
              <w:rPr>
                <w:rFonts w:ascii="Times New Roman" w:hAnsi="Times New Roman" w:cs="Times New Roman"/>
                <w:b/>
                <w:sz w:val="20"/>
                <w:szCs w:val="20"/>
                <w:lang w:val="fi-FI"/>
              </w:rPr>
              <w:t xml:space="preserve">(K+ </w:t>
            </w:r>
            <w:r w:rsidRPr="003A0BE2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fi-FI"/>
              </w:rPr>
              <w:t>&gt;</w:t>
            </w:r>
            <w:r w:rsidRPr="003A0BE2">
              <w:rPr>
                <w:rFonts w:ascii="Times New Roman" w:hAnsi="Times New Roman" w:cs="Times New Roman"/>
                <w:b/>
                <w:sz w:val="20"/>
                <w:szCs w:val="20"/>
                <w:lang w:val="fi-FI"/>
              </w:rPr>
              <w:t>6 mmol/L)</w:t>
            </w:r>
            <w:r w:rsidRPr="003A0BE2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>​</w:t>
            </w:r>
          </w:p>
        </w:tc>
        <w:tc>
          <w:tcPr>
            <w:tcW w:w="7920" w:type="dxa"/>
            <w:tcBorders>
              <w:top w:val="single" w:sz="6" w:space="0" w:color="333333"/>
              <w:left w:val="single" w:sz="6" w:space="0" w:color="333333"/>
              <w:bottom w:val="single" w:sz="4" w:space="0" w:color="auto"/>
              <w:right w:val="single" w:sz="6" w:space="0" w:color="333333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2077B7" w14:textId="77777777" w:rsidR="00322C6D" w:rsidRPr="003A0BE2" w:rsidRDefault="00322C6D" w:rsidP="00322C6D">
            <w:pPr>
              <w:numPr>
                <w:ilvl w:val="0"/>
                <w:numId w:val="7"/>
              </w:numPr>
              <w:tabs>
                <w:tab w:val="num" w:pos="7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0BE2">
              <w:rPr>
                <w:rFonts w:ascii="Times New Roman" w:hAnsi="Times New Roman" w:cs="Times New Roman"/>
                <w:sz w:val="20"/>
                <w:szCs w:val="20"/>
              </w:rPr>
              <w:t>Dose adjustments are based on serum HCO</w:t>
            </w:r>
            <w:r w:rsidRPr="003A0BE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3A0BE2">
              <w:rPr>
                <w:rFonts w:ascii="Times New Roman" w:hAnsi="Times New Roman" w:cs="Times New Roman"/>
                <w:sz w:val="20"/>
                <w:szCs w:val="20"/>
              </w:rPr>
              <w:t xml:space="preserve"> levels</w:t>
            </w:r>
          </w:p>
          <w:p w14:paraId="279D90AE" w14:textId="77777777" w:rsidR="00322C6D" w:rsidRPr="003A0BE2" w:rsidRDefault="00322C6D" w:rsidP="00322C6D">
            <w:pPr>
              <w:numPr>
                <w:ilvl w:val="0"/>
                <w:numId w:val="7"/>
              </w:numPr>
              <w:tabs>
                <w:tab w:val="num" w:pos="7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0BE2">
              <w:rPr>
                <w:rFonts w:ascii="Times New Roman" w:hAnsi="Times New Roman" w:cs="Times New Roman"/>
                <w:sz w:val="20"/>
                <w:szCs w:val="20"/>
              </w:rPr>
              <w:t xml:space="preserve">The dose needed is empirical and unpredictable </w:t>
            </w:r>
          </w:p>
          <w:p w14:paraId="62C43DF3" w14:textId="77777777" w:rsidR="00322C6D" w:rsidRPr="003A0BE2" w:rsidRDefault="00322C6D" w:rsidP="00322C6D">
            <w:pPr>
              <w:numPr>
                <w:ilvl w:val="0"/>
                <w:numId w:val="7"/>
              </w:numPr>
              <w:tabs>
                <w:tab w:val="num" w:pos="7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0BE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Initiation</w:t>
            </w:r>
            <w:r w:rsidRPr="003A0BE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3A0BE2">
              <w:rPr>
                <w:rFonts w:ascii="Times New Roman" w:hAnsi="Times New Roman" w:cs="Times New Roman"/>
                <w:sz w:val="20"/>
                <w:szCs w:val="20"/>
              </w:rPr>
              <w:t xml:space="preserve"> 150 </w:t>
            </w:r>
            <w:proofErr w:type="spellStart"/>
            <w:r w:rsidRPr="003A0BE2">
              <w:rPr>
                <w:rFonts w:ascii="Times New Roman" w:hAnsi="Times New Roman" w:cs="Times New Roman"/>
                <w:sz w:val="20"/>
                <w:szCs w:val="20"/>
              </w:rPr>
              <w:t>mEq</w:t>
            </w:r>
            <w:proofErr w:type="spellEnd"/>
            <w:r w:rsidRPr="003A0BE2">
              <w:rPr>
                <w:rFonts w:ascii="Times New Roman" w:hAnsi="Times New Roman" w:cs="Times New Roman"/>
                <w:sz w:val="20"/>
                <w:szCs w:val="20"/>
              </w:rPr>
              <w:t xml:space="preserve"> of NaHCO</w:t>
            </w:r>
            <w:r w:rsidRPr="003A0BE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3A0BE2">
              <w:rPr>
                <w:rFonts w:ascii="Times New Roman" w:hAnsi="Times New Roman" w:cs="Times New Roman"/>
                <w:sz w:val="20"/>
                <w:szCs w:val="20"/>
              </w:rPr>
              <w:t xml:space="preserve"> can be given in 1 L of 5% dextrose over 4 hours </w:t>
            </w:r>
          </w:p>
          <w:p w14:paraId="1D896BD8" w14:textId="3CEFCA0B" w:rsidR="00322C6D" w:rsidRPr="003A0BE2" w:rsidRDefault="00322C6D" w:rsidP="00322C6D">
            <w:pPr>
              <w:numPr>
                <w:ilvl w:val="1"/>
                <w:numId w:val="7"/>
              </w:numPr>
              <w:tabs>
                <w:tab w:val="num" w:pos="144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0BE2">
              <w:rPr>
                <w:rFonts w:ascii="Times New Roman" w:hAnsi="Times New Roman" w:cs="Times New Roman"/>
                <w:sz w:val="20"/>
                <w:szCs w:val="20"/>
              </w:rPr>
              <w:t>More can be provided if acidosis is not corrected with this regimen</w:t>
            </w:r>
          </w:p>
          <w:p w14:paraId="3BFB0BC5" w14:textId="77777777" w:rsidR="00322C6D" w:rsidRPr="003A0BE2" w:rsidRDefault="00322C6D">
            <w:pPr>
              <w:tabs>
                <w:tab w:val="num" w:pos="144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0BE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If K+ must be reduced emergently</w:t>
            </w:r>
            <w:r w:rsidRPr="003A0BE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3A0BE2">
              <w:rPr>
                <w:rFonts w:ascii="Times New Roman" w:hAnsi="Times New Roman" w:cs="Times New Roman"/>
                <w:sz w:val="20"/>
                <w:szCs w:val="20"/>
              </w:rPr>
              <w:t xml:space="preserve">50 </w:t>
            </w:r>
            <w:proofErr w:type="spellStart"/>
            <w:r w:rsidRPr="003A0BE2">
              <w:rPr>
                <w:rFonts w:ascii="Times New Roman" w:hAnsi="Times New Roman" w:cs="Times New Roman"/>
                <w:sz w:val="20"/>
                <w:szCs w:val="20"/>
              </w:rPr>
              <w:t>mEq</w:t>
            </w:r>
            <w:proofErr w:type="spellEnd"/>
            <w:r w:rsidRPr="003A0BE2">
              <w:rPr>
                <w:rFonts w:ascii="Times New Roman" w:hAnsi="Times New Roman" w:cs="Times New Roman"/>
                <w:sz w:val="20"/>
                <w:szCs w:val="20"/>
              </w:rPr>
              <w:t xml:space="preserve"> of NaHCO</w:t>
            </w:r>
            <w:r w:rsidRPr="003A0BE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3A0BE2">
              <w:rPr>
                <w:rFonts w:ascii="Times New Roman" w:hAnsi="Times New Roman" w:cs="Times New Roman"/>
                <w:sz w:val="20"/>
                <w:szCs w:val="20"/>
              </w:rPr>
              <w:t xml:space="preserve"> IV can be given over 5 minutes</w:t>
            </w:r>
          </w:p>
        </w:tc>
      </w:tr>
      <w:tr w:rsidR="00FB7702" w:rsidRPr="00B6562F" w14:paraId="4C4D0A63" w14:textId="77777777" w:rsidTr="00AB4DE9">
        <w:trPr>
          <w:trHeight w:val="278"/>
          <w:jc w:val="center"/>
        </w:trPr>
        <w:tc>
          <w:tcPr>
            <w:tcW w:w="994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F00C08" w14:textId="29B7890F" w:rsidR="00AB4DE9" w:rsidRPr="00110A5B" w:rsidRDefault="00AB4DE9" w:rsidP="00AB4DE9">
            <w:pPr>
              <w:contextualSpacing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 w:rsidRPr="00AB4DE9">
              <w:rPr>
                <w:rFonts w:ascii="Times New Roman" w:hAnsi="Times New Roman" w:cs="Times New Roman"/>
                <w:i/>
                <w:iCs/>
                <w:kern w:val="24"/>
                <w:sz w:val="20"/>
                <w:szCs w:val="20"/>
                <w:lang w:eastAsia="en-US"/>
              </w:rPr>
              <w:t>IV,</w:t>
            </w: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 xml:space="preserve"> intravenous</w:t>
            </w:r>
          </w:p>
          <w:p w14:paraId="6C0A5111" w14:textId="77777777" w:rsidR="00AB4DE9" w:rsidRDefault="00AB4DE9" w:rsidP="00AB4DE9">
            <w:pPr>
              <w:spacing w:after="0" w:line="240" w:lineRule="auto"/>
              <w:contextualSpacing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 w:rsidRPr="00D85979">
              <w:rPr>
                <w:rFonts w:ascii="Times New Roman" w:hAnsi="Times New Roman" w:cs="Times New Roman"/>
                <w:i/>
                <w:iCs/>
                <w:kern w:val="24"/>
                <w:sz w:val="20"/>
                <w:szCs w:val="20"/>
                <w:lang w:eastAsia="en-US"/>
              </w:rPr>
              <w:t>K+,</w:t>
            </w: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 xml:space="preserve"> potassium</w:t>
            </w:r>
          </w:p>
          <w:p w14:paraId="46F551B9" w14:textId="62D4E1EC" w:rsidR="00FB7702" w:rsidRPr="003A0BE2" w:rsidRDefault="00AB4DE9" w:rsidP="00AB4DE9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5979">
              <w:rPr>
                <w:rFonts w:ascii="Times New Roman" w:hAnsi="Times New Roman" w:cs="Times New Roman"/>
                <w:i/>
                <w:iCs/>
                <w:kern w:val="24"/>
                <w:sz w:val="20"/>
                <w:szCs w:val="20"/>
                <w:lang w:eastAsia="en-US"/>
              </w:rPr>
              <w:t>PO,</w:t>
            </w: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 xml:space="preserve"> per </w:t>
            </w:r>
            <w:proofErr w:type="spellStart"/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os</w:t>
            </w:r>
            <w:proofErr w:type="spellEnd"/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 xml:space="preserve"> (orally)</w:t>
            </w:r>
          </w:p>
        </w:tc>
      </w:tr>
    </w:tbl>
    <w:p w14:paraId="0359AC53" w14:textId="77777777" w:rsidR="00896E32" w:rsidRPr="00896E32" w:rsidRDefault="00896E32" w:rsidP="00896E32"/>
    <w:p w14:paraId="7EF8232C" w14:textId="73A2F4FB" w:rsidR="001747A3" w:rsidRDefault="001747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sdt>
      <w:sdtPr>
        <w:rPr>
          <w:rFonts w:asciiTheme="minorHAnsi" w:eastAsiaTheme="minorEastAsia" w:hAnsiTheme="minorHAnsi" w:cstheme="minorBidi"/>
          <w:color w:val="auto"/>
          <w:sz w:val="24"/>
          <w:szCs w:val="24"/>
          <w:lang w:eastAsia="ja-JP"/>
        </w:rPr>
        <w:id w:val="902489482"/>
        <w:docPartObj>
          <w:docPartGallery w:val="Bibliographies"/>
          <w:docPartUnique/>
        </w:docPartObj>
      </w:sdtPr>
      <w:sdtContent>
        <w:p w14:paraId="5483C006" w14:textId="728DBC5B" w:rsidR="001A21C8" w:rsidRPr="00E6038C" w:rsidRDefault="003A1C9D">
          <w:pPr>
            <w:pStyle w:val="Heading1"/>
            <w:rPr>
              <w:rFonts w:ascii="Times New Roman" w:hAnsi="Times New Roman" w:cs="Times New Roman"/>
              <w:b/>
              <w:bCs/>
              <w:color w:val="000000" w:themeColor="text1"/>
              <w:sz w:val="24"/>
              <w:szCs w:val="24"/>
            </w:rPr>
          </w:pPr>
          <w:r w:rsidRPr="00E6038C">
            <w:rPr>
              <w:rFonts w:ascii="Times New Roman" w:hAnsi="Times New Roman" w:cs="Times New Roman"/>
              <w:b/>
              <w:bCs/>
              <w:color w:val="000000" w:themeColor="text1"/>
              <w:sz w:val="24"/>
              <w:szCs w:val="24"/>
            </w:rPr>
            <w:t>References</w:t>
          </w:r>
        </w:p>
        <w:bookmarkStart w:id="0" w:name="_Ref231553464" w:displacedByCustomXml="next"/>
        <w:sdt>
          <w:sdtPr>
            <w:rPr>
              <w:rFonts w:ascii="Times New Roman" w:hAnsi="Times New Roman" w:cs="Times New Roman"/>
              <w:color w:val="000000" w:themeColor="text1"/>
            </w:rPr>
            <w:id w:val="111145805"/>
            <w:bibliography/>
          </w:sdtPr>
          <w:sdtContent>
            <w:p w14:paraId="0DD4AA74" w14:textId="690D625E" w:rsidR="004540DA" w:rsidRPr="00E6038C" w:rsidRDefault="004540DA" w:rsidP="004540DA">
              <w:pPr>
                <w:pStyle w:val="ListParagraph"/>
                <w:numPr>
                  <w:ilvl w:val="0"/>
                  <w:numId w:val="9"/>
                </w:numPr>
                <w:rPr>
                  <w:rFonts w:ascii="Times New Roman" w:hAnsi="Times New Roman" w:cs="Times New Roman"/>
                  <w:color w:val="000000" w:themeColor="text1"/>
                </w:rPr>
              </w:pPr>
              <w:r w:rsidRPr="0030055E">
                <w:rPr>
                  <w:rFonts w:ascii="Times New Roman" w:hAnsi="Times New Roman" w:cs="Times New Roman"/>
                  <w:color w:val="000000" w:themeColor="text1"/>
                  <w:lang w:val="de-DE"/>
                </w:rPr>
                <w:t xml:space="preserve">Kreitzer N, Albert NM, Amin AN, et al. </w:t>
              </w:r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 xml:space="preserve">EMCREG-International Multidisciplinary Consensus Panel on Management of Hyperkalemia in Chronic Kidney Disease and Heart Failure. </w:t>
              </w:r>
              <w:r w:rsidRPr="00E6038C">
                <w:rPr>
                  <w:rFonts w:ascii="Times New Roman" w:hAnsi="Times New Roman" w:cs="Times New Roman"/>
                  <w:i/>
                  <w:iCs/>
                  <w:color w:val="000000" w:themeColor="text1"/>
                </w:rPr>
                <w:t>Cardiorenal Med.</w:t>
              </w:r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 xml:space="preserve"> 2025;15(1):133-152. </w:t>
              </w:r>
              <w:proofErr w:type="spellStart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>doi</w:t>
              </w:r>
              <w:proofErr w:type="spellEnd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>: 10.1159/000543385</w:t>
              </w:r>
              <w:bookmarkEnd w:id="0"/>
            </w:p>
            <w:p w14:paraId="2585F768" w14:textId="4F8E15CC" w:rsidR="001411A3" w:rsidRPr="00E6038C" w:rsidRDefault="001411A3" w:rsidP="001411A3">
              <w:pPr>
                <w:pStyle w:val="ListParagraph"/>
                <w:numPr>
                  <w:ilvl w:val="0"/>
                  <w:numId w:val="9"/>
                </w:numPr>
                <w:rPr>
                  <w:rFonts w:ascii="Times New Roman" w:hAnsi="Times New Roman" w:cs="Times New Roman"/>
                  <w:color w:val="000000" w:themeColor="text1"/>
                </w:rPr>
              </w:pPr>
              <w:bookmarkStart w:id="1" w:name="_Ref231553469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 xml:space="preserve">Collins AJ, Pitt B, Reaven N, et al. Association of serum potassium with all-cause mortality in patients with and without heart failure, chronic kidney disease, and/or diabetes. </w:t>
              </w:r>
              <w:r w:rsidRPr="00E6038C">
                <w:rPr>
                  <w:rFonts w:ascii="Times New Roman" w:hAnsi="Times New Roman" w:cs="Times New Roman"/>
                  <w:i/>
                  <w:iCs/>
                  <w:color w:val="000000" w:themeColor="text1"/>
                </w:rPr>
                <w:t>Am J Nephrol.</w:t>
              </w:r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 xml:space="preserve"> 2017;46(3):213-221. </w:t>
              </w:r>
              <w:proofErr w:type="spellStart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>doi</w:t>
              </w:r>
              <w:proofErr w:type="spellEnd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>: 10.1159/000479802</w:t>
              </w:r>
              <w:bookmarkEnd w:id="1"/>
            </w:p>
            <w:p w14:paraId="63C318AF" w14:textId="6D77791D" w:rsidR="00425418" w:rsidRPr="00E6038C" w:rsidRDefault="00425418" w:rsidP="00425418">
              <w:pPr>
                <w:pStyle w:val="ListParagraph"/>
                <w:numPr>
                  <w:ilvl w:val="0"/>
                  <w:numId w:val="9"/>
                </w:numPr>
                <w:rPr>
                  <w:rFonts w:ascii="Times New Roman" w:hAnsi="Times New Roman" w:cs="Times New Roman"/>
                  <w:color w:val="000000" w:themeColor="text1"/>
                </w:rPr>
              </w:pPr>
              <w:bookmarkStart w:id="2" w:name="_Ref231553474"/>
              <w:proofErr w:type="spellStart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>Boima</w:t>
              </w:r>
              <w:proofErr w:type="spellEnd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 xml:space="preserve"> V. Approach to the patient with </w:t>
              </w:r>
              <w:proofErr w:type="spellStart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>hyperkalaemia</w:t>
              </w:r>
              <w:proofErr w:type="spellEnd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>. Presented at: Cameroon Society of Nephrology Conference. April 3-5, 2025; Yaoundé, Cameroon. Accessed June 1, 2026. https://kdigo.org/wp-content/uploads/2025/04/Approach-to-management-of-hyperalaemia-Cameroon-Society-of-Nephrology.pdf</w:t>
              </w:r>
              <w:bookmarkEnd w:id="2"/>
            </w:p>
            <w:p w14:paraId="41C54178" w14:textId="5794FCAD" w:rsidR="008E7273" w:rsidRPr="00E6038C" w:rsidRDefault="008E7273" w:rsidP="008E7273">
              <w:pPr>
                <w:pStyle w:val="ListParagraph"/>
                <w:numPr>
                  <w:ilvl w:val="0"/>
                  <w:numId w:val="9"/>
                </w:numPr>
                <w:rPr>
                  <w:rFonts w:ascii="Times New Roman" w:hAnsi="Times New Roman" w:cs="Times New Roman"/>
                  <w:color w:val="000000" w:themeColor="text1"/>
                </w:rPr>
              </w:pPr>
              <w:bookmarkStart w:id="3" w:name="_Ref231553479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 xml:space="preserve">International Society of Nephrology. Hyperkalemia management: distinguishing acute, chronic, and pseudo-hyperkalemia [infographic]. n.d. International Society of Nephrology </w:t>
              </w:r>
              <w:proofErr w:type="spellStart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>RAASi</w:t>
              </w:r>
              <w:proofErr w:type="spellEnd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 xml:space="preserve"> Toolkit. https://www.theisn.org/initiatives/toolkits/raasi-toolkit/</w:t>
              </w:r>
              <w:bookmarkEnd w:id="3"/>
            </w:p>
            <w:p w14:paraId="62A1A567" w14:textId="750D5A3D" w:rsidR="00677EFA" w:rsidRPr="00E6038C" w:rsidRDefault="00677EFA" w:rsidP="00677EFA">
              <w:pPr>
                <w:pStyle w:val="ListParagraph"/>
                <w:numPr>
                  <w:ilvl w:val="0"/>
                  <w:numId w:val="9"/>
                </w:numPr>
                <w:rPr>
                  <w:rFonts w:ascii="Times New Roman" w:hAnsi="Times New Roman" w:cs="Times New Roman"/>
                  <w:color w:val="000000" w:themeColor="text1"/>
                </w:rPr>
              </w:pPr>
              <w:bookmarkStart w:id="4" w:name="_Ref231553483"/>
              <w:r w:rsidRPr="00E6038C">
                <w:rPr>
                  <w:rFonts w:ascii="Times New Roman" w:hAnsi="Times New Roman" w:cs="Times New Roman"/>
                  <w:color w:val="000000" w:themeColor="text1"/>
                  <w:lang w:val="fi-FI"/>
                </w:rPr>
                <w:t xml:space="preserve">Boo AYY, Koh YLE, Hu PL, Tan NC. </w:t>
              </w:r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 xml:space="preserve">Prevalence and factors associated with false </w:t>
              </w:r>
              <w:proofErr w:type="spellStart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>hyperkalaemia</w:t>
              </w:r>
              <w:proofErr w:type="spellEnd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 xml:space="preserve"> in Asians in primary care: a cross-sectional study (the </w:t>
              </w:r>
              <w:proofErr w:type="spellStart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>Unlysed</w:t>
              </w:r>
              <w:proofErr w:type="spellEnd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 xml:space="preserve"> </w:t>
              </w:r>
              <w:proofErr w:type="spellStart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>Hyperkalaemia</w:t>
              </w:r>
              <w:proofErr w:type="spellEnd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 xml:space="preserve"> - the Unseen Burden (UHUB) study). </w:t>
              </w:r>
              <w:r w:rsidRPr="00E6038C">
                <w:rPr>
                  <w:rFonts w:ascii="Times New Roman" w:hAnsi="Times New Roman" w:cs="Times New Roman"/>
                  <w:i/>
                  <w:iCs/>
                  <w:color w:val="000000" w:themeColor="text1"/>
                </w:rPr>
                <w:t>BMJ Open.</w:t>
              </w:r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 xml:space="preserve"> 2020;10(9</w:t>
              </w:r>
              <w:proofErr w:type="gramStart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>):e</w:t>
              </w:r>
              <w:proofErr w:type="gramEnd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 xml:space="preserve">033755. </w:t>
              </w:r>
              <w:proofErr w:type="spellStart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>doi</w:t>
              </w:r>
              <w:proofErr w:type="spellEnd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>: 10.1136/bmjopen-2019-033755</w:t>
              </w:r>
              <w:bookmarkEnd w:id="4"/>
            </w:p>
            <w:p w14:paraId="0F8BCB67" w14:textId="53F43C20" w:rsidR="00FA19F0" w:rsidRPr="00E6038C" w:rsidRDefault="00FA19F0" w:rsidP="00FA19F0">
              <w:pPr>
                <w:pStyle w:val="ListParagraph"/>
                <w:numPr>
                  <w:ilvl w:val="0"/>
                  <w:numId w:val="9"/>
                </w:numPr>
                <w:rPr>
                  <w:rFonts w:ascii="Times New Roman" w:hAnsi="Times New Roman" w:cs="Times New Roman"/>
                  <w:color w:val="000000" w:themeColor="text1"/>
                </w:rPr>
              </w:pPr>
              <w:bookmarkStart w:id="5" w:name="_Ref231553490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 xml:space="preserve">Clase CM, Carrero JJ, Ellison DH, et al. Potassium homeostasis and management of </w:t>
              </w:r>
              <w:proofErr w:type="spellStart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>dyskalemia</w:t>
              </w:r>
              <w:proofErr w:type="spellEnd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 xml:space="preserve"> in kidney diseases: conclusions from a </w:t>
              </w:r>
              <w:proofErr w:type="gramStart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>Kidney Disease</w:t>
              </w:r>
              <w:proofErr w:type="gramEnd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 xml:space="preserve">: Improving Global Outcomes (KDIGO) Controversies Conference. </w:t>
              </w:r>
              <w:r w:rsidRPr="00E6038C">
                <w:rPr>
                  <w:rFonts w:ascii="Times New Roman" w:hAnsi="Times New Roman" w:cs="Times New Roman"/>
                  <w:i/>
                  <w:iCs/>
                  <w:color w:val="000000" w:themeColor="text1"/>
                </w:rPr>
                <w:t>Kidney Int.</w:t>
              </w:r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 xml:space="preserve"> 2020;97(1):42-61. </w:t>
              </w:r>
              <w:proofErr w:type="spellStart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>doi</w:t>
              </w:r>
              <w:proofErr w:type="spellEnd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>: 10.1016/j.kint.2019.09.018</w:t>
              </w:r>
              <w:bookmarkEnd w:id="5"/>
            </w:p>
            <w:p w14:paraId="3AB68417" w14:textId="226B455E" w:rsidR="00BA0187" w:rsidRPr="00E6038C" w:rsidRDefault="00BA0187" w:rsidP="00BA0187">
              <w:pPr>
                <w:pStyle w:val="ListParagraph"/>
                <w:numPr>
                  <w:ilvl w:val="0"/>
                  <w:numId w:val="9"/>
                </w:numPr>
                <w:rPr>
                  <w:rFonts w:ascii="Times New Roman" w:hAnsi="Times New Roman" w:cs="Times New Roman"/>
                  <w:color w:val="000000" w:themeColor="text1"/>
                </w:rPr>
              </w:pPr>
              <w:bookmarkStart w:id="6" w:name="_Ref231553760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>Bumex. Prescribing information. Validus Pharmaceuticals; 2024. Accessed June 1, 2026. https://www.accessdata.fda.gov/drugsatfda_docs/label/2024/018225Orig1s029lbl.pdf</w:t>
              </w:r>
              <w:bookmarkEnd w:id="6"/>
            </w:p>
            <w:p w14:paraId="6D529597" w14:textId="4695E11F" w:rsidR="008D08C7" w:rsidRPr="00E6038C" w:rsidRDefault="008D08C7" w:rsidP="008D08C7">
              <w:pPr>
                <w:pStyle w:val="ListParagraph"/>
                <w:numPr>
                  <w:ilvl w:val="0"/>
                  <w:numId w:val="9"/>
                </w:numPr>
                <w:rPr>
                  <w:rFonts w:ascii="Times New Roman" w:hAnsi="Times New Roman" w:cs="Times New Roman"/>
                  <w:color w:val="000000" w:themeColor="text1"/>
                </w:rPr>
              </w:pPr>
              <w:bookmarkStart w:id="7" w:name="_Ref231553764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>Lasix. Prescribing information. Sanofi-Aventis; 2010. Accessed June 1, 2026. https://www.accessdata.fda.gov/drugsatfda_docs/label/2010/016273s061lbl.pdf</w:t>
              </w:r>
              <w:bookmarkEnd w:id="7"/>
            </w:p>
            <w:p w14:paraId="7A8484F3" w14:textId="27147874" w:rsidR="004C1C13" w:rsidRPr="00E6038C" w:rsidRDefault="004C1C13" w:rsidP="004C1C13">
              <w:pPr>
                <w:pStyle w:val="ListParagraph"/>
                <w:numPr>
                  <w:ilvl w:val="0"/>
                  <w:numId w:val="9"/>
                </w:numPr>
                <w:rPr>
                  <w:rFonts w:ascii="Times New Roman" w:hAnsi="Times New Roman" w:cs="Times New Roman"/>
                  <w:color w:val="000000" w:themeColor="text1"/>
                </w:rPr>
              </w:pPr>
              <w:bookmarkStart w:id="8" w:name="_Ref231553765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>Demadex. Prescribing information. Meda Pharmaceuticals Inc; 2010. Accessed June 1, 2026. https://www.accessdata.fda.gov/drugsatfda_docs/label/2010/020136s023lbl.pdf</w:t>
              </w:r>
              <w:bookmarkEnd w:id="8"/>
            </w:p>
            <w:p w14:paraId="2318DCA8" w14:textId="56D65E3C" w:rsidR="004B15FA" w:rsidRPr="00E6038C" w:rsidRDefault="004B15FA" w:rsidP="004B15FA">
              <w:pPr>
                <w:pStyle w:val="ListParagraph"/>
                <w:numPr>
                  <w:ilvl w:val="0"/>
                  <w:numId w:val="9"/>
                </w:numPr>
                <w:rPr>
                  <w:rFonts w:ascii="Times New Roman" w:hAnsi="Times New Roman" w:cs="Times New Roman"/>
                  <w:color w:val="000000" w:themeColor="text1"/>
                </w:rPr>
              </w:pPr>
              <w:bookmarkStart w:id="9" w:name="_Ref231553766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>National Kidney Foundation. NKF KDOQI Guidelines. KDOQI Clinical Practice Guidelines on Hypertension and Antihypertensive Agents in Chronic Kidney Disease. 2004. Accessed June 1, 2026. https://kidneyfoundation.cachefly.net/professionals/KDOQI/guidelines_bp/guide_12.htm#table149</w:t>
              </w:r>
              <w:bookmarkEnd w:id="9"/>
            </w:p>
            <w:p w14:paraId="56861B47" w14:textId="0369064A" w:rsidR="006C2844" w:rsidRPr="00E6038C" w:rsidRDefault="006C2844" w:rsidP="006C2844">
              <w:pPr>
                <w:pStyle w:val="ListParagraph"/>
                <w:numPr>
                  <w:ilvl w:val="0"/>
                  <w:numId w:val="9"/>
                </w:numPr>
                <w:rPr>
                  <w:rFonts w:ascii="Times New Roman" w:hAnsi="Times New Roman" w:cs="Times New Roman"/>
                  <w:color w:val="000000" w:themeColor="text1"/>
                </w:rPr>
              </w:pPr>
              <w:bookmarkStart w:id="10" w:name="_Ref231553866"/>
              <w:proofErr w:type="spellStart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>Senewiratne</w:t>
              </w:r>
              <w:proofErr w:type="spellEnd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 xml:space="preserve"> NL, Woodall A, Can AS. Sodium Bicarbonate. In: </w:t>
              </w:r>
              <w:proofErr w:type="spellStart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>StatPearls</w:t>
              </w:r>
              <w:proofErr w:type="spellEnd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 xml:space="preserve"> [Internet]. Treasure Island (FL): </w:t>
              </w:r>
              <w:proofErr w:type="spellStart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>StatPearls</w:t>
              </w:r>
              <w:proofErr w:type="spellEnd"/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t xml:space="preserve"> Publishing. Updated February 12, 2024. Accessed June 1, 2026. </w:t>
              </w:r>
              <w:hyperlink r:id="rId12" w:history="1">
                <w:r w:rsidR="000B6B30" w:rsidRPr="00E6038C">
                  <w:rPr>
                    <w:rStyle w:val="Hyperlink"/>
                    <w:rFonts w:ascii="Times New Roman" w:hAnsi="Times New Roman" w:cs="Times New Roman"/>
                    <w:color w:val="000000" w:themeColor="text1"/>
                  </w:rPr>
                  <w:t>https://www.ncbi.nlm.nih.gov/books/NBK559139/</w:t>
                </w:r>
              </w:hyperlink>
              <w:bookmarkEnd w:id="10"/>
            </w:p>
            <w:p w14:paraId="42EF5CB0" w14:textId="369D3656" w:rsidR="001A21C8" w:rsidRPr="00F559AD" w:rsidRDefault="001A21C8" w:rsidP="00F559AD">
              <w:pPr>
                <w:pStyle w:val="ListParagraph"/>
              </w:pPr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fldChar w:fldCharType="begin"/>
              </w:r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instrText xml:space="preserve"> BIBLIOGRAPHY </w:instrText>
              </w:r>
              <w:r w:rsidRPr="00E6038C">
                <w:rPr>
                  <w:rFonts w:ascii="Times New Roman" w:hAnsi="Times New Roman" w:cs="Times New Roman"/>
                  <w:color w:val="000000" w:themeColor="text1"/>
                </w:rPr>
                <w:fldChar w:fldCharType="separate"/>
              </w:r>
              <w:r w:rsidRPr="00E6038C">
                <w:rPr>
                  <w:rFonts w:ascii="Times New Roman" w:hAnsi="Times New Roman" w:cs="Times New Roman"/>
                  <w:b/>
                  <w:bCs/>
                  <w:noProof/>
                  <w:color w:val="000000" w:themeColor="text1"/>
                </w:rPr>
                <w:fldChar w:fldCharType="end"/>
              </w:r>
            </w:p>
          </w:sdtContent>
        </w:sdt>
      </w:sdtContent>
    </w:sdt>
    <w:sectPr w:rsidR="001A21C8" w:rsidRPr="00F559AD" w:rsidSect="003C6FF9">
      <w:footerReference w:type="default" r:id="rId13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90D98" w14:textId="77777777" w:rsidR="008F3129" w:rsidRDefault="008F3129" w:rsidP="003C6FF9">
      <w:pPr>
        <w:spacing w:after="0" w:line="240" w:lineRule="auto"/>
      </w:pPr>
      <w:r>
        <w:separator/>
      </w:r>
    </w:p>
  </w:endnote>
  <w:endnote w:type="continuationSeparator" w:id="0">
    <w:p w14:paraId="1237D499" w14:textId="77777777" w:rsidR="008F3129" w:rsidRDefault="008F3129" w:rsidP="003C6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10942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93F6C2B" w14:textId="77F7C130" w:rsidR="003C6FF9" w:rsidRPr="004128DB" w:rsidRDefault="003C6FF9">
        <w:pPr>
          <w:pStyle w:val="Footer"/>
          <w:jc w:val="right"/>
          <w:rPr>
            <w:rFonts w:ascii="Times New Roman" w:hAnsi="Times New Roman" w:cs="Times New Roman"/>
          </w:rPr>
        </w:pPr>
        <w:r w:rsidRPr="004128DB">
          <w:rPr>
            <w:rFonts w:ascii="Times New Roman" w:hAnsi="Times New Roman" w:cs="Times New Roman"/>
          </w:rPr>
          <w:fldChar w:fldCharType="begin"/>
        </w:r>
        <w:r w:rsidRPr="004128DB">
          <w:rPr>
            <w:rFonts w:ascii="Times New Roman" w:hAnsi="Times New Roman" w:cs="Times New Roman"/>
          </w:rPr>
          <w:instrText xml:space="preserve"> PAGE   \* MERGEFORMAT </w:instrText>
        </w:r>
        <w:r w:rsidRPr="004128DB">
          <w:rPr>
            <w:rFonts w:ascii="Times New Roman" w:hAnsi="Times New Roman" w:cs="Times New Roman"/>
          </w:rPr>
          <w:fldChar w:fldCharType="separate"/>
        </w:r>
        <w:r w:rsidRPr="004128DB">
          <w:rPr>
            <w:rFonts w:ascii="Times New Roman" w:hAnsi="Times New Roman" w:cs="Times New Roman"/>
            <w:noProof/>
          </w:rPr>
          <w:t>2</w:t>
        </w:r>
        <w:r w:rsidRPr="004128DB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794B830" w14:textId="77777777" w:rsidR="003C6FF9" w:rsidRDefault="003C6F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C9CC4" w14:textId="77777777" w:rsidR="008F3129" w:rsidRDefault="008F3129" w:rsidP="003C6FF9">
      <w:pPr>
        <w:spacing w:after="0" w:line="240" w:lineRule="auto"/>
      </w:pPr>
      <w:r>
        <w:separator/>
      </w:r>
    </w:p>
  </w:footnote>
  <w:footnote w:type="continuationSeparator" w:id="0">
    <w:p w14:paraId="4422FC96" w14:textId="77777777" w:rsidR="008F3129" w:rsidRDefault="008F3129" w:rsidP="003C6F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64DA1"/>
    <w:multiLevelType w:val="hybridMultilevel"/>
    <w:tmpl w:val="56B6D524"/>
    <w:lvl w:ilvl="0" w:tplc="68B6A304">
      <w:start w:val="1"/>
      <w:numFmt w:val="bullet"/>
      <w:lvlText w:val="•"/>
      <w:lvlJc w:val="left"/>
      <w:pPr>
        <w:tabs>
          <w:tab w:val="num" w:pos="360"/>
        </w:tabs>
        <w:ind w:left="144" w:hanging="144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F375B"/>
    <w:multiLevelType w:val="hybridMultilevel"/>
    <w:tmpl w:val="CFE628A6"/>
    <w:lvl w:ilvl="0" w:tplc="54E08DA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043060"/>
    <w:multiLevelType w:val="hybridMultilevel"/>
    <w:tmpl w:val="CCF0B6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16862"/>
    <w:multiLevelType w:val="hybridMultilevel"/>
    <w:tmpl w:val="A7AE685E"/>
    <w:lvl w:ilvl="0" w:tplc="41B05DA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3E2D038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959E54B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7EC0EC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EFBC853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AC8EEF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2632A11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770439A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A567CD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" w15:restartNumberingAfterBreak="0">
    <w:nsid w:val="222354C3"/>
    <w:multiLevelType w:val="hybridMultilevel"/>
    <w:tmpl w:val="511E6D2A"/>
    <w:lvl w:ilvl="0" w:tplc="B1160BAC">
      <w:start w:val="1"/>
      <w:numFmt w:val="bullet"/>
      <w:lvlText w:val="•"/>
      <w:lvlJc w:val="left"/>
      <w:pPr>
        <w:tabs>
          <w:tab w:val="num" w:pos="360"/>
        </w:tabs>
        <w:ind w:left="144" w:hanging="144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4202E9"/>
    <w:multiLevelType w:val="hybridMultilevel"/>
    <w:tmpl w:val="4A60A52C"/>
    <w:lvl w:ilvl="0" w:tplc="BFF229F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B3C0DD0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428E934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EECC64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38B255F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B1E4248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422C16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122512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141CE55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6" w15:restartNumberingAfterBreak="0">
    <w:nsid w:val="35320F43"/>
    <w:multiLevelType w:val="hybridMultilevel"/>
    <w:tmpl w:val="2FDEAC38"/>
    <w:lvl w:ilvl="0" w:tplc="BFF229F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D6B3A"/>
    <w:multiLevelType w:val="hybridMultilevel"/>
    <w:tmpl w:val="4C7C8470"/>
    <w:lvl w:ilvl="0" w:tplc="FFFFFFFF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F928504">
      <w:start w:val="1"/>
      <w:numFmt w:val="bullet"/>
      <w:lvlText w:val="o"/>
      <w:lvlJc w:val="left"/>
      <w:pPr>
        <w:ind w:left="576" w:hanging="144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FC28E9"/>
    <w:multiLevelType w:val="hybridMultilevel"/>
    <w:tmpl w:val="E8583F6A"/>
    <w:lvl w:ilvl="0" w:tplc="0C52F14A">
      <w:start w:val="1"/>
      <w:numFmt w:val="bullet"/>
      <w:lvlText w:val="•"/>
      <w:lvlJc w:val="left"/>
      <w:pPr>
        <w:tabs>
          <w:tab w:val="num" w:pos="360"/>
        </w:tabs>
        <w:ind w:left="144" w:hanging="144"/>
      </w:pPr>
      <w:rPr>
        <w:rFonts w:ascii="Arial" w:hAnsi="Aria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C03337"/>
    <w:multiLevelType w:val="hybridMultilevel"/>
    <w:tmpl w:val="97088F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91469B"/>
    <w:multiLevelType w:val="hybridMultilevel"/>
    <w:tmpl w:val="D3AC0EFA"/>
    <w:lvl w:ilvl="0" w:tplc="FFFFFFFF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E5C75FA">
      <w:start w:val="1"/>
      <w:numFmt w:val="bullet"/>
      <w:lvlText w:val="o"/>
      <w:lvlJc w:val="left"/>
      <w:pPr>
        <w:ind w:left="1080" w:hanging="648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4A564E"/>
    <w:multiLevelType w:val="hybridMultilevel"/>
    <w:tmpl w:val="56EE3BA4"/>
    <w:lvl w:ilvl="0" w:tplc="54E08DA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D576B0B"/>
    <w:multiLevelType w:val="hybridMultilevel"/>
    <w:tmpl w:val="9A5E9AEA"/>
    <w:lvl w:ilvl="0" w:tplc="54E08D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A64DC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802D24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184C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88E2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1C2D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C0FC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6020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5E0A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624273A"/>
    <w:multiLevelType w:val="hybridMultilevel"/>
    <w:tmpl w:val="38F0B942"/>
    <w:lvl w:ilvl="0" w:tplc="D1AEA7C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CDFCDDCA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267E1E2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9C2F45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35E4EB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D608DF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872E6DC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88245E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97E99F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4" w15:restartNumberingAfterBreak="0">
    <w:nsid w:val="767A705B"/>
    <w:multiLevelType w:val="hybridMultilevel"/>
    <w:tmpl w:val="57281890"/>
    <w:lvl w:ilvl="0" w:tplc="54E08DA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AD5181A"/>
    <w:multiLevelType w:val="hybridMultilevel"/>
    <w:tmpl w:val="720CDA68"/>
    <w:lvl w:ilvl="0" w:tplc="FFFFFFFF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4432870C">
      <w:start w:val="1"/>
      <w:numFmt w:val="bullet"/>
      <w:lvlText w:val="o"/>
      <w:lvlJc w:val="left"/>
      <w:pPr>
        <w:ind w:left="576" w:hanging="288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F187D5D"/>
    <w:multiLevelType w:val="hybridMultilevel"/>
    <w:tmpl w:val="C78E44D4"/>
    <w:lvl w:ilvl="0" w:tplc="FFFFFFFF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54A0364">
      <w:start w:val="1"/>
      <w:numFmt w:val="bullet"/>
      <w:lvlText w:val="o"/>
      <w:lvlJc w:val="left"/>
      <w:pPr>
        <w:ind w:left="576" w:hanging="288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6439777">
    <w:abstractNumId w:val="5"/>
  </w:num>
  <w:num w:numId="2" w16cid:durableId="1983266728">
    <w:abstractNumId w:val="12"/>
  </w:num>
  <w:num w:numId="3" w16cid:durableId="1611357631">
    <w:abstractNumId w:val="6"/>
  </w:num>
  <w:num w:numId="4" w16cid:durableId="929772190">
    <w:abstractNumId w:val="1"/>
  </w:num>
  <w:num w:numId="5" w16cid:durableId="369959437">
    <w:abstractNumId w:val="14"/>
  </w:num>
  <w:num w:numId="6" w16cid:durableId="1234852535">
    <w:abstractNumId w:val="11"/>
  </w:num>
  <w:num w:numId="7" w16cid:durableId="2097748072">
    <w:abstractNumId w:val="3"/>
  </w:num>
  <w:num w:numId="8" w16cid:durableId="1045719527">
    <w:abstractNumId w:val="13"/>
  </w:num>
  <w:num w:numId="9" w16cid:durableId="1048724392">
    <w:abstractNumId w:val="9"/>
  </w:num>
  <w:num w:numId="10" w16cid:durableId="1919292319">
    <w:abstractNumId w:val="2"/>
  </w:num>
  <w:num w:numId="11" w16cid:durableId="1746340503">
    <w:abstractNumId w:val="10"/>
  </w:num>
  <w:num w:numId="12" w16cid:durableId="1900314019">
    <w:abstractNumId w:val="7"/>
  </w:num>
  <w:num w:numId="13" w16cid:durableId="974799408">
    <w:abstractNumId w:val="16"/>
  </w:num>
  <w:num w:numId="14" w16cid:durableId="1472088887">
    <w:abstractNumId w:val="15"/>
  </w:num>
  <w:num w:numId="15" w16cid:durableId="690767782">
    <w:abstractNumId w:val="8"/>
  </w:num>
  <w:num w:numId="16" w16cid:durableId="1930848460">
    <w:abstractNumId w:val="4"/>
  </w:num>
  <w:num w:numId="17" w16cid:durableId="1608732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E4DF"/>
    <w:rsid w:val="00031A38"/>
    <w:rsid w:val="00053B5E"/>
    <w:rsid w:val="0007660B"/>
    <w:rsid w:val="000A3731"/>
    <w:rsid w:val="000B050F"/>
    <w:rsid w:val="000B68C9"/>
    <w:rsid w:val="000B6B30"/>
    <w:rsid w:val="000E5FBC"/>
    <w:rsid w:val="00100C2C"/>
    <w:rsid w:val="00110A5B"/>
    <w:rsid w:val="00123203"/>
    <w:rsid w:val="001411A3"/>
    <w:rsid w:val="00142DCC"/>
    <w:rsid w:val="0014770E"/>
    <w:rsid w:val="001747A3"/>
    <w:rsid w:val="00184BA4"/>
    <w:rsid w:val="001A21C8"/>
    <w:rsid w:val="001B6A1E"/>
    <w:rsid w:val="001CE4DF"/>
    <w:rsid w:val="001D26BE"/>
    <w:rsid w:val="001E418E"/>
    <w:rsid w:val="00205F22"/>
    <w:rsid w:val="00247DBA"/>
    <w:rsid w:val="00286C9F"/>
    <w:rsid w:val="00292B31"/>
    <w:rsid w:val="002B41F0"/>
    <w:rsid w:val="002C2671"/>
    <w:rsid w:val="0030055E"/>
    <w:rsid w:val="003124C3"/>
    <w:rsid w:val="00322C6D"/>
    <w:rsid w:val="00363EE6"/>
    <w:rsid w:val="003645C3"/>
    <w:rsid w:val="003721C6"/>
    <w:rsid w:val="003A1C9D"/>
    <w:rsid w:val="003B5423"/>
    <w:rsid w:val="003C5F8E"/>
    <w:rsid w:val="003C6FF9"/>
    <w:rsid w:val="00400D9A"/>
    <w:rsid w:val="00406C8E"/>
    <w:rsid w:val="00407002"/>
    <w:rsid w:val="004128DB"/>
    <w:rsid w:val="00420383"/>
    <w:rsid w:val="00425418"/>
    <w:rsid w:val="00431663"/>
    <w:rsid w:val="00434513"/>
    <w:rsid w:val="00437418"/>
    <w:rsid w:val="00437E58"/>
    <w:rsid w:val="004503BC"/>
    <w:rsid w:val="004540DA"/>
    <w:rsid w:val="004642B7"/>
    <w:rsid w:val="00474CDD"/>
    <w:rsid w:val="004B15FA"/>
    <w:rsid w:val="004B79B0"/>
    <w:rsid w:val="004C1C13"/>
    <w:rsid w:val="004E5AF1"/>
    <w:rsid w:val="0050176A"/>
    <w:rsid w:val="005042B5"/>
    <w:rsid w:val="005125C4"/>
    <w:rsid w:val="0051515C"/>
    <w:rsid w:val="00523228"/>
    <w:rsid w:val="0052732C"/>
    <w:rsid w:val="00591C34"/>
    <w:rsid w:val="00595865"/>
    <w:rsid w:val="00596DC9"/>
    <w:rsid w:val="005B663A"/>
    <w:rsid w:val="005D0E54"/>
    <w:rsid w:val="005D3951"/>
    <w:rsid w:val="005E3A4E"/>
    <w:rsid w:val="005E7B23"/>
    <w:rsid w:val="005F14CE"/>
    <w:rsid w:val="00613512"/>
    <w:rsid w:val="0061675F"/>
    <w:rsid w:val="0063187E"/>
    <w:rsid w:val="00646721"/>
    <w:rsid w:val="006477B1"/>
    <w:rsid w:val="00647A4A"/>
    <w:rsid w:val="00675FA6"/>
    <w:rsid w:val="00677EFA"/>
    <w:rsid w:val="006972B0"/>
    <w:rsid w:val="006C13FC"/>
    <w:rsid w:val="006C2844"/>
    <w:rsid w:val="006F3C93"/>
    <w:rsid w:val="00714D86"/>
    <w:rsid w:val="00747A43"/>
    <w:rsid w:val="00763BBC"/>
    <w:rsid w:val="00776478"/>
    <w:rsid w:val="00787011"/>
    <w:rsid w:val="00791C51"/>
    <w:rsid w:val="007A68CA"/>
    <w:rsid w:val="007A72AE"/>
    <w:rsid w:val="007B2A50"/>
    <w:rsid w:val="007B4EC8"/>
    <w:rsid w:val="007E1A92"/>
    <w:rsid w:val="007E446F"/>
    <w:rsid w:val="007F0486"/>
    <w:rsid w:val="007F571A"/>
    <w:rsid w:val="008131B6"/>
    <w:rsid w:val="00826674"/>
    <w:rsid w:val="00826C2A"/>
    <w:rsid w:val="00827498"/>
    <w:rsid w:val="008671F3"/>
    <w:rsid w:val="00893161"/>
    <w:rsid w:val="00896E32"/>
    <w:rsid w:val="008D08C7"/>
    <w:rsid w:val="008D16B8"/>
    <w:rsid w:val="008D73D0"/>
    <w:rsid w:val="008E2B59"/>
    <w:rsid w:val="008E7273"/>
    <w:rsid w:val="008F0A32"/>
    <w:rsid w:val="008F3129"/>
    <w:rsid w:val="0091449D"/>
    <w:rsid w:val="0095734D"/>
    <w:rsid w:val="00967862"/>
    <w:rsid w:val="009A034F"/>
    <w:rsid w:val="009B4590"/>
    <w:rsid w:val="009D308A"/>
    <w:rsid w:val="009D621A"/>
    <w:rsid w:val="009E3FF8"/>
    <w:rsid w:val="00A2663D"/>
    <w:rsid w:val="00A30D92"/>
    <w:rsid w:val="00A33623"/>
    <w:rsid w:val="00A3707F"/>
    <w:rsid w:val="00A54354"/>
    <w:rsid w:val="00AA079D"/>
    <w:rsid w:val="00AA13FA"/>
    <w:rsid w:val="00AA351D"/>
    <w:rsid w:val="00AB4DE9"/>
    <w:rsid w:val="00AC22E5"/>
    <w:rsid w:val="00AC61F8"/>
    <w:rsid w:val="00B05055"/>
    <w:rsid w:val="00B22F0C"/>
    <w:rsid w:val="00B26015"/>
    <w:rsid w:val="00B37513"/>
    <w:rsid w:val="00B41DE9"/>
    <w:rsid w:val="00B42CE9"/>
    <w:rsid w:val="00B45E84"/>
    <w:rsid w:val="00B46CF4"/>
    <w:rsid w:val="00B47F14"/>
    <w:rsid w:val="00B51288"/>
    <w:rsid w:val="00BA0187"/>
    <w:rsid w:val="00BA43C7"/>
    <w:rsid w:val="00BD7547"/>
    <w:rsid w:val="00BF3209"/>
    <w:rsid w:val="00C024FB"/>
    <w:rsid w:val="00C05DD1"/>
    <w:rsid w:val="00C30D7F"/>
    <w:rsid w:val="00C32E6C"/>
    <w:rsid w:val="00C61D24"/>
    <w:rsid w:val="00C62AC4"/>
    <w:rsid w:val="00C71719"/>
    <w:rsid w:val="00C7271C"/>
    <w:rsid w:val="00C73C78"/>
    <w:rsid w:val="00C87869"/>
    <w:rsid w:val="00CC2F2B"/>
    <w:rsid w:val="00CC3C6F"/>
    <w:rsid w:val="00CD1A54"/>
    <w:rsid w:val="00CD6829"/>
    <w:rsid w:val="00CE7600"/>
    <w:rsid w:val="00CF03C3"/>
    <w:rsid w:val="00CF20E6"/>
    <w:rsid w:val="00D2196D"/>
    <w:rsid w:val="00D45AAE"/>
    <w:rsid w:val="00D6165D"/>
    <w:rsid w:val="00D62625"/>
    <w:rsid w:val="00D65360"/>
    <w:rsid w:val="00DA2A34"/>
    <w:rsid w:val="00DB6C31"/>
    <w:rsid w:val="00DC2DE4"/>
    <w:rsid w:val="00DC4BE2"/>
    <w:rsid w:val="00E129F8"/>
    <w:rsid w:val="00E21316"/>
    <w:rsid w:val="00E36254"/>
    <w:rsid w:val="00E40F8A"/>
    <w:rsid w:val="00E55131"/>
    <w:rsid w:val="00E6038C"/>
    <w:rsid w:val="00E77945"/>
    <w:rsid w:val="00E97740"/>
    <w:rsid w:val="00EA0BA1"/>
    <w:rsid w:val="00EA1690"/>
    <w:rsid w:val="00EA7749"/>
    <w:rsid w:val="00ED0625"/>
    <w:rsid w:val="00EE1DB9"/>
    <w:rsid w:val="00F01347"/>
    <w:rsid w:val="00F428F9"/>
    <w:rsid w:val="00F559AD"/>
    <w:rsid w:val="00F6347D"/>
    <w:rsid w:val="00F6459B"/>
    <w:rsid w:val="00F67E0A"/>
    <w:rsid w:val="00FA19F0"/>
    <w:rsid w:val="00FB7702"/>
    <w:rsid w:val="00FC15BC"/>
    <w:rsid w:val="00FC5802"/>
    <w:rsid w:val="00FE34FF"/>
    <w:rsid w:val="00FE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0DC9E"/>
  <w15:chartTrackingRefBased/>
  <w15:docId w15:val="{AE6D13F0-9F2A-42F1-990A-3842BAE6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21C8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013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134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0134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F0134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896E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6E32"/>
    <w:rPr>
      <w:color w:val="467886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96E32"/>
  </w:style>
  <w:style w:type="table" w:styleId="TableGrid">
    <w:name w:val="Table Grid"/>
    <w:basedOn w:val="TableNormal"/>
    <w:uiPriority w:val="39"/>
    <w:rsid w:val="00896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6F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FF9"/>
  </w:style>
  <w:style w:type="paragraph" w:styleId="Footer">
    <w:name w:val="footer"/>
    <w:basedOn w:val="Normal"/>
    <w:link w:val="FooterChar"/>
    <w:uiPriority w:val="99"/>
    <w:unhideWhenUsed/>
    <w:rsid w:val="003C6F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FF9"/>
  </w:style>
  <w:style w:type="paragraph" w:styleId="Revision">
    <w:name w:val="Revision"/>
    <w:hidden/>
    <w:uiPriority w:val="99"/>
    <w:semiHidden/>
    <w:rsid w:val="00AC22E5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6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6B8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A21C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B6B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cbi.nlm.nih.gov/books/NBK559139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813D5B6C766748BA400363D15DF2B0" ma:contentTypeVersion="11" ma:contentTypeDescription="Create a new document." ma:contentTypeScope="" ma:versionID="e6f842c9cf41e84d2da4c3a6c3fbea27">
  <xsd:schema xmlns:xsd="http://www.w3.org/2001/XMLSchema" xmlns:xs="http://www.w3.org/2001/XMLSchema" xmlns:p="http://schemas.microsoft.com/office/2006/metadata/properties" xmlns:ns2="3bf6d2d3-5e58-41af-b1e4-f36cdb4be07f" xmlns:ns3="134588d4-c3e7-4d9d-b417-44a14fc0ee68" targetNamespace="http://schemas.microsoft.com/office/2006/metadata/properties" ma:root="true" ma:fieldsID="3e9ed01f3a5b3cd0e8def660f6b42581" ns2:_="" ns3:_="">
    <xsd:import namespace="3bf6d2d3-5e58-41af-b1e4-f36cdb4be07f"/>
    <xsd:import namespace="134588d4-c3e7-4d9d-b417-44a14fc0ee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6d2d3-5e58-41af-b1e4-f36cdb4be0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75017f1-612f-420a-ab91-0ca1b32b1c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4588d4-c3e7-4d9d-b417-44a14fc0ee6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e5bb9bd-a58c-4c1c-8de2-6c7753d3e2e4}" ma:internalName="TaxCatchAll" ma:showField="CatchAllData" ma:web="134588d4-c3e7-4d9d-b417-44a14fc0ee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f6d2d3-5e58-41af-b1e4-f36cdb4be07f">
      <Terms xmlns="http://schemas.microsoft.com/office/infopath/2007/PartnerControls"/>
    </lcf76f155ced4ddcb4097134ff3c332f>
    <TaxCatchAll xmlns="134588d4-c3e7-4d9d-b417-44a14fc0ee68" xsi:nil="true"/>
  </documentManagement>
</p:properties>
</file>

<file path=customXml/itemProps1.xml><?xml version="1.0" encoding="utf-8"?>
<ds:datastoreItem xmlns:ds="http://schemas.openxmlformats.org/officeDocument/2006/customXml" ds:itemID="{89859AD5-05EE-4DBF-99E4-123C069462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FA627B-0B62-4A6B-B349-A5977DC7FC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1BF383-A679-478F-838B-5F9457076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f6d2d3-5e58-41af-b1e4-f36cdb4be07f"/>
    <ds:schemaRef ds:uri="134588d4-c3e7-4d9d-b417-44a14fc0e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9F13BC-EECD-4D0F-9BAC-D1BC0556CAA7}">
  <ds:schemaRefs>
    <ds:schemaRef ds:uri="http://schemas.microsoft.com/office/2006/metadata/properties"/>
    <ds:schemaRef ds:uri="http://schemas.microsoft.com/office/infopath/2007/PartnerControls"/>
    <ds:schemaRef ds:uri="3bf6d2d3-5e58-41af-b1e4-f36cdb4be07f"/>
    <ds:schemaRef ds:uri="134588d4-c3e7-4d9d-b417-44a14fc0ee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5</Pages>
  <Words>993</Words>
  <Characters>7046</Characters>
  <Application>Microsoft Office Word</Application>
  <DocSecurity>0</DocSecurity>
  <Lines>105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8021</CharactersWithSpaces>
  <SharedDoc>false</SharedDoc>
  <HLinks>
    <vt:vector size="6" baseType="variant">
      <vt:variant>
        <vt:i4>1048657</vt:i4>
      </vt:variant>
      <vt:variant>
        <vt:i4>57</vt:i4>
      </vt:variant>
      <vt:variant>
        <vt:i4>0</vt:i4>
      </vt:variant>
      <vt:variant>
        <vt:i4>5</vt:i4>
      </vt:variant>
      <vt:variant>
        <vt:lpwstr>https://www.ncbi.nlm.nih.gov/books/NBK559139/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McAlear</dc:creator>
  <cp:keywords/>
  <dc:description/>
  <cp:lastModifiedBy>Cecilia McAlear</cp:lastModifiedBy>
  <cp:revision>143</cp:revision>
  <dcterms:created xsi:type="dcterms:W3CDTF">2026-06-02T20:22:00Z</dcterms:created>
  <dcterms:modified xsi:type="dcterms:W3CDTF">2026-07-16T19:17:00Z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0x0101003B813D5B6C766748BA400363D15DF2B0</vt:lpwstr>
  </property>
  <property fmtid="{D5CDD505-2E9C-101B-9397-08002B2CF9AE}" pid="3" name="MediaServiceImageTags">
    <vt:lpwstr/>
  </property>
  <property fmtid="{D5CDD505-2E9C-101B-9397-08002B2CF9AE}" pid="4" name="GrammarlyDocumentId">
    <vt:lpwstr>6750e638-78da-4a62-90f6-fc8c756abd83</vt:lpwstr>
  </property>
</Properties>
</file>