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D8AD" w14:textId="77777777" w:rsidR="00C972A6" w:rsidRPr="0025360B" w:rsidRDefault="00C972A6" w:rsidP="00C972A6">
      <w:pPr>
        <w:bidi w:val="0"/>
        <w:spacing w:line="480" w:lineRule="auto"/>
        <w:jc w:val="both"/>
      </w:pPr>
      <w:r w:rsidRPr="0025360B">
        <w:rPr>
          <w:b/>
          <w:bCs/>
        </w:rPr>
        <w:t>Appendix A. Measurement Items</w:t>
      </w:r>
    </w:p>
    <w:p w14:paraId="36943DA3" w14:textId="77777777" w:rsidR="00C972A6" w:rsidRPr="0025360B" w:rsidRDefault="00C972A6" w:rsidP="00C972A6">
      <w:pPr>
        <w:bidi w:val="0"/>
        <w:spacing w:line="480" w:lineRule="auto"/>
        <w:jc w:val="both"/>
      </w:pPr>
      <w:r w:rsidRPr="0025360B">
        <w:rPr>
          <w:i/>
          <w:iCs/>
        </w:rPr>
        <w:t>All constructs were measured on seven-point scales. Planning fallacy and AI maturity items were anchored from 1 (“strongly disagree”) to 7 (“strongly agree”). Firm-performance items were rated comparatively relative to principal competitors, from 1 (“much worse”) to 7 (“much better”). Items were administered in Persian and were translated and independently back-translated by bilingual experts, with discrepancies reconciled prior to data collection.</w:t>
      </w:r>
    </w:p>
    <w:p w14:paraId="700D796B" w14:textId="77777777" w:rsidR="00C972A6" w:rsidRPr="0025360B" w:rsidRDefault="00C972A6" w:rsidP="00C972A6">
      <w:pPr>
        <w:tabs>
          <w:tab w:val="num" w:pos="360"/>
        </w:tabs>
        <w:bidi w:val="0"/>
        <w:spacing w:line="480" w:lineRule="auto"/>
        <w:ind w:left="720" w:hanging="360"/>
        <w:jc w:val="both"/>
      </w:pPr>
      <w:r w:rsidRPr="0025360B">
        <w:rPr>
          <w:b/>
          <w:bCs/>
        </w:rPr>
        <w:t>Planning fallacy</w:t>
      </w:r>
    </w:p>
    <w:p w14:paraId="4FF7EA97" w14:textId="77777777" w:rsidR="00C972A6" w:rsidRPr="0025360B" w:rsidRDefault="00C972A6" w:rsidP="00C972A6">
      <w:pPr>
        <w:bidi w:val="0"/>
        <w:spacing w:line="480" w:lineRule="auto"/>
        <w:jc w:val="both"/>
      </w:pPr>
      <w:r w:rsidRPr="0025360B">
        <w:rPr>
          <w:i/>
          <w:iCs/>
        </w:rPr>
        <w:t>Four items; developed from Flyvbjerg’s (2021) writ-large conceptualization, with each item mapped to one constituent dimension.</w:t>
      </w:r>
    </w:p>
    <w:p w14:paraId="74EF9245" w14:textId="77777777" w:rsidR="00C972A6" w:rsidRPr="0025360B" w:rsidRDefault="00C972A6" w:rsidP="00C972A6">
      <w:pPr>
        <w:pStyle w:val="ListParagraph"/>
        <w:numPr>
          <w:ilvl w:val="0"/>
          <w:numId w:val="1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PF1 (cost). </w:t>
      </w:r>
      <w:r w:rsidRPr="0025360B">
        <w:t>In our past projects, deviations and errors in budget forecasting were evident, causing actual costs to exceed the initial estimates.</w:t>
      </w:r>
    </w:p>
    <w:p w14:paraId="25CB6518" w14:textId="77777777" w:rsidR="00C972A6" w:rsidRPr="0025360B" w:rsidRDefault="00C972A6" w:rsidP="00C972A6">
      <w:pPr>
        <w:pStyle w:val="ListParagraph"/>
        <w:numPr>
          <w:ilvl w:val="0"/>
          <w:numId w:val="1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PF2 (schedule). </w:t>
      </w:r>
      <w:r w:rsidRPr="0025360B">
        <w:t>Our past projects experienced errors in forecasting completion time, and execution took longer than the estimated schedule.</w:t>
      </w:r>
    </w:p>
    <w:p w14:paraId="06F1FF4C" w14:textId="77777777" w:rsidR="00C972A6" w:rsidRPr="0025360B" w:rsidRDefault="00C972A6" w:rsidP="00C972A6">
      <w:pPr>
        <w:pStyle w:val="ListParagraph"/>
        <w:numPr>
          <w:ilvl w:val="0"/>
          <w:numId w:val="1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PF3 (risk). </w:t>
      </w:r>
      <w:r w:rsidRPr="0025360B">
        <w:t>The high number and severity of problems that emerged reflected an underestimation of risks in the early stages of our past projects.</w:t>
      </w:r>
    </w:p>
    <w:p w14:paraId="0CDBB538" w14:textId="77777777" w:rsidR="00C972A6" w:rsidRPr="0025360B" w:rsidRDefault="00C972A6" w:rsidP="00C972A6">
      <w:pPr>
        <w:pStyle w:val="ListParagraph"/>
        <w:numPr>
          <w:ilvl w:val="0"/>
          <w:numId w:val="1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PF4 (benefits). </w:t>
      </w:r>
      <w:r w:rsidRPr="0025360B">
        <w:t>The error in forecasting outcomes and benefits was high, such that our past projects did not reach the targets and expectations that had been set.</w:t>
      </w:r>
    </w:p>
    <w:p w14:paraId="63C3D811" w14:textId="77777777" w:rsidR="00C972A6" w:rsidRPr="0025360B" w:rsidRDefault="00C972A6" w:rsidP="00C972A6">
      <w:pPr>
        <w:tabs>
          <w:tab w:val="num" w:pos="360"/>
        </w:tabs>
        <w:bidi w:val="0"/>
        <w:spacing w:line="480" w:lineRule="auto"/>
        <w:ind w:left="720" w:hanging="360"/>
        <w:jc w:val="both"/>
      </w:pPr>
      <w:r w:rsidRPr="0025360B">
        <w:rPr>
          <w:b/>
          <w:bCs/>
        </w:rPr>
        <w:t>AI maturity</w:t>
      </w:r>
    </w:p>
    <w:p w14:paraId="6B450340" w14:textId="77777777" w:rsidR="00C972A6" w:rsidRDefault="00C972A6" w:rsidP="00C972A6">
      <w:pPr>
        <w:bidi w:val="0"/>
        <w:spacing w:line="480" w:lineRule="auto"/>
        <w:jc w:val="both"/>
      </w:pPr>
      <w:r w:rsidRPr="0025360B">
        <w:rPr>
          <w:i/>
          <w:iCs/>
        </w:rPr>
        <w:t>Four items; abbreviated single-indicator-per-domain adaptation of Khan et al. (2025), covering the four content domains of operations-anchored AI capability.</w:t>
      </w:r>
    </w:p>
    <w:p w14:paraId="519AB0D9" w14:textId="77777777" w:rsidR="00C972A6" w:rsidRPr="0025360B" w:rsidRDefault="00C972A6" w:rsidP="00C972A6">
      <w:pPr>
        <w:pStyle w:val="ListParagraph"/>
        <w:numPr>
          <w:ilvl w:val="0"/>
          <w:numId w:val="2"/>
        </w:numPr>
        <w:bidi w:val="0"/>
        <w:spacing w:line="480" w:lineRule="auto"/>
        <w:jc w:val="both"/>
      </w:pPr>
      <w:r w:rsidRPr="0025360B">
        <w:rPr>
          <w:b/>
          <w:bCs/>
        </w:rPr>
        <w:lastRenderedPageBreak/>
        <w:t xml:space="preserve">AIM1 (AI strategy and governance). </w:t>
      </w:r>
      <w:r w:rsidRPr="0025360B">
        <w:t>Our firm has an established AI strategy and governance structure — such as an AI roadmap, dedicated oversight, and ethics or risk protocols — that guides how AI is developed and used.</w:t>
      </w:r>
    </w:p>
    <w:p w14:paraId="367F65C0" w14:textId="77777777" w:rsidR="00C972A6" w:rsidRPr="0025360B" w:rsidRDefault="00C972A6" w:rsidP="00C972A6">
      <w:pPr>
        <w:pStyle w:val="ListParagraph"/>
        <w:numPr>
          <w:ilvl w:val="0"/>
          <w:numId w:val="2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AIM2 (data and infrastructure readiness). </w:t>
      </w:r>
      <w:r w:rsidRPr="0025360B">
        <w:t>Our firm has the data and infrastructure readiness — such as integrated data, scalable pipelines, and real-time connectivity — needed to support AI applications reliably.</w:t>
      </w:r>
    </w:p>
    <w:p w14:paraId="506F4653" w14:textId="77777777" w:rsidR="00C972A6" w:rsidRPr="0025360B" w:rsidRDefault="00C972A6" w:rsidP="00C972A6">
      <w:pPr>
        <w:pStyle w:val="ListParagraph"/>
        <w:numPr>
          <w:ilvl w:val="0"/>
          <w:numId w:val="2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AIM3 (talent and routinized practices). </w:t>
      </w:r>
      <w:r w:rsidRPr="0025360B">
        <w:t>Our firm has the AI talent and routinized practices — such as an AI-skilled workforce, established development standards, and internal training — required to apply AI consistently.</w:t>
      </w:r>
    </w:p>
    <w:p w14:paraId="57E9B43E" w14:textId="77777777" w:rsidR="00C972A6" w:rsidRPr="0025360B" w:rsidRDefault="00C972A6" w:rsidP="00C972A6">
      <w:pPr>
        <w:pStyle w:val="ListParagraph"/>
        <w:numPr>
          <w:ilvl w:val="0"/>
          <w:numId w:val="2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AIM4 (model-lifecycle management). </w:t>
      </w:r>
      <w:r w:rsidRPr="0025360B">
        <w:t>Our firm systematically manages the AI model lifecycle — including deployment, monitoring, CI/CD, and feedback loops.</w:t>
      </w:r>
    </w:p>
    <w:p w14:paraId="3BB4A36A" w14:textId="77777777" w:rsidR="00C972A6" w:rsidRPr="0025360B" w:rsidRDefault="00C972A6" w:rsidP="00C972A6">
      <w:pPr>
        <w:tabs>
          <w:tab w:val="num" w:pos="360"/>
        </w:tabs>
        <w:bidi w:val="0"/>
        <w:spacing w:line="480" w:lineRule="auto"/>
        <w:ind w:left="720" w:hanging="360"/>
        <w:jc w:val="both"/>
      </w:pPr>
      <w:r w:rsidRPr="0025360B">
        <w:rPr>
          <w:b/>
          <w:bCs/>
        </w:rPr>
        <w:t>Firm performance</w:t>
      </w:r>
    </w:p>
    <w:p w14:paraId="1BEDDAC6" w14:textId="77777777" w:rsidR="00C972A6" w:rsidRDefault="00C972A6" w:rsidP="00C972A6">
      <w:pPr>
        <w:bidi w:val="0"/>
        <w:spacing w:line="480" w:lineRule="auto"/>
        <w:jc w:val="both"/>
      </w:pPr>
      <w:r w:rsidRPr="0025360B">
        <w:rPr>
          <w:i/>
          <w:iCs/>
        </w:rPr>
        <w:t>Ten items; adapted from Stam and Elfring (2008). Stem: “Relative to our principal competitors, over the past period our firm has performed better in terms of:”</w:t>
      </w:r>
    </w:p>
    <w:p w14:paraId="0EEE996D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FP1. </w:t>
      </w:r>
      <w:r w:rsidRPr="0025360B">
        <w:t>Sales growth</w:t>
      </w:r>
    </w:p>
    <w:p w14:paraId="7280A69D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FP2. </w:t>
      </w:r>
      <w:r w:rsidRPr="0025360B">
        <w:t>Employment growth</w:t>
      </w:r>
    </w:p>
    <w:p w14:paraId="4C84C1D5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FP3. </w:t>
      </w:r>
      <w:r w:rsidRPr="0025360B">
        <w:t>Market share</w:t>
      </w:r>
    </w:p>
    <w:p w14:paraId="1C0CD854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FP4. </w:t>
      </w:r>
      <w:r w:rsidRPr="0025360B">
        <w:t>Gross profits</w:t>
      </w:r>
    </w:p>
    <w:p w14:paraId="33D3E116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FP5. </w:t>
      </w:r>
      <w:r w:rsidRPr="0025360B">
        <w:t>Net profit margin</w:t>
      </w:r>
    </w:p>
    <w:p w14:paraId="626EE946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FP6. </w:t>
      </w:r>
      <w:r w:rsidRPr="0025360B">
        <w:t>Innovation in products and services</w:t>
      </w:r>
    </w:p>
    <w:p w14:paraId="53F80BEE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FP7. </w:t>
      </w:r>
      <w:r w:rsidRPr="0025360B">
        <w:t>Speed in developing new products and services</w:t>
      </w:r>
    </w:p>
    <w:p w14:paraId="6DEE79B5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FP8. </w:t>
      </w:r>
      <w:r w:rsidRPr="0025360B">
        <w:t>Quality of products and services</w:t>
      </w:r>
    </w:p>
    <w:p w14:paraId="70C00332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t xml:space="preserve">FP9. </w:t>
      </w:r>
      <w:r w:rsidRPr="0025360B">
        <w:t>Cost control</w:t>
      </w:r>
    </w:p>
    <w:p w14:paraId="11478B7B" w14:textId="77777777" w:rsidR="00C972A6" w:rsidRPr="0025360B" w:rsidRDefault="00C972A6" w:rsidP="00C972A6">
      <w:pPr>
        <w:pStyle w:val="ListParagraph"/>
        <w:numPr>
          <w:ilvl w:val="0"/>
          <w:numId w:val="3"/>
        </w:numPr>
        <w:bidi w:val="0"/>
        <w:spacing w:line="480" w:lineRule="auto"/>
        <w:jc w:val="both"/>
      </w:pPr>
      <w:r w:rsidRPr="0025360B">
        <w:rPr>
          <w:b/>
          <w:bCs/>
        </w:rPr>
        <w:lastRenderedPageBreak/>
        <w:t xml:space="preserve">FP10. </w:t>
      </w:r>
      <w:r w:rsidRPr="0025360B">
        <w:t>Customer satisfaction</w:t>
      </w:r>
    </w:p>
    <w:p w14:paraId="00BE99F8" w14:textId="77777777" w:rsidR="00C972A6" w:rsidRPr="0025360B" w:rsidRDefault="00C972A6" w:rsidP="00C972A6">
      <w:pPr>
        <w:bidi w:val="0"/>
        <w:spacing w:line="480" w:lineRule="auto"/>
        <w:jc w:val="both"/>
      </w:pPr>
      <w:r w:rsidRPr="0025360B">
        <w:rPr>
          <w:i/>
          <w:iCs/>
        </w:rPr>
        <w:t>Note. Annual sales growth was additionally reported by respondents as a percentage change in total sales and used as a criterion-related validity indicator (see Section 4.2). In the original scale, the subjective ten-item measure achieved α = .80, and its correlation with objective sales growth supported its validity (Stam &amp; Elfring, 2008).</w:t>
      </w:r>
    </w:p>
    <w:p w14:paraId="2B257FFC" w14:textId="77777777" w:rsidR="00C972A6" w:rsidRDefault="00C972A6" w:rsidP="00C972A6">
      <w:pPr>
        <w:bidi w:val="0"/>
        <w:spacing w:line="480" w:lineRule="auto"/>
        <w:jc w:val="both"/>
      </w:pPr>
    </w:p>
    <w:p w14:paraId="1AF11691" w14:textId="77777777" w:rsidR="00767E38" w:rsidRDefault="00767E38"/>
    <w:sectPr w:rsidR="00767E38" w:rsidSect="00C97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60A84"/>
    <w:multiLevelType w:val="hybridMultilevel"/>
    <w:tmpl w:val="2B6C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168DB"/>
    <w:multiLevelType w:val="hybridMultilevel"/>
    <w:tmpl w:val="E1B44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F21FF"/>
    <w:multiLevelType w:val="hybridMultilevel"/>
    <w:tmpl w:val="DF4CE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6332">
    <w:abstractNumId w:val="0"/>
  </w:num>
  <w:num w:numId="2" w16cid:durableId="27265503">
    <w:abstractNumId w:val="1"/>
  </w:num>
  <w:num w:numId="3" w16cid:durableId="1342202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A6"/>
    <w:rsid w:val="005E70D6"/>
    <w:rsid w:val="00767E38"/>
    <w:rsid w:val="00866F7D"/>
    <w:rsid w:val="00C972A6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CAB2A"/>
  <w15:chartTrackingRefBased/>
  <w15:docId w15:val="{E3D3CA2A-4F4A-4EDE-B251-699B66D7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2A6"/>
    <w:pPr>
      <w:bidi/>
      <w:spacing w:line="259" w:lineRule="auto"/>
    </w:pPr>
    <w:rPr>
      <w:sz w:val="22"/>
      <w:szCs w:val="22"/>
      <w:lang w:val="en-US"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2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2026-07-24T10:22:00Z</dcterms:created>
  <dcterms:modified xsi:type="dcterms:W3CDTF">2026-07-24T10:22:00Z</dcterms:modified>
</cp:coreProperties>
</file>