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12589" w14:textId="5C8B8657" w:rsidR="00DF3959" w:rsidRPr="00DF3959" w:rsidRDefault="00DF3959" w:rsidP="00DF3959">
      <w:pPr>
        <w:pStyle w:val="Caption"/>
        <w:keepNext/>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 xml:space="preserve">Supplementary Information A. </w:t>
      </w:r>
      <w:r>
        <w:rPr>
          <w:rFonts w:asciiTheme="majorBidi" w:hAnsiTheme="majorBidi" w:cstheme="majorBidi"/>
          <w:b/>
          <w:bCs/>
          <w:i w:val="0"/>
          <w:iCs w:val="0"/>
          <w:color w:val="auto"/>
          <w:sz w:val="22"/>
          <w:szCs w:val="22"/>
        </w:rPr>
        <w:t>PRISMA</w:t>
      </w:r>
    </w:p>
    <w:p w14:paraId="59F58120" w14:textId="397ECF3D" w:rsidR="00DB34C6" w:rsidRPr="009C5AD2" w:rsidRDefault="00DB34C6" w:rsidP="00DB34C6">
      <w:pPr>
        <w:pStyle w:val="Caption"/>
        <w:keepNext/>
        <w:rPr>
          <w:rFonts w:asciiTheme="majorBidi" w:hAnsiTheme="majorBidi" w:cstheme="majorBidi"/>
          <w:b/>
          <w:bCs/>
          <w:color w:val="auto"/>
          <w:sz w:val="22"/>
          <w:szCs w:val="22"/>
        </w:rPr>
      </w:pPr>
      <w:r>
        <w:rPr>
          <w:rFonts w:asciiTheme="majorBidi" w:hAnsiTheme="majorBidi" w:cstheme="majorBidi"/>
          <w:b/>
          <w:bCs/>
          <w:color w:val="auto"/>
          <w:sz w:val="22"/>
          <w:szCs w:val="22"/>
        </w:rPr>
        <w:t xml:space="preserve">Table S </w:t>
        <w:fldChar w:fldCharType="begin"/>
        <w:instrText xml:space="preserve"> SEQ Table_S \* ARABIC </w:instrText>
        <w:fldChar w:fldCharType="separate"/>
      </w:r>
      <w:r>
        <w:rPr>
          <w:rFonts w:asciiTheme="majorBidi" w:hAnsiTheme="majorBidi" w:cstheme="majorBidi"/>
          <w:b/>
          <w:bCs/>
          <w:noProof/>
          <w:color w:val="auto"/>
          <w:sz w:val="22"/>
          <w:szCs w:val="22"/>
        </w:rPr>
        <w:t>1</w:t>
      </w:r>
      <w:r>
        <w:rPr>
          <w:rFonts w:asciiTheme="majorBidi" w:hAnsiTheme="majorBidi" w:cstheme="majorBidi"/>
          <w:b/>
          <w:bCs/>
          <w:color w:val="auto"/>
          <w:sz w:val="22"/>
          <w:szCs w:val="22"/>
        </w:rPr>
        <w:fldChar w:fldCharType="end"/>
        <w:t>. Preferred Reporting Items for Systematic reviews and Meta-Analysis (PRISMA) 2020 Checklist</w:t>
      </w:r>
    </w:p>
    <w:tbl>
      <w:tblPr>
        <w:tblW w:w="0" w:type="auto"/>
        <w:tblBorders>
          <w:top w:val="nil"/>
          <w:left w:val="nil"/>
          <w:bottom w:val="nil"/>
          <w:right w:val="nil"/>
        </w:tblBorders>
        <w:tblLook w:val="0000" w:firstRow="0" w:lastRow="0" w:firstColumn="0" w:lastColumn="0" w:noHBand="0" w:noVBand="0"/>
      </w:tblPr>
      <w:tblGrid>
        <w:gridCol w:w="2118"/>
        <w:gridCol w:w="629"/>
        <w:gridCol w:w="9356"/>
        <w:gridCol w:w="1843"/>
      </w:tblGrid>
      <w:tr w:rsidR="00151A0F" w:rsidRPr="009C5AD2" w14:paraId="32A24DFB" w14:textId="77777777" w:rsidTr="0054472A">
        <w:trPr>
          <w:trHeight w:val="65"/>
          <w:tblHeader/>
        </w:trPr>
        <w:tc>
          <w:tcPr>
            <w:tcW w:w="0" w:type="auto"/>
            <w:tcBorders>
              <w:top w:val="double" w:sz="5" w:space="0" w:color="000000"/>
              <w:left w:val="single" w:sz="5" w:space="0" w:color="000000"/>
              <w:bottom w:val="double" w:sz="2" w:space="0" w:color="FFFFCC"/>
              <w:right w:val="single" w:sz="5" w:space="0" w:color="000000"/>
            </w:tcBorders>
            <w:shd w:val="clear" w:color="auto" w:fill="63639A"/>
            <w:vAlign w:val="center"/>
          </w:tcPr>
          <w:p w14:paraId="4CE46C19" w14:textId="77777777" w:rsidR="00151A0F" w:rsidRPr="009C5AD2" w:rsidRDefault="00151A0F" w:rsidP="0054472A">
            <w:pPr>
              <w:pStyle w:val="Default"/>
              <w:rPr>
                <w:rFonts w:asciiTheme="majorBidi" w:hAnsiTheme="majorBidi" w:cstheme="majorBidi"/>
                <w:color w:val="FFFFFF"/>
                <w:sz w:val="18"/>
                <w:szCs w:val="18"/>
              </w:rPr>
            </w:pPr>
            <w:r>
              <w:rPr>
                <w:rFonts w:asciiTheme="majorBidi" w:hAnsiTheme="majorBidi" w:cstheme="majorBidi"/>
                <w:b/>
                <w:bCs/>
                <w:color w:val="FFFFFF"/>
                <w:sz w:val="18"/>
                <w:szCs w:val="18"/>
              </w:rPr>
              <w:t xml:space="preserve">Section and Topic </w:t>
            </w:r>
          </w:p>
        </w:tc>
        <w:tc>
          <w:tcPr>
            <w:tcW w:w="0" w:type="auto"/>
            <w:tcBorders>
              <w:top w:val="double" w:sz="5" w:space="0" w:color="000000"/>
              <w:left w:val="single" w:sz="5" w:space="0" w:color="000000"/>
              <w:bottom w:val="double" w:sz="2" w:space="0" w:color="FFFFCC"/>
              <w:right w:val="single" w:sz="5" w:space="0" w:color="000000"/>
            </w:tcBorders>
            <w:shd w:val="clear" w:color="auto" w:fill="63639A"/>
            <w:vAlign w:val="center"/>
          </w:tcPr>
          <w:p w14:paraId="7213CCAD" w14:textId="77777777" w:rsidR="00151A0F" w:rsidRPr="009C5AD2" w:rsidRDefault="00151A0F" w:rsidP="0054472A">
            <w:pPr>
              <w:pStyle w:val="Default"/>
              <w:rPr>
                <w:rFonts w:asciiTheme="majorBidi" w:hAnsiTheme="majorBidi" w:cstheme="majorBidi"/>
                <w:b/>
                <w:bCs/>
                <w:color w:val="FFFFFF"/>
                <w:sz w:val="18"/>
                <w:szCs w:val="18"/>
              </w:rPr>
            </w:pPr>
            <w:r>
              <w:rPr>
                <w:rFonts w:asciiTheme="majorBidi" w:hAnsiTheme="majorBidi" w:cstheme="majorBidi"/>
                <w:b/>
                <w:bCs/>
                <w:color w:val="FFFFFF"/>
                <w:sz w:val="18"/>
                <w:szCs w:val="18"/>
              </w:rPr>
              <w:t>Item #</w:t>
            </w:r>
          </w:p>
        </w:tc>
        <w:tc>
          <w:tcPr>
            <w:tcW w:w="0" w:type="auto"/>
            <w:tcBorders>
              <w:top w:val="double" w:sz="5" w:space="0" w:color="000000"/>
              <w:left w:val="single" w:sz="5" w:space="0" w:color="000000"/>
              <w:bottom w:val="double" w:sz="5" w:space="0" w:color="000000"/>
              <w:right w:val="single" w:sz="5" w:space="0" w:color="000000"/>
            </w:tcBorders>
            <w:shd w:val="clear" w:color="auto" w:fill="63639A"/>
            <w:vAlign w:val="center"/>
          </w:tcPr>
          <w:p w14:paraId="7CA001A1" w14:textId="77777777" w:rsidR="00151A0F" w:rsidRPr="009C5AD2" w:rsidRDefault="00151A0F" w:rsidP="0054472A">
            <w:pPr>
              <w:pStyle w:val="Default"/>
              <w:rPr>
                <w:rFonts w:asciiTheme="majorBidi" w:hAnsiTheme="majorBidi" w:cstheme="majorBidi"/>
                <w:color w:val="FFFFFF"/>
                <w:sz w:val="18"/>
                <w:szCs w:val="18"/>
              </w:rPr>
            </w:pPr>
            <w:r>
              <w:rPr>
                <w:rFonts w:asciiTheme="majorBidi" w:hAnsiTheme="majorBidi" w:cstheme="majorBidi"/>
                <w:b/>
                <w:bCs/>
                <w:color w:val="FFFFFF"/>
                <w:sz w:val="18"/>
                <w:szCs w:val="18"/>
              </w:rPr>
              <w:t xml:space="preserve">Checklist item </w:t>
            </w:r>
          </w:p>
        </w:tc>
        <w:tc>
          <w:tcPr>
            <w:tcW w:w="0" w:type="auto"/>
            <w:tcBorders>
              <w:top w:val="double" w:sz="5" w:space="0" w:color="000000"/>
              <w:left w:val="single" w:sz="5" w:space="0" w:color="000000"/>
              <w:bottom w:val="double" w:sz="5" w:space="0" w:color="000000"/>
              <w:right w:val="single" w:sz="5" w:space="0" w:color="000000"/>
            </w:tcBorders>
            <w:shd w:val="clear" w:color="auto" w:fill="63639A"/>
            <w:vAlign w:val="center"/>
          </w:tcPr>
          <w:p w14:paraId="216B7633" w14:textId="77777777" w:rsidR="00151A0F" w:rsidRPr="009C5AD2" w:rsidRDefault="00151A0F" w:rsidP="0054472A">
            <w:pPr>
              <w:pStyle w:val="Default"/>
              <w:rPr>
                <w:rFonts w:asciiTheme="majorBidi" w:hAnsiTheme="majorBidi" w:cstheme="majorBidi"/>
                <w:color w:val="FFFFFF"/>
                <w:sz w:val="18"/>
                <w:szCs w:val="18"/>
              </w:rPr>
            </w:pPr>
            <w:r>
              <w:rPr>
                <w:rFonts w:asciiTheme="majorBidi" w:hAnsiTheme="majorBidi" w:cstheme="majorBidi"/>
                <w:b/>
                <w:bCs/>
                <w:color w:val="FFFFFF"/>
                <w:sz w:val="18"/>
                <w:szCs w:val="18"/>
              </w:rPr>
              <w:t xml:space="preserve">Location where item is reported </w:t>
            </w:r>
          </w:p>
        </w:tc>
      </w:tr>
      <w:tr w:rsidR="00151A0F" w:rsidRPr="009C5AD2" w14:paraId="3BC05281" w14:textId="77777777" w:rsidTr="0054472A">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7966CA7" w14:textId="77777777" w:rsidR="00151A0F" w:rsidRPr="009C5AD2" w:rsidRDefault="00151A0F" w:rsidP="0054472A">
            <w:pPr>
              <w:pStyle w:val="Default"/>
              <w:rPr>
                <w:rFonts w:asciiTheme="majorBidi" w:hAnsiTheme="majorBidi" w:cstheme="majorBidi"/>
                <w:sz w:val="18"/>
                <w:szCs w:val="18"/>
              </w:rPr>
            </w:pPr>
            <w:r>
              <w:rPr>
                <w:rFonts w:asciiTheme="majorBidi" w:hAnsiTheme="majorBidi" w:cstheme="majorBidi"/>
                <w:b/>
                <w:bCs/>
                <w:sz w:val="18"/>
                <w:szCs w:val="18"/>
              </w:rPr>
              <w:t xml:space="preserve">TITLE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00D30DAD" w14:textId="77777777" w:rsidR="00151A0F" w:rsidRPr="009C5AD2" w:rsidRDefault="00151A0F" w:rsidP="0054472A">
            <w:pPr>
              <w:pStyle w:val="Default"/>
              <w:jc w:val="right"/>
              <w:rPr>
                <w:rFonts w:asciiTheme="majorBidi" w:hAnsiTheme="majorBidi" w:cstheme="majorBidi"/>
                <w:color w:val="auto"/>
                <w:sz w:val="18"/>
                <w:szCs w:val="18"/>
              </w:rPr>
            </w:pPr>
          </w:p>
        </w:tc>
      </w:tr>
      <w:tr w:rsidR="00151A0F" w:rsidRPr="009C5AD2" w14:paraId="75B3C161" w14:textId="77777777" w:rsidTr="0054472A">
        <w:trPr>
          <w:trHeight w:val="48"/>
        </w:trPr>
        <w:tc>
          <w:tcPr>
            <w:tcW w:w="0" w:type="auto"/>
            <w:tcBorders>
              <w:top w:val="single" w:sz="5" w:space="0" w:color="000000"/>
              <w:left w:val="single" w:sz="5" w:space="0" w:color="000000"/>
              <w:bottom w:val="double" w:sz="2" w:space="0" w:color="FFFFCC"/>
              <w:right w:val="single" w:sz="5" w:space="0" w:color="000000"/>
            </w:tcBorders>
          </w:tcPr>
          <w:p w14:paraId="5C2A0298"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Title </w:t>
            </w:r>
          </w:p>
        </w:tc>
        <w:tc>
          <w:tcPr>
            <w:tcW w:w="0" w:type="auto"/>
            <w:tcBorders>
              <w:top w:val="single" w:sz="5" w:space="0" w:color="000000"/>
              <w:left w:val="single" w:sz="5" w:space="0" w:color="000000"/>
              <w:bottom w:val="double" w:sz="2" w:space="0" w:color="FFFFCC"/>
              <w:right w:val="single" w:sz="5" w:space="0" w:color="000000"/>
            </w:tcBorders>
          </w:tcPr>
          <w:p w14:paraId="52B25D74"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w:t>
            </w:r>
          </w:p>
        </w:tc>
        <w:tc>
          <w:tcPr>
            <w:tcW w:w="0" w:type="auto"/>
            <w:tcBorders>
              <w:top w:val="single" w:sz="5" w:space="0" w:color="000000"/>
              <w:left w:val="single" w:sz="5" w:space="0" w:color="000000"/>
              <w:bottom w:val="double" w:sz="5" w:space="0" w:color="000000"/>
              <w:right w:val="single" w:sz="5" w:space="0" w:color="000000"/>
            </w:tcBorders>
          </w:tcPr>
          <w:p w14:paraId="1FB81BFC"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Identify the report as a systematic review.</w:t>
            </w:r>
          </w:p>
        </w:tc>
        <w:tc>
          <w:tcPr>
            <w:tcW w:w="0" w:type="auto"/>
            <w:tcBorders>
              <w:top w:val="single" w:sz="5" w:space="0" w:color="000000"/>
              <w:left w:val="single" w:sz="5" w:space="0" w:color="000000"/>
              <w:bottom w:val="double" w:sz="5" w:space="0" w:color="000000"/>
              <w:right w:val="single" w:sz="5" w:space="0" w:color="000000"/>
            </w:tcBorders>
          </w:tcPr>
          <w:p w14:paraId="75165B26" w14:textId="2FE2F1A7" w:rsidR="00151A0F" w:rsidRPr="009C5AD2" w:rsidRDefault="00C04240"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1</w:t>
            </w:r>
          </w:p>
        </w:tc>
      </w:tr>
      <w:tr w:rsidR="00151A0F" w:rsidRPr="009C5AD2" w14:paraId="4EA00186" w14:textId="77777777" w:rsidTr="0054472A">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C0E9AC1" w14:textId="77777777" w:rsidR="00151A0F" w:rsidRPr="009C5AD2" w:rsidRDefault="00151A0F" w:rsidP="0054472A">
            <w:pPr>
              <w:pStyle w:val="Default"/>
              <w:rPr>
                <w:rFonts w:asciiTheme="majorBidi" w:hAnsiTheme="majorBidi" w:cstheme="majorBidi"/>
                <w:sz w:val="18"/>
                <w:szCs w:val="18"/>
              </w:rPr>
            </w:pPr>
            <w:r>
              <w:rPr>
                <w:rFonts w:asciiTheme="majorBidi" w:hAnsiTheme="majorBidi" w:cstheme="majorBidi"/>
                <w:b/>
                <w:bCs/>
                <w:sz w:val="18"/>
                <w:szCs w:val="18"/>
              </w:rPr>
              <w:t xml:space="preserve">ABSTRACT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2753A2F9" w14:textId="77777777" w:rsidR="00151A0F" w:rsidRPr="009C5AD2" w:rsidRDefault="00151A0F" w:rsidP="0054472A">
            <w:pPr>
              <w:pStyle w:val="Default"/>
              <w:jc w:val="right"/>
              <w:rPr>
                <w:rFonts w:asciiTheme="majorBidi" w:hAnsiTheme="majorBidi" w:cstheme="majorBidi"/>
                <w:color w:val="auto"/>
                <w:sz w:val="18"/>
                <w:szCs w:val="18"/>
              </w:rPr>
            </w:pPr>
          </w:p>
        </w:tc>
      </w:tr>
      <w:tr w:rsidR="00151A0F" w:rsidRPr="009C5AD2" w14:paraId="6B8AF3B2" w14:textId="77777777" w:rsidTr="0054472A">
        <w:trPr>
          <w:trHeight w:val="48"/>
        </w:trPr>
        <w:tc>
          <w:tcPr>
            <w:tcW w:w="0" w:type="auto"/>
            <w:tcBorders>
              <w:top w:val="single" w:sz="5" w:space="0" w:color="000000"/>
              <w:left w:val="single" w:sz="5" w:space="0" w:color="000000"/>
              <w:bottom w:val="double" w:sz="2" w:space="0" w:color="FFFFCC"/>
              <w:right w:val="single" w:sz="5" w:space="0" w:color="000000"/>
            </w:tcBorders>
          </w:tcPr>
          <w:p w14:paraId="6B674E10"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Abstract </w:t>
            </w:r>
          </w:p>
        </w:tc>
        <w:tc>
          <w:tcPr>
            <w:tcW w:w="0" w:type="auto"/>
            <w:tcBorders>
              <w:top w:val="single" w:sz="5" w:space="0" w:color="000000"/>
              <w:left w:val="single" w:sz="5" w:space="0" w:color="000000"/>
              <w:bottom w:val="double" w:sz="2" w:space="0" w:color="FFFFCC"/>
              <w:right w:val="single" w:sz="5" w:space="0" w:color="000000"/>
            </w:tcBorders>
          </w:tcPr>
          <w:p w14:paraId="752ABA97"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w:t>
            </w:r>
          </w:p>
        </w:tc>
        <w:tc>
          <w:tcPr>
            <w:tcW w:w="0" w:type="auto"/>
            <w:tcBorders>
              <w:top w:val="single" w:sz="5" w:space="0" w:color="000000"/>
              <w:left w:val="single" w:sz="5" w:space="0" w:color="000000"/>
              <w:bottom w:val="double" w:sz="5" w:space="0" w:color="000000"/>
              <w:right w:val="single" w:sz="5" w:space="0" w:color="000000"/>
            </w:tcBorders>
          </w:tcPr>
          <w:p w14:paraId="03451996"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See the PRISMA 2020 for Abstracts checklist.</w:t>
            </w:r>
          </w:p>
        </w:tc>
        <w:tc>
          <w:tcPr>
            <w:tcW w:w="0" w:type="auto"/>
            <w:tcBorders>
              <w:top w:val="single" w:sz="5" w:space="0" w:color="000000"/>
              <w:left w:val="single" w:sz="5" w:space="0" w:color="000000"/>
              <w:bottom w:val="double" w:sz="5" w:space="0" w:color="000000"/>
              <w:right w:val="single" w:sz="5" w:space="0" w:color="000000"/>
            </w:tcBorders>
          </w:tcPr>
          <w:p w14:paraId="0CF3442C" w14:textId="51A9BB8D"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Supplementary Information A</w:t>
            </w:r>
          </w:p>
        </w:tc>
      </w:tr>
      <w:tr w:rsidR="00151A0F" w:rsidRPr="009C5AD2" w14:paraId="489A140F" w14:textId="77777777" w:rsidTr="0054472A">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CB3EED6" w14:textId="77777777" w:rsidR="00151A0F" w:rsidRPr="009C5AD2" w:rsidRDefault="00151A0F" w:rsidP="0054472A">
            <w:pPr>
              <w:pStyle w:val="Default"/>
              <w:rPr>
                <w:rFonts w:asciiTheme="majorBidi" w:hAnsiTheme="majorBidi" w:cstheme="majorBidi"/>
                <w:sz w:val="18"/>
                <w:szCs w:val="18"/>
              </w:rPr>
            </w:pPr>
            <w:r>
              <w:rPr>
                <w:rFonts w:asciiTheme="majorBidi" w:hAnsiTheme="majorBidi" w:cstheme="majorBidi"/>
                <w:b/>
                <w:bCs/>
                <w:sz w:val="18"/>
                <w:szCs w:val="18"/>
              </w:rPr>
              <w:t xml:space="preserve">INTRODUCTION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2DDE6A20" w14:textId="77777777" w:rsidR="00151A0F" w:rsidRPr="009C5AD2" w:rsidRDefault="00151A0F" w:rsidP="0054472A">
            <w:pPr>
              <w:pStyle w:val="Default"/>
              <w:jc w:val="right"/>
              <w:rPr>
                <w:rFonts w:asciiTheme="majorBidi" w:hAnsiTheme="majorBidi" w:cstheme="majorBidi"/>
                <w:color w:val="auto"/>
                <w:sz w:val="18"/>
                <w:szCs w:val="18"/>
              </w:rPr>
            </w:pPr>
          </w:p>
        </w:tc>
      </w:tr>
      <w:tr w:rsidR="00151A0F" w:rsidRPr="009C5AD2" w14:paraId="137A3168"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5A005365"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Rationale </w:t>
            </w:r>
          </w:p>
        </w:tc>
        <w:tc>
          <w:tcPr>
            <w:tcW w:w="0" w:type="auto"/>
            <w:tcBorders>
              <w:top w:val="single" w:sz="5" w:space="0" w:color="000000"/>
              <w:left w:val="single" w:sz="5" w:space="0" w:color="000000"/>
              <w:bottom w:val="single" w:sz="5" w:space="0" w:color="000000"/>
              <w:right w:val="single" w:sz="5" w:space="0" w:color="000000"/>
            </w:tcBorders>
          </w:tcPr>
          <w:p w14:paraId="598C42A0"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3</w:t>
            </w:r>
          </w:p>
        </w:tc>
        <w:tc>
          <w:tcPr>
            <w:tcW w:w="0" w:type="auto"/>
            <w:tcBorders>
              <w:top w:val="single" w:sz="5" w:space="0" w:color="000000"/>
              <w:left w:val="single" w:sz="5" w:space="0" w:color="000000"/>
              <w:bottom w:val="single" w:sz="5" w:space="0" w:color="000000"/>
              <w:right w:val="single" w:sz="5" w:space="0" w:color="000000"/>
            </w:tcBorders>
          </w:tcPr>
          <w:p w14:paraId="74E4D468"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the rationale for the review in the context of existing knowledge.</w:t>
            </w:r>
          </w:p>
        </w:tc>
        <w:tc>
          <w:tcPr>
            <w:tcW w:w="0" w:type="auto"/>
            <w:tcBorders>
              <w:top w:val="single" w:sz="5" w:space="0" w:color="000000"/>
              <w:left w:val="single" w:sz="5" w:space="0" w:color="000000"/>
              <w:bottom w:val="single" w:sz="5" w:space="0" w:color="000000"/>
              <w:right w:val="single" w:sz="5" w:space="0" w:color="000000"/>
            </w:tcBorders>
          </w:tcPr>
          <w:p w14:paraId="09B58349" w14:textId="778D003D"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Pg.1</w:t>
            </w:r>
          </w:p>
        </w:tc>
      </w:tr>
      <w:tr w:rsidR="00151A0F" w:rsidRPr="009C5AD2" w14:paraId="4E08630E" w14:textId="77777777" w:rsidTr="0054472A">
        <w:trPr>
          <w:trHeight w:val="48"/>
        </w:trPr>
        <w:tc>
          <w:tcPr>
            <w:tcW w:w="0" w:type="auto"/>
            <w:tcBorders>
              <w:top w:val="single" w:sz="5" w:space="0" w:color="000000"/>
              <w:left w:val="single" w:sz="5" w:space="0" w:color="000000"/>
              <w:bottom w:val="double" w:sz="2" w:space="0" w:color="FFFFCC"/>
              <w:right w:val="single" w:sz="5" w:space="0" w:color="000000"/>
            </w:tcBorders>
          </w:tcPr>
          <w:p w14:paraId="51C62ADD"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Objectives </w:t>
            </w:r>
          </w:p>
        </w:tc>
        <w:tc>
          <w:tcPr>
            <w:tcW w:w="0" w:type="auto"/>
            <w:tcBorders>
              <w:top w:val="single" w:sz="5" w:space="0" w:color="000000"/>
              <w:left w:val="single" w:sz="5" w:space="0" w:color="000000"/>
              <w:bottom w:val="double" w:sz="2" w:space="0" w:color="FFFFCC"/>
              <w:right w:val="single" w:sz="5" w:space="0" w:color="000000"/>
            </w:tcBorders>
          </w:tcPr>
          <w:p w14:paraId="3A673016"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4</w:t>
            </w:r>
          </w:p>
        </w:tc>
        <w:tc>
          <w:tcPr>
            <w:tcW w:w="0" w:type="auto"/>
            <w:tcBorders>
              <w:top w:val="single" w:sz="5" w:space="0" w:color="000000"/>
              <w:left w:val="single" w:sz="5" w:space="0" w:color="000000"/>
              <w:bottom w:val="double" w:sz="5" w:space="0" w:color="000000"/>
              <w:right w:val="single" w:sz="5" w:space="0" w:color="000000"/>
            </w:tcBorders>
          </w:tcPr>
          <w:p w14:paraId="23AC80A1"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Provide an explicit statement of the objective(s) or question(s) the review addresses.</w:t>
            </w:r>
          </w:p>
        </w:tc>
        <w:tc>
          <w:tcPr>
            <w:tcW w:w="0" w:type="auto"/>
            <w:tcBorders>
              <w:top w:val="single" w:sz="5" w:space="0" w:color="000000"/>
              <w:left w:val="single" w:sz="5" w:space="0" w:color="000000"/>
              <w:bottom w:val="double" w:sz="5" w:space="0" w:color="000000"/>
              <w:right w:val="single" w:sz="5" w:space="0" w:color="000000"/>
            </w:tcBorders>
          </w:tcPr>
          <w:p w14:paraId="2BCF62A7" w14:textId="774F1333"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2</w:t>
            </w:r>
          </w:p>
        </w:tc>
      </w:tr>
      <w:tr w:rsidR="00151A0F" w:rsidRPr="009C5AD2" w14:paraId="04E520AD" w14:textId="77777777" w:rsidTr="0054472A">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2CCE761" w14:textId="77777777" w:rsidR="00151A0F" w:rsidRPr="009C5AD2" w:rsidRDefault="00151A0F" w:rsidP="0054472A">
            <w:pPr>
              <w:pStyle w:val="Default"/>
              <w:rPr>
                <w:rFonts w:asciiTheme="majorBidi" w:hAnsiTheme="majorBidi" w:cstheme="majorBidi"/>
                <w:sz w:val="18"/>
                <w:szCs w:val="18"/>
              </w:rPr>
            </w:pPr>
            <w:r>
              <w:rPr>
                <w:rFonts w:asciiTheme="majorBidi" w:hAnsiTheme="majorBidi" w:cstheme="majorBidi"/>
                <w:b/>
                <w:bCs/>
                <w:sz w:val="18"/>
                <w:szCs w:val="18"/>
              </w:rPr>
              <w:t xml:space="preserve">METHODS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79D53F2A" w14:textId="77777777" w:rsidR="00151A0F" w:rsidRPr="009C5AD2" w:rsidRDefault="00151A0F" w:rsidP="0054472A">
            <w:pPr>
              <w:pStyle w:val="Default"/>
              <w:jc w:val="right"/>
              <w:rPr>
                <w:rFonts w:asciiTheme="majorBidi" w:hAnsiTheme="majorBidi" w:cstheme="majorBidi"/>
                <w:color w:val="auto"/>
                <w:sz w:val="18"/>
                <w:szCs w:val="18"/>
              </w:rPr>
            </w:pPr>
          </w:p>
        </w:tc>
      </w:tr>
      <w:tr w:rsidR="00151A0F" w:rsidRPr="009C5AD2" w14:paraId="3AFB60D5"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65234E68"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Eligibility criteria </w:t>
            </w:r>
          </w:p>
        </w:tc>
        <w:tc>
          <w:tcPr>
            <w:tcW w:w="0" w:type="auto"/>
            <w:tcBorders>
              <w:top w:val="single" w:sz="5" w:space="0" w:color="000000"/>
              <w:left w:val="single" w:sz="5" w:space="0" w:color="000000"/>
              <w:bottom w:val="single" w:sz="5" w:space="0" w:color="000000"/>
              <w:right w:val="single" w:sz="5" w:space="0" w:color="000000"/>
            </w:tcBorders>
          </w:tcPr>
          <w:p w14:paraId="1683E984"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5</w:t>
            </w:r>
          </w:p>
        </w:tc>
        <w:tc>
          <w:tcPr>
            <w:tcW w:w="0" w:type="auto"/>
            <w:tcBorders>
              <w:top w:val="single" w:sz="5" w:space="0" w:color="000000"/>
              <w:left w:val="single" w:sz="5" w:space="0" w:color="000000"/>
              <w:bottom w:val="single" w:sz="5" w:space="0" w:color="000000"/>
              <w:right w:val="single" w:sz="5" w:space="0" w:color="000000"/>
            </w:tcBorders>
          </w:tcPr>
          <w:p w14:paraId="5DA2187C"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Specify the inclusion and exclusion criteria for the review and how studies were grouped for the syntheses.</w:t>
            </w:r>
          </w:p>
        </w:tc>
        <w:tc>
          <w:tcPr>
            <w:tcW w:w="0" w:type="auto"/>
            <w:tcBorders>
              <w:top w:val="single" w:sz="5" w:space="0" w:color="000000"/>
              <w:left w:val="single" w:sz="5" w:space="0" w:color="000000"/>
              <w:bottom w:val="single" w:sz="5" w:space="0" w:color="000000"/>
              <w:right w:val="single" w:sz="5" w:space="0" w:color="000000"/>
            </w:tcBorders>
          </w:tcPr>
          <w:p w14:paraId="2E923B58" w14:textId="2FA09339"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3</w:t>
            </w:r>
          </w:p>
        </w:tc>
      </w:tr>
      <w:tr w:rsidR="00151A0F" w:rsidRPr="009C5AD2" w14:paraId="50C12E94" w14:textId="77777777" w:rsidTr="0054472A">
        <w:trPr>
          <w:trHeight w:val="191"/>
        </w:trPr>
        <w:tc>
          <w:tcPr>
            <w:tcW w:w="0" w:type="auto"/>
            <w:tcBorders>
              <w:top w:val="single" w:sz="5" w:space="0" w:color="000000"/>
              <w:left w:val="single" w:sz="5" w:space="0" w:color="000000"/>
              <w:bottom w:val="single" w:sz="5" w:space="0" w:color="000000"/>
              <w:right w:val="single" w:sz="5" w:space="0" w:color="000000"/>
            </w:tcBorders>
          </w:tcPr>
          <w:p w14:paraId="58BE9841"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Information sources </w:t>
            </w:r>
          </w:p>
        </w:tc>
        <w:tc>
          <w:tcPr>
            <w:tcW w:w="0" w:type="auto"/>
            <w:tcBorders>
              <w:top w:val="single" w:sz="5" w:space="0" w:color="000000"/>
              <w:left w:val="single" w:sz="5" w:space="0" w:color="000000"/>
              <w:bottom w:val="single" w:sz="5" w:space="0" w:color="000000"/>
              <w:right w:val="single" w:sz="5" w:space="0" w:color="000000"/>
            </w:tcBorders>
          </w:tcPr>
          <w:p w14:paraId="22E3DD64"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6</w:t>
            </w:r>
          </w:p>
        </w:tc>
        <w:tc>
          <w:tcPr>
            <w:tcW w:w="0" w:type="auto"/>
            <w:tcBorders>
              <w:top w:val="single" w:sz="5" w:space="0" w:color="000000"/>
              <w:left w:val="single" w:sz="5" w:space="0" w:color="000000"/>
              <w:bottom w:val="single" w:sz="5" w:space="0" w:color="000000"/>
              <w:right w:val="single" w:sz="5" w:space="0" w:color="000000"/>
            </w:tcBorders>
          </w:tcPr>
          <w:p w14:paraId="1AB10EC3"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Specify all databases, registers, websites, organizations, reference lists and other sources searched or consulted to identify studies. Specify the date when each source was last searched or consulted.</w:t>
            </w:r>
          </w:p>
        </w:tc>
        <w:tc>
          <w:tcPr>
            <w:tcW w:w="0" w:type="auto"/>
            <w:tcBorders>
              <w:top w:val="single" w:sz="5" w:space="0" w:color="000000"/>
              <w:left w:val="single" w:sz="5" w:space="0" w:color="000000"/>
              <w:bottom w:val="single" w:sz="5" w:space="0" w:color="000000"/>
              <w:right w:val="single" w:sz="5" w:space="0" w:color="000000"/>
            </w:tcBorders>
          </w:tcPr>
          <w:p w14:paraId="1590029E" w14:textId="3E3CC9C0"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3</w:t>
            </w:r>
          </w:p>
        </w:tc>
      </w:tr>
      <w:tr w:rsidR="00151A0F" w:rsidRPr="009C5AD2" w14:paraId="752D12C5"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1E24D309"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Search strategy</w:t>
            </w:r>
          </w:p>
        </w:tc>
        <w:tc>
          <w:tcPr>
            <w:tcW w:w="0" w:type="auto"/>
            <w:tcBorders>
              <w:top w:val="single" w:sz="5" w:space="0" w:color="000000"/>
              <w:left w:val="single" w:sz="5" w:space="0" w:color="000000"/>
              <w:bottom w:val="single" w:sz="5" w:space="0" w:color="000000"/>
              <w:right w:val="single" w:sz="5" w:space="0" w:color="000000"/>
            </w:tcBorders>
          </w:tcPr>
          <w:p w14:paraId="05C0CFFF"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7</w:t>
            </w:r>
          </w:p>
        </w:tc>
        <w:tc>
          <w:tcPr>
            <w:tcW w:w="0" w:type="auto"/>
            <w:tcBorders>
              <w:top w:val="single" w:sz="5" w:space="0" w:color="000000"/>
              <w:left w:val="single" w:sz="5" w:space="0" w:color="000000"/>
              <w:bottom w:val="single" w:sz="5" w:space="0" w:color="000000"/>
              <w:right w:val="single" w:sz="5" w:space="0" w:color="000000"/>
            </w:tcBorders>
          </w:tcPr>
          <w:p w14:paraId="50F8274D"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Present the full search strategies for all databases, registers and websites, including any filters and limits used.</w:t>
            </w:r>
          </w:p>
        </w:tc>
        <w:tc>
          <w:tcPr>
            <w:tcW w:w="0" w:type="auto"/>
            <w:tcBorders>
              <w:top w:val="single" w:sz="5" w:space="0" w:color="000000"/>
              <w:left w:val="single" w:sz="5" w:space="0" w:color="000000"/>
              <w:bottom w:val="single" w:sz="5" w:space="0" w:color="000000"/>
              <w:right w:val="single" w:sz="5" w:space="0" w:color="000000"/>
            </w:tcBorders>
          </w:tcPr>
          <w:p w14:paraId="5B08A19E" w14:textId="3D148EA3"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3</w:t>
            </w:r>
          </w:p>
        </w:tc>
      </w:tr>
      <w:tr w:rsidR="00151A0F" w:rsidRPr="009C5AD2" w14:paraId="23202112"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5D3610BE"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Selection process</w:t>
            </w:r>
          </w:p>
        </w:tc>
        <w:tc>
          <w:tcPr>
            <w:tcW w:w="0" w:type="auto"/>
            <w:tcBorders>
              <w:top w:val="single" w:sz="5" w:space="0" w:color="000000"/>
              <w:left w:val="single" w:sz="5" w:space="0" w:color="000000"/>
              <w:bottom w:val="single" w:sz="5" w:space="0" w:color="000000"/>
              <w:right w:val="single" w:sz="5" w:space="0" w:color="000000"/>
            </w:tcBorders>
          </w:tcPr>
          <w:p w14:paraId="7E2D288E"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8</w:t>
            </w:r>
          </w:p>
        </w:tc>
        <w:tc>
          <w:tcPr>
            <w:tcW w:w="0" w:type="auto"/>
            <w:tcBorders>
              <w:top w:val="single" w:sz="5" w:space="0" w:color="000000"/>
              <w:left w:val="single" w:sz="5" w:space="0" w:color="000000"/>
              <w:bottom w:val="single" w:sz="5" w:space="0" w:color="000000"/>
              <w:right w:val="single" w:sz="5" w:space="0" w:color="000000"/>
            </w:tcBorders>
          </w:tcPr>
          <w:p w14:paraId="2579C021"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0" w:type="auto"/>
            <w:tcBorders>
              <w:top w:val="single" w:sz="5" w:space="0" w:color="000000"/>
              <w:left w:val="single" w:sz="5" w:space="0" w:color="000000"/>
              <w:bottom w:val="single" w:sz="5" w:space="0" w:color="000000"/>
              <w:right w:val="single" w:sz="5" w:space="0" w:color="000000"/>
            </w:tcBorders>
          </w:tcPr>
          <w:p w14:paraId="4ACC853C" w14:textId="58B0CC6B"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4</w:t>
            </w:r>
          </w:p>
        </w:tc>
      </w:tr>
      <w:tr w:rsidR="00151A0F" w:rsidRPr="009C5AD2" w14:paraId="716AE281" w14:textId="77777777" w:rsidTr="0054472A">
        <w:trPr>
          <w:trHeight w:val="152"/>
        </w:trPr>
        <w:tc>
          <w:tcPr>
            <w:tcW w:w="0" w:type="auto"/>
            <w:tcBorders>
              <w:top w:val="single" w:sz="5" w:space="0" w:color="000000"/>
              <w:left w:val="single" w:sz="5" w:space="0" w:color="000000"/>
              <w:bottom w:val="single" w:sz="5" w:space="0" w:color="000000"/>
              <w:right w:val="single" w:sz="5" w:space="0" w:color="000000"/>
            </w:tcBorders>
          </w:tcPr>
          <w:p w14:paraId="22A173F3"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Data collection process </w:t>
            </w:r>
          </w:p>
        </w:tc>
        <w:tc>
          <w:tcPr>
            <w:tcW w:w="0" w:type="auto"/>
            <w:tcBorders>
              <w:top w:val="single" w:sz="5" w:space="0" w:color="000000"/>
              <w:left w:val="single" w:sz="5" w:space="0" w:color="000000"/>
              <w:bottom w:val="single" w:sz="5" w:space="0" w:color="000000"/>
              <w:right w:val="single" w:sz="5" w:space="0" w:color="000000"/>
            </w:tcBorders>
          </w:tcPr>
          <w:p w14:paraId="26EA04E6"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9</w:t>
            </w:r>
          </w:p>
        </w:tc>
        <w:tc>
          <w:tcPr>
            <w:tcW w:w="0" w:type="auto"/>
            <w:tcBorders>
              <w:top w:val="single" w:sz="5" w:space="0" w:color="000000"/>
              <w:left w:val="single" w:sz="5" w:space="0" w:color="000000"/>
              <w:bottom w:val="single" w:sz="5" w:space="0" w:color="000000"/>
              <w:right w:val="single" w:sz="5" w:space="0" w:color="000000"/>
            </w:tcBorders>
          </w:tcPr>
          <w:p w14:paraId="7ACABA4D"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0" w:type="auto"/>
            <w:tcBorders>
              <w:top w:val="single" w:sz="5" w:space="0" w:color="000000"/>
              <w:left w:val="single" w:sz="5" w:space="0" w:color="000000"/>
              <w:bottom w:val="single" w:sz="5" w:space="0" w:color="000000"/>
              <w:right w:val="single" w:sz="5" w:space="0" w:color="000000"/>
            </w:tcBorders>
          </w:tcPr>
          <w:p w14:paraId="4E5A1881" w14:textId="119F1079"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3</w:t>
            </w:r>
          </w:p>
        </w:tc>
      </w:tr>
      <w:tr w:rsidR="00151A0F" w:rsidRPr="009C5AD2" w14:paraId="1151B75E" w14:textId="77777777" w:rsidTr="0054472A">
        <w:trPr>
          <w:trHeight w:val="48"/>
        </w:trPr>
        <w:tc>
          <w:tcPr>
            <w:tcW w:w="0" w:type="auto"/>
            <w:vMerge w:val="restart"/>
            <w:tcBorders>
              <w:top w:val="single" w:sz="5" w:space="0" w:color="000000"/>
              <w:left w:val="single" w:sz="5" w:space="0" w:color="000000"/>
              <w:right w:val="single" w:sz="5" w:space="0" w:color="000000"/>
            </w:tcBorders>
          </w:tcPr>
          <w:p w14:paraId="2C80604E" w14:textId="77777777" w:rsidR="00151A0F" w:rsidRPr="009C5AD2" w:rsidRDefault="00151A0F" w:rsidP="0054472A">
            <w:pPr>
              <w:pStyle w:val="Default"/>
              <w:spacing w:before="40" w:after="40"/>
              <w:rPr>
                <w:rFonts w:asciiTheme="majorBidi" w:hAnsiTheme="majorBidi" w:cstheme="majorBidi"/>
                <w:sz w:val="18"/>
                <w:szCs w:val="18"/>
              </w:rPr>
            </w:pPr>
            <w:bookmarkStart w:id="0" w:name="_Hlk114432451"/>
            <w:r>
              <w:rPr>
                <w:rFonts w:asciiTheme="majorBidi" w:hAnsiTheme="majorBidi" w:cstheme="majorBidi"/>
                <w:sz w:val="18"/>
                <w:szCs w:val="18"/>
              </w:rPr>
              <w:t xml:space="preserve">Data items </w:t>
            </w:r>
          </w:p>
        </w:tc>
        <w:tc>
          <w:tcPr>
            <w:tcW w:w="0" w:type="auto"/>
            <w:tcBorders>
              <w:top w:val="single" w:sz="5" w:space="0" w:color="000000"/>
              <w:left w:val="single" w:sz="5" w:space="0" w:color="000000"/>
              <w:bottom w:val="single" w:sz="5" w:space="0" w:color="000000"/>
              <w:right w:val="single" w:sz="5" w:space="0" w:color="000000"/>
            </w:tcBorders>
          </w:tcPr>
          <w:p w14:paraId="53FB6A79"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10a</w:t>
            </w:r>
          </w:p>
        </w:tc>
        <w:tc>
          <w:tcPr>
            <w:tcW w:w="0" w:type="auto"/>
            <w:tcBorders>
              <w:top w:val="single" w:sz="5" w:space="0" w:color="000000"/>
              <w:left w:val="single" w:sz="5" w:space="0" w:color="000000"/>
              <w:bottom w:val="single" w:sz="5" w:space="0" w:color="000000"/>
              <w:right w:val="single" w:sz="5" w:space="0" w:color="000000"/>
            </w:tcBorders>
          </w:tcPr>
          <w:p w14:paraId="6F309180"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0" w:type="auto"/>
            <w:tcBorders>
              <w:top w:val="single" w:sz="5" w:space="0" w:color="000000"/>
              <w:left w:val="single" w:sz="5" w:space="0" w:color="000000"/>
              <w:bottom w:val="single" w:sz="5" w:space="0" w:color="000000"/>
              <w:right w:val="single" w:sz="5" w:space="0" w:color="000000"/>
            </w:tcBorders>
          </w:tcPr>
          <w:p w14:paraId="354ACAC5" w14:textId="3CB0EFDC" w:rsidR="00151A0F" w:rsidRPr="009C5AD2" w:rsidRDefault="009C5AD2" w:rsidP="0054472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3</w:t>
            </w:r>
          </w:p>
        </w:tc>
      </w:tr>
      <w:tr w:rsidR="00151A0F" w:rsidRPr="009C5AD2" w14:paraId="673D5CD2" w14:textId="77777777" w:rsidTr="0054472A">
        <w:trPr>
          <w:trHeight w:val="48"/>
        </w:trPr>
        <w:tc>
          <w:tcPr>
            <w:tcW w:w="0" w:type="auto"/>
            <w:vMerge/>
            <w:tcBorders>
              <w:left w:val="single" w:sz="5" w:space="0" w:color="000000"/>
              <w:bottom w:val="single" w:sz="5" w:space="0" w:color="000000"/>
              <w:right w:val="single" w:sz="5" w:space="0" w:color="000000"/>
            </w:tcBorders>
          </w:tcPr>
          <w:p w14:paraId="06F455C9" w14:textId="77777777" w:rsidR="00151A0F" w:rsidRPr="009C5AD2" w:rsidRDefault="00151A0F" w:rsidP="0054472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668BC22E"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10b</w:t>
            </w:r>
          </w:p>
        </w:tc>
        <w:tc>
          <w:tcPr>
            <w:tcW w:w="0" w:type="auto"/>
            <w:tcBorders>
              <w:top w:val="single" w:sz="5" w:space="0" w:color="000000"/>
              <w:left w:val="single" w:sz="5" w:space="0" w:color="000000"/>
              <w:bottom w:val="single" w:sz="5" w:space="0" w:color="000000"/>
              <w:right w:val="single" w:sz="5" w:space="0" w:color="000000"/>
            </w:tcBorders>
          </w:tcPr>
          <w:p w14:paraId="1AA54777"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List and define all other variables for which data were sought (e.g. participant and intervention characteristics, funding sources). Describe any assumptions made about any missing or unclear information.</w:t>
            </w:r>
          </w:p>
        </w:tc>
        <w:tc>
          <w:tcPr>
            <w:tcW w:w="0" w:type="auto"/>
            <w:tcBorders>
              <w:top w:val="single" w:sz="5" w:space="0" w:color="000000"/>
              <w:left w:val="single" w:sz="5" w:space="0" w:color="000000"/>
              <w:bottom w:val="single" w:sz="5" w:space="0" w:color="000000"/>
              <w:right w:val="single" w:sz="5" w:space="0" w:color="000000"/>
            </w:tcBorders>
          </w:tcPr>
          <w:p w14:paraId="51B35128" w14:textId="6AEEA535" w:rsidR="00151A0F" w:rsidRPr="009C5AD2" w:rsidRDefault="009C5AD2" w:rsidP="0054472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3</w:t>
            </w:r>
          </w:p>
        </w:tc>
      </w:tr>
      <w:bookmarkEnd w:id="0"/>
      <w:tr w:rsidR="00151A0F" w:rsidRPr="009C5AD2" w14:paraId="3AA0BFAC"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381ED6B5"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Study risk of bias assessment</w:t>
            </w:r>
          </w:p>
        </w:tc>
        <w:tc>
          <w:tcPr>
            <w:tcW w:w="0" w:type="auto"/>
            <w:tcBorders>
              <w:top w:val="single" w:sz="5" w:space="0" w:color="000000"/>
              <w:left w:val="single" w:sz="5" w:space="0" w:color="000000"/>
              <w:bottom w:val="single" w:sz="5" w:space="0" w:color="000000"/>
              <w:right w:val="single" w:sz="5" w:space="0" w:color="000000"/>
            </w:tcBorders>
          </w:tcPr>
          <w:p w14:paraId="121F9F3F"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11</w:t>
            </w:r>
          </w:p>
        </w:tc>
        <w:tc>
          <w:tcPr>
            <w:tcW w:w="0" w:type="auto"/>
            <w:tcBorders>
              <w:top w:val="single" w:sz="5" w:space="0" w:color="000000"/>
              <w:left w:val="single" w:sz="5" w:space="0" w:color="000000"/>
              <w:bottom w:val="single" w:sz="5" w:space="0" w:color="000000"/>
              <w:right w:val="single" w:sz="5" w:space="0" w:color="000000"/>
            </w:tcBorders>
          </w:tcPr>
          <w:p w14:paraId="622CDDEB"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0" w:type="auto"/>
            <w:tcBorders>
              <w:top w:val="single" w:sz="5" w:space="0" w:color="000000"/>
              <w:left w:val="single" w:sz="5" w:space="0" w:color="000000"/>
              <w:bottom w:val="single" w:sz="5" w:space="0" w:color="000000"/>
              <w:right w:val="single" w:sz="5" w:space="0" w:color="000000"/>
            </w:tcBorders>
          </w:tcPr>
          <w:p w14:paraId="6E4A7CC0" w14:textId="1E479F24" w:rsidR="00151A0F" w:rsidRPr="009C5AD2" w:rsidRDefault="009C5AD2"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4</w:t>
            </w:r>
          </w:p>
        </w:tc>
      </w:tr>
      <w:tr w:rsidR="00151A0F" w:rsidRPr="009C5AD2" w14:paraId="6B6E9617"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43E5EEF1"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lastRenderedPageBreak/>
              <w:t xml:space="preserve">Effect measures </w:t>
            </w:r>
          </w:p>
        </w:tc>
        <w:tc>
          <w:tcPr>
            <w:tcW w:w="0" w:type="auto"/>
            <w:tcBorders>
              <w:top w:val="single" w:sz="5" w:space="0" w:color="000000"/>
              <w:left w:val="single" w:sz="5" w:space="0" w:color="000000"/>
              <w:bottom w:val="single" w:sz="5" w:space="0" w:color="000000"/>
              <w:right w:val="single" w:sz="5" w:space="0" w:color="000000"/>
            </w:tcBorders>
          </w:tcPr>
          <w:p w14:paraId="670C7C00"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12</w:t>
            </w:r>
          </w:p>
        </w:tc>
        <w:tc>
          <w:tcPr>
            <w:tcW w:w="0" w:type="auto"/>
            <w:tcBorders>
              <w:top w:val="single" w:sz="5" w:space="0" w:color="000000"/>
              <w:left w:val="single" w:sz="5" w:space="0" w:color="000000"/>
              <w:bottom w:val="single" w:sz="5" w:space="0" w:color="000000"/>
              <w:right w:val="single" w:sz="5" w:space="0" w:color="000000"/>
            </w:tcBorders>
          </w:tcPr>
          <w:p w14:paraId="64FDEDC8"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Specify for each outcome the effect measure(s) (e.g. risk ratio, mean difference) used in the synthesis or presentation of results.</w:t>
            </w:r>
          </w:p>
        </w:tc>
        <w:tc>
          <w:tcPr>
            <w:tcW w:w="0" w:type="auto"/>
            <w:tcBorders>
              <w:top w:val="single" w:sz="5" w:space="0" w:color="000000"/>
              <w:left w:val="single" w:sz="5" w:space="0" w:color="000000"/>
              <w:bottom w:val="single" w:sz="5" w:space="0" w:color="000000"/>
              <w:right w:val="single" w:sz="5" w:space="0" w:color="000000"/>
            </w:tcBorders>
          </w:tcPr>
          <w:p w14:paraId="7C97ED11" w14:textId="46175DE0" w:rsidR="00151A0F" w:rsidRPr="009C5AD2" w:rsidRDefault="00802EC4"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4</w:t>
            </w:r>
          </w:p>
        </w:tc>
      </w:tr>
      <w:tr w:rsidR="00151A0F" w:rsidRPr="009C5AD2" w14:paraId="759C2276" w14:textId="77777777" w:rsidTr="0054472A">
        <w:trPr>
          <w:trHeight w:val="48"/>
        </w:trPr>
        <w:tc>
          <w:tcPr>
            <w:tcW w:w="0" w:type="auto"/>
            <w:vMerge w:val="restart"/>
            <w:tcBorders>
              <w:top w:val="single" w:sz="5" w:space="0" w:color="000000"/>
              <w:left w:val="single" w:sz="5" w:space="0" w:color="000000"/>
              <w:right w:val="single" w:sz="5" w:space="0" w:color="000000"/>
            </w:tcBorders>
          </w:tcPr>
          <w:p w14:paraId="0C80E65F"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Synthesis methods</w:t>
            </w:r>
          </w:p>
        </w:tc>
        <w:tc>
          <w:tcPr>
            <w:tcW w:w="0" w:type="auto"/>
            <w:tcBorders>
              <w:top w:val="single" w:sz="5" w:space="0" w:color="000000"/>
              <w:left w:val="single" w:sz="5" w:space="0" w:color="000000"/>
              <w:bottom w:val="single" w:sz="5" w:space="0" w:color="000000"/>
              <w:right w:val="single" w:sz="5" w:space="0" w:color="000000"/>
            </w:tcBorders>
          </w:tcPr>
          <w:p w14:paraId="48128149"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13a</w:t>
            </w:r>
          </w:p>
        </w:tc>
        <w:tc>
          <w:tcPr>
            <w:tcW w:w="0" w:type="auto"/>
            <w:tcBorders>
              <w:top w:val="single" w:sz="5" w:space="0" w:color="000000"/>
              <w:left w:val="single" w:sz="5" w:space="0" w:color="000000"/>
              <w:bottom w:val="single" w:sz="5" w:space="0" w:color="000000"/>
              <w:right w:val="single" w:sz="5" w:space="0" w:color="000000"/>
            </w:tcBorders>
          </w:tcPr>
          <w:p w14:paraId="08F69EE5"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the processes used to decide which studies were eligible for each synthesis (e.g. tabulating the study intervention characteristics and comparing against the planned groups for each synthesis (item #5)).</w:t>
            </w:r>
          </w:p>
        </w:tc>
        <w:tc>
          <w:tcPr>
            <w:tcW w:w="0" w:type="auto"/>
            <w:tcBorders>
              <w:top w:val="single" w:sz="5" w:space="0" w:color="000000"/>
              <w:left w:val="single" w:sz="5" w:space="0" w:color="000000"/>
              <w:bottom w:val="single" w:sz="5" w:space="0" w:color="000000"/>
              <w:right w:val="single" w:sz="5" w:space="0" w:color="000000"/>
            </w:tcBorders>
          </w:tcPr>
          <w:p w14:paraId="783A74B4" w14:textId="72339F4F" w:rsidR="00151A0F" w:rsidRPr="009C5AD2" w:rsidRDefault="00802EC4"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N/A</w:t>
            </w:r>
          </w:p>
        </w:tc>
      </w:tr>
      <w:tr w:rsidR="00151A0F" w:rsidRPr="009C5AD2" w14:paraId="02A7A017" w14:textId="77777777" w:rsidTr="0054472A">
        <w:trPr>
          <w:trHeight w:val="48"/>
        </w:trPr>
        <w:tc>
          <w:tcPr>
            <w:tcW w:w="0" w:type="auto"/>
            <w:vMerge/>
            <w:tcBorders>
              <w:left w:val="single" w:sz="5" w:space="0" w:color="000000"/>
              <w:right w:val="single" w:sz="5" w:space="0" w:color="000000"/>
            </w:tcBorders>
          </w:tcPr>
          <w:p w14:paraId="01E2F97D" w14:textId="77777777" w:rsidR="00151A0F" w:rsidRPr="009C5AD2" w:rsidRDefault="00151A0F" w:rsidP="0054472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7B89E42F"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13b</w:t>
            </w:r>
          </w:p>
        </w:tc>
        <w:tc>
          <w:tcPr>
            <w:tcW w:w="0" w:type="auto"/>
            <w:tcBorders>
              <w:top w:val="single" w:sz="5" w:space="0" w:color="000000"/>
              <w:left w:val="single" w:sz="5" w:space="0" w:color="000000"/>
              <w:bottom w:val="single" w:sz="5" w:space="0" w:color="000000"/>
              <w:right w:val="single" w:sz="5" w:space="0" w:color="000000"/>
            </w:tcBorders>
          </w:tcPr>
          <w:p w14:paraId="7403CC9E"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any methods required to prepare the data for presentation or synthesis, such as handling of missing summary statistics, or data conversions.</w:t>
            </w:r>
          </w:p>
        </w:tc>
        <w:tc>
          <w:tcPr>
            <w:tcW w:w="0" w:type="auto"/>
            <w:tcBorders>
              <w:top w:val="single" w:sz="5" w:space="0" w:color="000000"/>
              <w:left w:val="single" w:sz="5" w:space="0" w:color="000000"/>
              <w:bottom w:val="single" w:sz="5" w:space="0" w:color="000000"/>
              <w:right w:val="single" w:sz="5" w:space="0" w:color="000000"/>
            </w:tcBorders>
          </w:tcPr>
          <w:p w14:paraId="50CDCFBF" w14:textId="5B237DF8" w:rsidR="00151A0F" w:rsidRPr="009C5AD2" w:rsidRDefault="00802EC4"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4</w:t>
            </w:r>
          </w:p>
        </w:tc>
      </w:tr>
      <w:tr w:rsidR="00151A0F" w:rsidRPr="009C5AD2" w14:paraId="2C37A44B" w14:textId="77777777" w:rsidTr="0054472A">
        <w:trPr>
          <w:trHeight w:val="48"/>
        </w:trPr>
        <w:tc>
          <w:tcPr>
            <w:tcW w:w="0" w:type="auto"/>
            <w:vMerge/>
            <w:tcBorders>
              <w:left w:val="single" w:sz="5" w:space="0" w:color="000000"/>
              <w:right w:val="single" w:sz="5" w:space="0" w:color="000000"/>
            </w:tcBorders>
          </w:tcPr>
          <w:p w14:paraId="73B553B1" w14:textId="77777777" w:rsidR="00151A0F" w:rsidRPr="009C5AD2" w:rsidRDefault="00151A0F" w:rsidP="0054472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0E589622"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13c</w:t>
            </w:r>
          </w:p>
        </w:tc>
        <w:tc>
          <w:tcPr>
            <w:tcW w:w="0" w:type="auto"/>
            <w:tcBorders>
              <w:top w:val="single" w:sz="5" w:space="0" w:color="000000"/>
              <w:left w:val="single" w:sz="5" w:space="0" w:color="000000"/>
              <w:bottom w:val="single" w:sz="5" w:space="0" w:color="000000"/>
              <w:right w:val="single" w:sz="5" w:space="0" w:color="000000"/>
            </w:tcBorders>
          </w:tcPr>
          <w:p w14:paraId="77843EE2"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any methods used to tabulate or visually display results of individual studies and syntheses.</w:t>
            </w:r>
          </w:p>
        </w:tc>
        <w:tc>
          <w:tcPr>
            <w:tcW w:w="0" w:type="auto"/>
            <w:tcBorders>
              <w:top w:val="single" w:sz="5" w:space="0" w:color="000000"/>
              <w:left w:val="single" w:sz="5" w:space="0" w:color="000000"/>
              <w:bottom w:val="single" w:sz="5" w:space="0" w:color="000000"/>
              <w:right w:val="single" w:sz="5" w:space="0" w:color="000000"/>
            </w:tcBorders>
          </w:tcPr>
          <w:p w14:paraId="276D6E92" w14:textId="59658619" w:rsidR="00151A0F" w:rsidRPr="009C5AD2" w:rsidRDefault="00802EC4"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4</w:t>
            </w:r>
          </w:p>
        </w:tc>
      </w:tr>
      <w:tr w:rsidR="00151A0F" w:rsidRPr="009C5AD2" w14:paraId="77E872E9" w14:textId="77777777" w:rsidTr="0054472A">
        <w:trPr>
          <w:trHeight w:val="48"/>
        </w:trPr>
        <w:tc>
          <w:tcPr>
            <w:tcW w:w="0" w:type="auto"/>
            <w:vMerge/>
            <w:tcBorders>
              <w:left w:val="single" w:sz="5" w:space="0" w:color="000000"/>
              <w:right w:val="single" w:sz="5" w:space="0" w:color="000000"/>
            </w:tcBorders>
          </w:tcPr>
          <w:p w14:paraId="6DA68F22" w14:textId="77777777" w:rsidR="00151A0F" w:rsidRPr="009C5AD2" w:rsidRDefault="00151A0F" w:rsidP="0054472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29CE0CE7"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13d</w:t>
            </w:r>
          </w:p>
        </w:tc>
        <w:tc>
          <w:tcPr>
            <w:tcW w:w="0" w:type="auto"/>
            <w:tcBorders>
              <w:top w:val="single" w:sz="5" w:space="0" w:color="000000"/>
              <w:left w:val="single" w:sz="5" w:space="0" w:color="000000"/>
              <w:bottom w:val="single" w:sz="5" w:space="0" w:color="000000"/>
              <w:right w:val="single" w:sz="5" w:space="0" w:color="000000"/>
            </w:tcBorders>
          </w:tcPr>
          <w:p w14:paraId="60D1D601"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0" w:type="auto"/>
            <w:tcBorders>
              <w:top w:val="single" w:sz="5" w:space="0" w:color="000000"/>
              <w:left w:val="single" w:sz="5" w:space="0" w:color="000000"/>
              <w:bottom w:val="single" w:sz="5" w:space="0" w:color="000000"/>
              <w:right w:val="single" w:sz="5" w:space="0" w:color="000000"/>
            </w:tcBorders>
          </w:tcPr>
          <w:p w14:paraId="6D0BC744" w14:textId="042E87A0" w:rsidR="00151A0F" w:rsidRPr="009C5AD2" w:rsidRDefault="00802EC4"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4</w:t>
            </w:r>
          </w:p>
        </w:tc>
      </w:tr>
      <w:tr w:rsidR="00151A0F" w:rsidRPr="009C5AD2" w14:paraId="5442D595" w14:textId="77777777" w:rsidTr="0054472A">
        <w:trPr>
          <w:trHeight w:val="48"/>
        </w:trPr>
        <w:tc>
          <w:tcPr>
            <w:tcW w:w="0" w:type="auto"/>
            <w:vMerge/>
            <w:tcBorders>
              <w:left w:val="single" w:sz="5" w:space="0" w:color="000000"/>
              <w:right w:val="single" w:sz="5" w:space="0" w:color="000000"/>
            </w:tcBorders>
          </w:tcPr>
          <w:p w14:paraId="2B8D548C" w14:textId="77777777" w:rsidR="00151A0F" w:rsidRPr="009C5AD2" w:rsidRDefault="00151A0F" w:rsidP="0054472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67F15B18"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13e</w:t>
            </w:r>
          </w:p>
        </w:tc>
        <w:tc>
          <w:tcPr>
            <w:tcW w:w="0" w:type="auto"/>
            <w:tcBorders>
              <w:top w:val="single" w:sz="5" w:space="0" w:color="000000"/>
              <w:left w:val="single" w:sz="5" w:space="0" w:color="000000"/>
              <w:bottom w:val="single" w:sz="5" w:space="0" w:color="000000"/>
              <w:right w:val="single" w:sz="5" w:space="0" w:color="000000"/>
            </w:tcBorders>
          </w:tcPr>
          <w:p w14:paraId="31409890"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any methods used to explore possible causes of heterogeneity among study results (e.g. subgroup analysis, meta-regression).</w:t>
            </w:r>
          </w:p>
        </w:tc>
        <w:tc>
          <w:tcPr>
            <w:tcW w:w="0" w:type="auto"/>
            <w:tcBorders>
              <w:top w:val="single" w:sz="5" w:space="0" w:color="000000"/>
              <w:left w:val="single" w:sz="5" w:space="0" w:color="000000"/>
              <w:bottom w:val="single" w:sz="5" w:space="0" w:color="000000"/>
              <w:right w:val="single" w:sz="5" w:space="0" w:color="000000"/>
            </w:tcBorders>
          </w:tcPr>
          <w:p w14:paraId="162994EC" w14:textId="7AC6DBFA" w:rsidR="00151A0F" w:rsidRPr="009C5AD2" w:rsidRDefault="00802EC4" w:rsidP="0054472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4</w:t>
            </w:r>
          </w:p>
        </w:tc>
      </w:tr>
      <w:tr w:rsidR="00151A0F" w:rsidRPr="009C5AD2" w14:paraId="7E824E87" w14:textId="77777777" w:rsidTr="0054472A">
        <w:trPr>
          <w:trHeight w:val="50"/>
        </w:trPr>
        <w:tc>
          <w:tcPr>
            <w:tcW w:w="0" w:type="auto"/>
            <w:vMerge/>
            <w:tcBorders>
              <w:left w:val="single" w:sz="5" w:space="0" w:color="000000"/>
              <w:bottom w:val="single" w:sz="5" w:space="0" w:color="000000"/>
              <w:right w:val="single" w:sz="5" w:space="0" w:color="000000"/>
            </w:tcBorders>
          </w:tcPr>
          <w:p w14:paraId="2308A9A5" w14:textId="77777777" w:rsidR="00151A0F" w:rsidRPr="009C5AD2" w:rsidRDefault="00151A0F" w:rsidP="0054472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1E60E3BA"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13f</w:t>
            </w:r>
          </w:p>
        </w:tc>
        <w:tc>
          <w:tcPr>
            <w:tcW w:w="0" w:type="auto"/>
            <w:tcBorders>
              <w:top w:val="single" w:sz="5" w:space="0" w:color="000000"/>
              <w:left w:val="single" w:sz="5" w:space="0" w:color="000000"/>
              <w:bottom w:val="single" w:sz="5" w:space="0" w:color="000000"/>
              <w:right w:val="single" w:sz="5" w:space="0" w:color="000000"/>
            </w:tcBorders>
          </w:tcPr>
          <w:p w14:paraId="060D26AC"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any sensitivity analyses conducted to assess robustness of the synthesized results.</w:t>
            </w:r>
          </w:p>
        </w:tc>
        <w:tc>
          <w:tcPr>
            <w:tcW w:w="0" w:type="auto"/>
            <w:tcBorders>
              <w:top w:val="single" w:sz="5" w:space="0" w:color="000000"/>
              <w:left w:val="single" w:sz="5" w:space="0" w:color="000000"/>
              <w:bottom w:val="single" w:sz="5" w:space="0" w:color="000000"/>
              <w:right w:val="single" w:sz="5" w:space="0" w:color="000000"/>
            </w:tcBorders>
          </w:tcPr>
          <w:p w14:paraId="41914EA1" w14:textId="6AD92D78" w:rsidR="00151A0F" w:rsidRPr="009C5AD2" w:rsidRDefault="00802EC4"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N/A</w:t>
            </w:r>
          </w:p>
        </w:tc>
      </w:tr>
      <w:tr w:rsidR="00151A0F" w:rsidRPr="009C5AD2" w14:paraId="59185D7F"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680B7B4A"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Reporting bias assessment</w:t>
            </w:r>
          </w:p>
        </w:tc>
        <w:tc>
          <w:tcPr>
            <w:tcW w:w="0" w:type="auto"/>
            <w:tcBorders>
              <w:top w:val="single" w:sz="5" w:space="0" w:color="000000"/>
              <w:left w:val="single" w:sz="5" w:space="0" w:color="000000"/>
              <w:bottom w:val="single" w:sz="5" w:space="0" w:color="000000"/>
              <w:right w:val="single" w:sz="5" w:space="0" w:color="000000"/>
            </w:tcBorders>
          </w:tcPr>
          <w:p w14:paraId="1B85B59A"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14</w:t>
            </w:r>
          </w:p>
        </w:tc>
        <w:tc>
          <w:tcPr>
            <w:tcW w:w="0" w:type="auto"/>
            <w:tcBorders>
              <w:top w:val="single" w:sz="5" w:space="0" w:color="000000"/>
              <w:left w:val="single" w:sz="5" w:space="0" w:color="000000"/>
              <w:bottom w:val="single" w:sz="5" w:space="0" w:color="000000"/>
              <w:right w:val="single" w:sz="5" w:space="0" w:color="000000"/>
            </w:tcBorders>
          </w:tcPr>
          <w:p w14:paraId="7394A81D"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any methods used to assess risk of bias due to missing results in a synthesis (arising from reporting biases).</w:t>
            </w:r>
          </w:p>
        </w:tc>
        <w:tc>
          <w:tcPr>
            <w:tcW w:w="0" w:type="auto"/>
            <w:tcBorders>
              <w:top w:val="single" w:sz="5" w:space="0" w:color="000000"/>
              <w:left w:val="single" w:sz="5" w:space="0" w:color="000000"/>
              <w:bottom w:val="single" w:sz="5" w:space="0" w:color="000000"/>
              <w:right w:val="single" w:sz="5" w:space="0" w:color="000000"/>
            </w:tcBorders>
          </w:tcPr>
          <w:p w14:paraId="29025234" w14:textId="0AE96D60" w:rsidR="00151A0F" w:rsidRPr="009C5AD2" w:rsidRDefault="0054465A" w:rsidP="0054472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3</w:t>
            </w:r>
          </w:p>
        </w:tc>
      </w:tr>
      <w:tr w:rsidR="00151A0F" w:rsidRPr="009C5AD2" w14:paraId="7C85AFA4"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16C7AB5A"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Certainty assessment</w:t>
            </w:r>
          </w:p>
        </w:tc>
        <w:tc>
          <w:tcPr>
            <w:tcW w:w="0" w:type="auto"/>
            <w:tcBorders>
              <w:top w:val="single" w:sz="5" w:space="0" w:color="000000"/>
              <w:left w:val="single" w:sz="5" w:space="0" w:color="000000"/>
              <w:bottom w:val="single" w:sz="5" w:space="0" w:color="000000"/>
              <w:right w:val="single" w:sz="5" w:space="0" w:color="000000"/>
            </w:tcBorders>
          </w:tcPr>
          <w:p w14:paraId="050569D9" w14:textId="77777777" w:rsidR="00151A0F" w:rsidRPr="009C5AD2" w:rsidRDefault="00151A0F" w:rsidP="0054472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15</w:t>
            </w:r>
          </w:p>
        </w:tc>
        <w:tc>
          <w:tcPr>
            <w:tcW w:w="0" w:type="auto"/>
            <w:tcBorders>
              <w:top w:val="single" w:sz="5" w:space="0" w:color="000000"/>
              <w:left w:val="single" w:sz="5" w:space="0" w:color="000000"/>
              <w:bottom w:val="single" w:sz="5" w:space="0" w:color="000000"/>
              <w:right w:val="single" w:sz="5" w:space="0" w:color="000000"/>
            </w:tcBorders>
          </w:tcPr>
          <w:p w14:paraId="3BBA6E9E" w14:textId="77777777" w:rsidR="00151A0F" w:rsidRPr="009C5AD2" w:rsidRDefault="00151A0F" w:rsidP="0054472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any methods used to assess certainty (or confidence) in the body of evidence for an outcome.</w:t>
            </w:r>
          </w:p>
        </w:tc>
        <w:tc>
          <w:tcPr>
            <w:tcW w:w="0" w:type="auto"/>
            <w:tcBorders>
              <w:top w:val="single" w:sz="5" w:space="0" w:color="000000"/>
              <w:left w:val="single" w:sz="5" w:space="0" w:color="000000"/>
              <w:bottom w:val="single" w:sz="5" w:space="0" w:color="000000"/>
              <w:right w:val="single" w:sz="5" w:space="0" w:color="000000"/>
            </w:tcBorders>
          </w:tcPr>
          <w:p w14:paraId="7A32737E" w14:textId="3815B0B3" w:rsidR="00151A0F" w:rsidRPr="009C5AD2" w:rsidRDefault="0054465A" w:rsidP="0054472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w:t>
            </w:r>
            <w:r>
              <w:rPr>
                <w:rFonts w:asciiTheme="majorBidi" w:hAnsiTheme="majorBidi" w:cstheme="majorBidi"/>
                <w:color w:val="auto"/>
                <w:sz w:val="18"/>
                <w:szCs w:val="18"/>
                <w:lang w:eastAsia="zh-CN"/>
              </w:rPr>
              <w:t>3</w:t>
            </w:r>
          </w:p>
        </w:tc>
      </w:tr>
      <w:tr w:rsidR="00151A0F" w:rsidRPr="009C5AD2" w14:paraId="54659A66" w14:textId="77777777" w:rsidTr="0054472A">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FB024FC" w14:textId="77777777" w:rsidR="00151A0F" w:rsidRPr="009C5AD2" w:rsidRDefault="00151A0F" w:rsidP="0054472A">
            <w:pPr>
              <w:pStyle w:val="Default"/>
              <w:rPr>
                <w:rFonts w:asciiTheme="majorBidi" w:hAnsiTheme="majorBidi" w:cstheme="majorBidi"/>
                <w:sz w:val="18"/>
                <w:szCs w:val="18"/>
              </w:rPr>
            </w:pPr>
            <w:r>
              <w:rPr>
                <w:rFonts w:asciiTheme="majorBidi" w:hAnsiTheme="majorBidi" w:cstheme="majorBidi"/>
                <w:b/>
                <w:bCs/>
                <w:sz w:val="18"/>
                <w:szCs w:val="18"/>
              </w:rPr>
              <w:t xml:space="preserve">RESULTS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13879B83" w14:textId="77777777" w:rsidR="00151A0F" w:rsidRPr="009C5AD2" w:rsidRDefault="00151A0F" w:rsidP="0054472A">
            <w:pPr>
              <w:pStyle w:val="Default"/>
              <w:jc w:val="center"/>
              <w:rPr>
                <w:rFonts w:asciiTheme="majorBidi" w:hAnsiTheme="majorBidi" w:cstheme="majorBidi"/>
                <w:color w:val="auto"/>
                <w:sz w:val="18"/>
                <w:szCs w:val="18"/>
              </w:rPr>
            </w:pPr>
          </w:p>
        </w:tc>
      </w:tr>
      <w:tr w:rsidR="0054465A" w:rsidRPr="009C5AD2" w14:paraId="7CF79DCF" w14:textId="77777777" w:rsidTr="0054472A">
        <w:trPr>
          <w:trHeight w:val="48"/>
        </w:trPr>
        <w:tc>
          <w:tcPr>
            <w:tcW w:w="0" w:type="auto"/>
            <w:vMerge w:val="restart"/>
            <w:tcBorders>
              <w:top w:val="single" w:sz="5" w:space="0" w:color="000000"/>
              <w:left w:val="single" w:sz="5" w:space="0" w:color="000000"/>
              <w:right w:val="single" w:sz="5" w:space="0" w:color="000000"/>
            </w:tcBorders>
          </w:tcPr>
          <w:p w14:paraId="58E12288"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Study selection </w:t>
            </w:r>
          </w:p>
        </w:tc>
        <w:tc>
          <w:tcPr>
            <w:tcW w:w="0" w:type="auto"/>
            <w:tcBorders>
              <w:top w:val="single" w:sz="5" w:space="0" w:color="000000"/>
              <w:left w:val="single" w:sz="5" w:space="0" w:color="000000"/>
              <w:bottom w:val="single" w:sz="5" w:space="0" w:color="000000"/>
              <w:right w:val="single" w:sz="5" w:space="0" w:color="000000"/>
            </w:tcBorders>
          </w:tcPr>
          <w:p w14:paraId="4FF68F53"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16a</w:t>
            </w:r>
          </w:p>
        </w:tc>
        <w:tc>
          <w:tcPr>
            <w:tcW w:w="0" w:type="auto"/>
            <w:tcBorders>
              <w:top w:val="single" w:sz="5" w:space="0" w:color="000000"/>
              <w:left w:val="single" w:sz="5" w:space="0" w:color="000000"/>
              <w:bottom w:val="single" w:sz="5" w:space="0" w:color="000000"/>
              <w:right w:val="single" w:sz="5" w:space="0" w:color="000000"/>
            </w:tcBorders>
          </w:tcPr>
          <w:p w14:paraId="40E54DC7"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Describe the results of the search and selection process, from the number of records identified in the search to the number of studies included in the review, ideally using a flow diagram.</w:t>
            </w:r>
          </w:p>
        </w:tc>
        <w:tc>
          <w:tcPr>
            <w:tcW w:w="0" w:type="auto"/>
            <w:tcBorders>
              <w:top w:val="single" w:sz="5" w:space="0" w:color="000000"/>
              <w:left w:val="single" w:sz="5" w:space="0" w:color="000000"/>
              <w:bottom w:val="single" w:sz="5" w:space="0" w:color="000000"/>
              <w:right w:val="single" w:sz="5" w:space="0" w:color="000000"/>
            </w:tcBorders>
          </w:tcPr>
          <w:p w14:paraId="37E590FA" w14:textId="44209D9D" w:rsidR="0054465A" w:rsidRPr="009C5AD2" w:rsidRDefault="0054465A"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4</w:t>
            </w:r>
          </w:p>
        </w:tc>
      </w:tr>
      <w:tr w:rsidR="0054465A" w:rsidRPr="009C5AD2" w14:paraId="4547DF04" w14:textId="77777777" w:rsidTr="0054472A">
        <w:trPr>
          <w:trHeight w:val="48"/>
        </w:trPr>
        <w:tc>
          <w:tcPr>
            <w:tcW w:w="0" w:type="auto"/>
            <w:vMerge/>
            <w:tcBorders>
              <w:left w:val="single" w:sz="5" w:space="0" w:color="000000"/>
              <w:bottom w:val="single" w:sz="5" w:space="0" w:color="000000"/>
              <w:right w:val="single" w:sz="5" w:space="0" w:color="000000"/>
            </w:tcBorders>
          </w:tcPr>
          <w:p w14:paraId="426E09FB"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1281BEB9"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16b</w:t>
            </w:r>
          </w:p>
        </w:tc>
        <w:tc>
          <w:tcPr>
            <w:tcW w:w="0" w:type="auto"/>
            <w:tcBorders>
              <w:top w:val="single" w:sz="5" w:space="0" w:color="000000"/>
              <w:left w:val="single" w:sz="5" w:space="0" w:color="000000"/>
              <w:bottom w:val="single" w:sz="5" w:space="0" w:color="000000"/>
              <w:right w:val="single" w:sz="5" w:space="0" w:color="000000"/>
            </w:tcBorders>
          </w:tcPr>
          <w:p w14:paraId="167E7F33"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Cite studies that might appear to meet the inclusion criteria, but which were excluded, and explain why they were excluded.</w:t>
            </w:r>
          </w:p>
        </w:tc>
        <w:tc>
          <w:tcPr>
            <w:tcW w:w="0" w:type="auto"/>
            <w:tcBorders>
              <w:top w:val="single" w:sz="5" w:space="0" w:color="000000"/>
              <w:left w:val="single" w:sz="5" w:space="0" w:color="000000"/>
              <w:bottom w:val="single" w:sz="5" w:space="0" w:color="000000"/>
              <w:right w:val="single" w:sz="5" w:space="0" w:color="000000"/>
            </w:tcBorders>
          </w:tcPr>
          <w:p w14:paraId="0DE27FA7" w14:textId="272A1B9D" w:rsidR="0054465A" w:rsidRPr="009C5AD2" w:rsidRDefault="0054465A"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5</w:t>
            </w:r>
          </w:p>
        </w:tc>
      </w:tr>
      <w:tr w:rsidR="0054465A" w:rsidRPr="009C5AD2" w14:paraId="69FA38B3" w14:textId="77777777" w:rsidTr="0054472A">
        <w:trPr>
          <w:trHeight w:val="103"/>
        </w:trPr>
        <w:tc>
          <w:tcPr>
            <w:tcW w:w="0" w:type="auto"/>
            <w:tcBorders>
              <w:top w:val="single" w:sz="5" w:space="0" w:color="000000"/>
              <w:left w:val="single" w:sz="5" w:space="0" w:color="000000"/>
              <w:bottom w:val="single" w:sz="5" w:space="0" w:color="000000"/>
              <w:right w:val="single" w:sz="5" w:space="0" w:color="000000"/>
            </w:tcBorders>
          </w:tcPr>
          <w:p w14:paraId="714382E1"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Study characteristics </w:t>
            </w:r>
          </w:p>
        </w:tc>
        <w:tc>
          <w:tcPr>
            <w:tcW w:w="0" w:type="auto"/>
            <w:tcBorders>
              <w:top w:val="single" w:sz="5" w:space="0" w:color="000000"/>
              <w:left w:val="single" w:sz="5" w:space="0" w:color="000000"/>
              <w:bottom w:val="single" w:sz="5" w:space="0" w:color="000000"/>
              <w:right w:val="single" w:sz="5" w:space="0" w:color="000000"/>
            </w:tcBorders>
          </w:tcPr>
          <w:p w14:paraId="4600D731"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17</w:t>
            </w:r>
          </w:p>
        </w:tc>
        <w:tc>
          <w:tcPr>
            <w:tcW w:w="0" w:type="auto"/>
            <w:tcBorders>
              <w:top w:val="single" w:sz="5" w:space="0" w:color="000000"/>
              <w:left w:val="single" w:sz="5" w:space="0" w:color="000000"/>
              <w:bottom w:val="single" w:sz="5" w:space="0" w:color="000000"/>
              <w:right w:val="single" w:sz="5" w:space="0" w:color="000000"/>
            </w:tcBorders>
          </w:tcPr>
          <w:p w14:paraId="294C4A8B"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Cite each included study and present its characteristics.</w:t>
            </w:r>
          </w:p>
        </w:tc>
        <w:tc>
          <w:tcPr>
            <w:tcW w:w="0" w:type="auto"/>
            <w:tcBorders>
              <w:top w:val="single" w:sz="5" w:space="0" w:color="000000"/>
              <w:left w:val="single" w:sz="5" w:space="0" w:color="000000"/>
              <w:bottom w:val="single" w:sz="5" w:space="0" w:color="000000"/>
              <w:right w:val="single" w:sz="5" w:space="0" w:color="000000"/>
            </w:tcBorders>
          </w:tcPr>
          <w:p w14:paraId="6ED484DE" w14:textId="386A1E92" w:rsidR="0054465A" w:rsidRPr="0054465A" w:rsidRDefault="0054465A" w:rsidP="0054465A">
            <w:pPr>
              <w:pStyle w:val="Default"/>
              <w:spacing w:before="40" w:after="40"/>
              <w:rPr>
                <w:rFonts w:asciiTheme="majorBidi" w:hAnsiTheme="majorBidi" w:cstheme="majorBidi"/>
                <w:b/>
                <w:bCs/>
                <w:color w:val="auto"/>
                <w:sz w:val="18"/>
                <w:szCs w:val="18"/>
                <w:lang w:eastAsia="zh-CN"/>
              </w:rPr>
            </w:pPr>
            <w:r>
              <w:rPr>
                <w:rFonts w:asciiTheme="majorBidi" w:hAnsiTheme="majorBidi" w:cstheme="majorBidi"/>
                <w:color w:val="auto"/>
                <w:sz w:val="18"/>
                <w:szCs w:val="18"/>
              </w:rPr>
              <w:t xml:space="preserve">Pg. 5</w:t>
            </w:r>
          </w:p>
        </w:tc>
      </w:tr>
      <w:tr w:rsidR="0054465A" w:rsidRPr="009C5AD2" w14:paraId="2FC30062"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3F5E1533"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Risk of bias in studies </w:t>
            </w:r>
          </w:p>
        </w:tc>
        <w:tc>
          <w:tcPr>
            <w:tcW w:w="0" w:type="auto"/>
            <w:tcBorders>
              <w:top w:val="single" w:sz="5" w:space="0" w:color="000000"/>
              <w:left w:val="single" w:sz="5" w:space="0" w:color="000000"/>
              <w:bottom w:val="single" w:sz="5" w:space="0" w:color="000000"/>
              <w:right w:val="single" w:sz="5" w:space="0" w:color="000000"/>
            </w:tcBorders>
          </w:tcPr>
          <w:p w14:paraId="17602E21"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18</w:t>
            </w:r>
          </w:p>
        </w:tc>
        <w:tc>
          <w:tcPr>
            <w:tcW w:w="0" w:type="auto"/>
            <w:tcBorders>
              <w:top w:val="single" w:sz="5" w:space="0" w:color="000000"/>
              <w:left w:val="single" w:sz="5" w:space="0" w:color="000000"/>
              <w:bottom w:val="single" w:sz="5" w:space="0" w:color="000000"/>
              <w:right w:val="single" w:sz="5" w:space="0" w:color="000000"/>
            </w:tcBorders>
          </w:tcPr>
          <w:p w14:paraId="5FD67157"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Present assessments of risk of bias for each included study.</w:t>
            </w:r>
          </w:p>
        </w:tc>
        <w:tc>
          <w:tcPr>
            <w:tcW w:w="0" w:type="auto"/>
            <w:tcBorders>
              <w:top w:val="single" w:sz="5" w:space="0" w:color="000000"/>
              <w:left w:val="single" w:sz="5" w:space="0" w:color="000000"/>
              <w:bottom w:val="single" w:sz="5" w:space="0" w:color="000000"/>
              <w:right w:val="single" w:sz="5" w:space="0" w:color="000000"/>
            </w:tcBorders>
          </w:tcPr>
          <w:p w14:paraId="40C71024" w14:textId="2324D1D2" w:rsidR="0054465A" w:rsidRPr="009C5AD2" w:rsidRDefault="0054465A"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5</w:t>
            </w:r>
          </w:p>
        </w:tc>
      </w:tr>
      <w:tr w:rsidR="0054465A" w:rsidRPr="009C5AD2" w14:paraId="45266488"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66F27821"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Results of individual studies </w:t>
            </w:r>
          </w:p>
        </w:tc>
        <w:tc>
          <w:tcPr>
            <w:tcW w:w="0" w:type="auto"/>
            <w:tcBorders>
              <w:top w:val="single" w:sz="5" w:space="0" w:color="000000"/>
              <w:left w:val="single" w:sz="5" w:space="0" w:color="000000"/>
              <w:bottom w:val="single" w:sz="5" w:space="0" w:color="000000"/>
              <w:right w:val="single" w:sz="5" w:space="0" w:color="000000"/>
            </w:tcBorders>
          </w:tcPr>
          <w:p w14:paraId="7EF78398"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19</w:t>
            </w:r>
          </w:p>
        </w:tc>
        <w:tc>
          <w:tcPr>
            <w:tcW w:w="0" w:type="auto"/>
            <w:tcBorders>
              <w:top w:val="single" w:sz="5" w:space="0" w:color="000000"/>
              <w:left w:val="single" w:sz="5" w:space="0" w:color="000000"/>
              <w:bottom w:val="single" w:sz="5" w:space="0" w:color="000000"/>
              <w:right w:val="single" w:sz="5" w:space="0" w:color="000000"/>
            </w:tcBorders>
          </w:tcPr>
          <w:p w14:paraId="788056DA"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For all outcomes, present, for each study: (a) summary statistics for each group (where appropriate) and (b) an effect estimate and its precision (e.g. confidence/credible interval), ideally using structured tables or plots.</w:t>
            </w:r>
          </w:p>
        </w:tc>
        <w:tc>
          <w:tcPr>
            <w:tcW w:w="0" w:type="auto"/>
            <w:tcBorders>
              <w:top w:val="single" w:sz="5" w:space="0" w:color="000000"/>
              <w:left w:val="single" w:sz="5" w:space="0" w:color="000000"/>
              <w:bottom w:val="single" w:sz="5" w:space="0" w:color="000000"/>
              <w:right w:val="single" w:sz="5" w:space="0" w:color="000000"/>
            </w:tcBorders>
          </w:tcPr>
          <w:p w14:paraId="6E90D41E" w14:textId="3DA1CAD1" w:rsidR="0054465A" w:rsidRPr="009C5AD2" w:rsidRDefault="0054465A"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5</w:t>
            </w:r>
          </w:p>
        </w:tc>
      </w:tr>
      <w:tr w:rsidR="0054465A" w:rsidRPr="009C5AD2" w14:paraId="60297565" w14:textId="77777777" w:rsidTr="0054472A">
        <w:trPr>
          <w:trHeight w:val="48"/>
        </w:trPr>
        <w:tc>
          <w:tcPr>
            <w:tcW w:w="0" w:type="auto"/>
            <w:vMerge w:val="restart"/>
            <w:tcBorders>
              <w:top w:val="single" w:sz="5" w:space="0" w:color="000000"/>
              <w:left w:val="single" w:sz="5" w:space="0" w:color="000000"/>
              <w:right w:val="single" w:sz="5" w:space="0" w:color="000000"/>
            </w:tcBorders>
          </w:tcPr>
          <w:p w14:paraId="6CEB82F4"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Results of syntheses</w:t>
            </w:r>
          </w:p>
        </w:tc>
        <w:tc>
          <w:tcPr>
            <w:tcW w:w="0" w:type="auto"/>
            <w:tcBorders>
              <w:top w:val="single" w:sz="5" w:space="0" w:color="000000"/>
              <w:left w:val="single" w:sz="5" w:space="0" w:color="000000"/>
              <w:bottom w:val="single" w:sz="5" w:space="0" w:color="000000"/>
              <w:right w:val="single" w:sz="5" w:space="0" w:color="000000"/>
            </w:tcBorders>
          </w:tcPr>
          <w:p w14:paraId="220BCAC5"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20a</w:t>
            </w:r>
          </w:p>
        </w:tc>
        <w:tc>
          <w:tcPr>
            <w:tcW w:w="0" w:type="auto"/>
            <w:tcBorders>
              <w:top w:val="single" w:sz="5" w:space="0" w:color="000000"/>
              <w:left w:val="single" w:sz="5" w:space="0" w:color="000000"/>
              <w:bottom w:val="single" w:sz="5" w:space="0" w:color="000000"/>
              <w:right w:val="single" w:sz="5" w:space="0" w:color="000000"/>
            </w:tcBorders>
          </w:tcPr>
          <w:p w14:paraId="396EB26C"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For each synthesis, briefly summarise the characteristics and risk of bias among contributing studies.</w:t>
            </w:r>
          </w:p>
        </w:tc>
        <w:tc>
          <w:tcPr>
            <w:tcW w:w="0" w:type="auto"/>
            <w:tcBorders>
              <w:top w:val="single" w:sz="5" w:space="0" w:color="000000"/>
              <w:left w:val="single" w:sz="5" w:space="0" w:color="000000"/>
              <w:bottom w:val="single" w:sz="5" w:space="0" w:color="000000"/>
              <w:right w:val="single" w:sz="5" w:space="0" w:color="000000"/>
            </w:tcBorders>
          </w:tcPr>
          <w:p w14:paraId="66BF9E51" w14:textId="2F45A2F0" w:rsidR="0054465A" w:rsidRPr="009C5AD2" w:rsidRDefault="00802EC4"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6</w:t>
            </w:r>
          </w:p>
        </w:tc>
      </w:tr>
      <w:tr w:rsidR="0054465A" w:rsidRPr="009C5AD2" w14:paraId="75760A50" w14:textId="77777777" w:rsidTr="0054472A">
        <w:trPr>
          <w:trHeight w:val="203"/>
        </w:trPr>
        <w:tc>
          <w:tcPr>
            <w:tcW w:w="0" w:type="auto"/>
            <w:vMerge/>
            <w:tcBorders>
              <w:left w:val="single" w:sz="5" w:space="0" w:color="000000"/>
              <w:right w:val="single" w:sz="5" w:space="0" w:color="000000"/>
            </w:tcBorders>
          </w:tcPr>
          <w:p w14:paraId="31899A14"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06E8CACF"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20b</w:t>
            </w:r>
          </w:p>
        </w:tc>
        <w:tc>
          <w:tcPr>
            <w:tcW w:w="0" w:type="auto"/>
            <w:tcBorders>
              <w:top w:val="single" w:sz="5" w:space="0" w:color="000000"/>
              <w:left w:val="single" w:sz="5" w:space="0" w:color="000000"/>
              <w:bottom w:val="single" w:sz="5" w:space="0" w:color="000000"/>
              <w:right w:val="single" w:sz="5" w:space="0" w:color="000000"/>
            </w:tcBorders>
          </w:tcPr>
          <w:p w14:paraId="2BB91D00"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0" w:type="auto"/>
            <w:tcBorders>
              <w:top w:val="single" w:sz="5" w:space="0" w:color="000000"/>
              <w:left w:val="single" w:sz="5" w:space="0" w:color="000000"/>
              <w:bottom w:val="single" w:sz="5" w:space="0" w:color="000000"/>
              <w:right w:val="single" w:sz="5" w:space="0" w:color="000000"/>
            </w:tcBorders>
          </w:tcPr>
          <w:p w14:paraId="779A4C82" w14:textId="2806FDDE" w:rsidR="0054465A" w:rsidRPr="009C5AD2" w:rsidRDefault="0054465A"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6-8</w:t>
            </w:r>
          </w:p>
        </w:tc>
      </w:tr>
      <w:tr w:rsidR="0054465A" w:rsidRPr="009C5AD2" w14:paraId="3512C129" w14:textId="77777777" w:rsidTr="0054472A">
        <w:trPr>
          <w:trHeight w:val="48"/>
        </w:trPr>
        <w:tc>
          <w:tcPr>
            <w:tcW w:w="0" w:type="auto"/>
            <w:vMerge/>
            <w:tcBorders>
              <w:left w:val="single" w:sz="5" w:space="0" w:color="000000"/>
              <w:right w:val="single" w:sz="5" w:space="0" w:color="000000"/>
            </w:tcBorders>
          </w:tcPr>
          <w:p w14:paraId="4C769F44"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7DC8C572"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20c</w:t>
            </w:r>
          </w:p>
        </w:tc>
        <w:tc>
          <w:tcPr>
            <w:tcW w:w="0" w:type="auto"/>
            <w:tcBorders>
              <w:top w:val="single" w:sz="5" w:space="0" w:color="000000"/>
              <w:left w:val="single" w:sz="5" w:space="0" w:color="000000"/>
              <w:bottom w:val="single" w:sz="5" w:space="0" w:color="000000"/>
              <w:right w:val="single" w:sz="5" w:space="0" w:color="000000"/>
            </w:tcBorders>
          </w:tcPr>
          <w:p w14:paraId="1A4BAD23"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Present results of all investigations of possible causes of heterogeneity among study results.</w:t>
            </w:r>
          </w:p>
        </w:tc>
        <w:tc>
          <w:tcPr>
            <w:tcW w:w="0" w:type="auto"/>
            <w:tcBorders>
              <w:top w:val="single" w:sz="5" w:space="0" w:color="000000"/>
              <w:left w:val="single" w:sz="5" w:space="0" w:color="000000"/>
              <w:bottom w:val="single" w:sz="5" w:space="0" w:color="000000"/>
              <w:right w:val="single" w:sz="5" w:space="0" w:color="000000"/>
            </w:tcBorders>
          </w:tcPr>
          <w:p w14:paraId="643DE1F8" w14:textId="52961787" w:rsidR="0054465A" w:rsidRPr="009C5AD2" w:rsidRDefault="0054465A"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6-8</w:t>
            </w:r>
          </w:p>
        </w:tc>
      </w:tr>
      <w:tr w:rsidR="0054465A" w:rsidRPr="009C5AD2" w14:paraId="700CDEFC" w14:textId="77777777" w:rsidTr="0054472A">
        <w:trPr>
          <w:trHeight w:val="48"/>
        </w:trPr>
        <w:tc>
          <w:tcPr>
            <w:tcW w:w="0" w:type="auto"/>
            <w:vMerge/>
            <w:tcBorders>
              <w:left w:val="single" w:sz="5" w:space="0" w:color="000000"/>
              <w:bottom w:val="single" w:sz="5" w:space="0" w:color="000000"/>
              <w:right w:val="single" w:sz="5" w:space="0" w:color="000000"/>
            </w:tcBorders>
          </w:tcPr>
          <w:p w14:paraId="2B89021C"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4222B933"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20d</w:t>
            </w:r>
          </w:p>
        </w:tc>
        <w:tc>
          <w:tcPr>
            <w:tcW w:w="0" w:type="auto"/>
            <w:tcBorders>
              <w:top w:val="single" w:sz="5" w:space="0" w:color="000000"/>
              <w:left w:val="single" w:sz="5" w:space="0" w:color="000000"/>
              <w:bottom w:val="single" w:sz="5" w:space="0" w:color="000000"/>
              <w:right w:val="single" w:sz="5" w:space="0" w:color="000000"/>
            </w:tcBorders>
          </w:tcPr>
          <w:p w14:paraId="4927A8E0"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Present results of all sensitivity analyses conducted to assess the robustness of the synthesized results.</w:t>
            </w:r>
          </w:p>
        </w:tc>
        <w:tc>
          <w:tcPr>
            <w:tcW w:w="0" w:type="auto"/>
            <w:tcBorders>
              <w:top w:val="single" w:sz="5" w:space="0" w:color="000000"/>
              <w:left w:val="single" w:sz="5" w:space="0" w:color="000000"/>
              <w:bottom w:val="single" w:sz="5" w:space="0" w:color="000000"/>
              <w:right w:val="single" w:sz="5" w:space="0" w:color="000000"/>
            </w:tcBorders>
          </w:tcPr>
          <w:p w14:paraId="118680EE" w14:textId="691A955C" w:rsidR="0054465A" w:rsidRPr="009C5AD2" w:rsidRDefault="0054465A"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6-8</w:t>
            </w:r>
          </w:p>
        </w:tc>
      </w:tr>
      <w:tr w:rsidR="0054465A" w:rsidRPr="009C5AD2" w14:paraId="4AF954F5"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38D3500D"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Reporting biases</w:t>
            </w:r>
          </w:p>
        </w:tc>
        <w:tc>
          <w:tcPr>
            <w:tcW w:w="0" w:type="auto"/>
            <w:tcBorders>
              <w:top w:val="single" w:sz="5" w:space="0" w:color="000000"/>
              <w:left w:val="single" w:sz="5" w:space="0" w:color="000000"/>
              <w:bottom w:val="single" w:sz="5" w:space="0" w:color="000000"/>
              <w:right w:val="single" w:sz="5" w:space="0" w:color="000000"/>
            </w:tcBorders>
          </w:tcPr>
          <w:p w14:paraId="1DB2C8C8"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21</w:t>
            </w:r>
          </w:p>
        </w:tc>
        <w:tc>
          <w:tcPr>
            <w:tcW w:w="0" w:type="auto"/>
            <w:tcBorders>
              <w:top w:val="single" w:sz="5" w:space="0" w:color="000000"/>
              <w:left w:val="single" w:sz="5" w:space="0" w:color="000000"/>
              <w:bottom w:val="single" w:sz="5" w:space="0" w:color="000000"/>
              <w:right w:val="single" w:sz="5" w:space="0" w:color="000000"/>
            </w:tcBorders>
          </w:tcPr>
          <w:p w14:paraId="6ECD7420"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Present assessments of risk of bias due to missing results (arising from reporting biases) for each synthesis assessed.</w:t>
            </w:r>
          </w:p>
        </w:tc>
        <w:tc>
          <w:tcPr>
            <w:tcW w:w="0" w:type="auto"/>
            <w:tcBorders>
              <w:top w:val="single" w:sz="5" w:space="0" w:color="000000"/>
              <w:left w:val="single" w:sz="5" w:space="0" w:color="000000"/>
              <w:bottom w:val="single" w:sz="5" w:space="0" w:color="000000"/>
              <w:right w:val="single" w:sz="5" w:space="0" w:color="000000"/>
            </w:tcBorders>
          </w:tcPr>
          <w:p w14:paraId="5AECD6CD" w14:textId="3BE0D293" w:rsidR="0054465A" w:rsidRPr="009C5AD2" w:rsidRDefault="0054465A"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6-8</w:t>
            </w:r>
          </w:p>
        </w:tc>
      </w:tr>
      <w:tr w:rsidR="0054465A" w:rsidRPr="009C5AD2" w14:paraId="4C500302"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5A3D16B7"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lastRenderedPageBreak/>
              <w:t xml:space="preserve">Certainty of evidence </w:t>
            </w:r>
          </w:p>
        </w:tc>
        <w:tc>
          <w:tcPr>
            <w:tcW w:w="0" w:type="auto"/>
            <w:tcBorders>
              <w:top w:val="single" w:sz="5" w:space="0" w:color="000000"/>
              <w:left w:val="single" w:sz="5" w:space="0" w:color="000000"/>
              <w:bottom w:val="single" w:sz="5" w:space="0" w:color="000000"/>
              <w:right w:val="single" w:sz="5" w:space="0" w:color="000000"/>
            </w:tcBorders>
          </w:tcPr>
          <w:p w14:paraId="749D50E8"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22</w:t>
            </w:r>
          </w:p>
        </w:tc>
        <w:tc>
          <w:tcPr>
            <w:tcW w:w="0" w:type="auto"/>
            <w:tcBorders>
              <w:top w:val="single" w:sz="5" w:space="0" w:color="000000"/>
              <w:left w:val="single" w:sz="5" w:space="0" w:color="000000"/>
              <w:bottom w:val="single" w:sz="5" w:space="0" w:color="000000"/>
              <w:right w:val="single" w:sz="5" w:space="0" w:color="000000"/>
            </w:tcBorders>
          </w:tcPr>
          <w:p w14:paraId="5235B9BC"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Present assessments of certainty (or confidence) in the body of evidence for each outcome assessed.</w:t>
            </w:r>
          </w:p>
        </w:tc>
        <w:tc>
          <w:tcPr>
            <w:tcW w:w="0" w:type="auto"/>
            <w:tcBorders>
              <w:top w:val="single" w:sz="5" w:space="0" w:color="000000"/>
              <w:left w:val="single" w:sz="5" w:space="0" w:color="000000"/>
              <w:bottom w:val="single" w:sz="5" w:space="0" w:color="000000"/>
              <w:right w:val="single" w:sz="5" w:space="0" w:color="000000"/>
            </w:tcBorders>
          </w:tcPr>
          <w:p w14:paraId="72233909" w14:textId="4AAD21FF" w:rsidR="0054465A" w:rsidRPr="009C5AD2" w:rsidRDefault="0054465A" w:rsidP="0054465A">
            <w:pPr>
              <w:pStyle w:val="Default"/>
              <w:spacing w:before="40" w:after="40"/>
              <w:rPr>
                <w:rFonts w:asciiTheme="majorBidi" w:hAnsiTheme="majorBidi" w:cstheme="majorBidi"/>
                <w:color w:val="auto"/>
                <w:sz w:val="18"/>
                <w:szCs w:val="18"/>
              </w:rPr>
            </w:pPr>
          </w:p>
        </w:tc>
      </w:tr>
      <w:tr w:rsidR="0054465A" w:rsidRPr="009C5AD2" w14:paraId="5CB7F0B8" w14:textId="77777777" w:rsidTr="0054472A">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4903D91" w14:textId="77777777" w:rsidR="0054465A" w:rsidRPr="009C5AD2" w:rsidRDefault="0054465A" w:rsidP="0054465A">
            <w:pPr>
              <w:pStyle w:val="Default"/>
              <w:rPr>
                <w:rFonts w:asciiTheme="majorBidi" w:hAnsiTheme="majorBidi" w:cstheme="majorBidi"/>
                <w:sz w:val="18"/>
                <w:szCs w:val="18"/>
              </w:rPr>
            </w:pPr>
            <w:r>
              <w:rPr>
                <w:rFonts w:asciiTheme="majorBidi" w:hAnsiTheme="majorBidi" w:cstheme="majorBidi"/>
                <w:b/>
                <w:bCs/>
                <w:sz w:val="18"/>
                <w:szCs w:val="18"/>
              </w:rPr>
              <w:t xml:space="preserve">DISCUSSION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1C96B55A" w14:textId="77777777" w:rsidR="0054465A" w:rsidRPr="009C5AD2" w:rsidRDefault="0054465A" w:rsidP="0054465A">
            <w:pPr>
              <w:pStyle w:val="Default"/>
              <w:jc w:val="center"/>
              <w:rPr>
                <w:rFonts w:asciiTheme="majorBidi" w:hAnsiTheme="majorBidi" w:cstheme="majorBidi"/>
                <w:color w:val="auto"/>
                <w:sz w:val="18"/>
                <w:szCs w:val="18"/>
              </w:rPr>
            </w:pPr>
          </w:p>
        </w:tc>
      </w:tr>
      <w:tr w:rsidR="0054465A" w:rsidRPr="009C5AD2" w14:paraId="2E44F94D" w14:textId="77777777" w:rsidTr="0054472A">
        <w:trPr>
          <w:trHeight w:val="48"/>
        </w:trPr>
        <w:tc>
          <w:tcPr>
            <w:tcW w:w="0" w:type="auto"/>
            <w:vMerge w:val="restart"/>
            <w:tcBorders>
              <w:top w:val="single" w:sz="5" w:space="0" w:color="000000"/>
              <w:left w:val="single" w:sz="5" w:space="0" w:color="000000"/>
              <w:right w:val="single" w:sz="5" w:space="0" w:color="000000"/>
            </w:tcBorders>
          </w:tcPr>
          <w:p w14:paraId="179AB76F"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Discussion </w:t>
            </w:r>
          </w:p>
        </w:tc>
        <w:tc>
          <w:tcPr>
            <w:tcW w:w="0" w:type="auto"/>
            <w:tcBorders>
              <w:top w:val="single" w:sz="5" w:space="0" w:color="000000"/>
              <w:left w:val="single" w:sz="5" w:space="0" w:color="000000"/>
              <w:bottom w:val="single" w:sz="5" w:space="0" w:color="000000"/>
              <w:right w:val="single" w:sz="5" w:space="0" w:color="000000"/>
            </w:tcBorders>
          </w:tcPr>
          <w:p w14:paraId="257BE914"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23a</w:t>
            </w:r>
          </w:p>
        </w:tc>
        <w:tc>
          <w:tcPr>
            <w:tcW w:w="0" w:type="auto"/>
            <w:tcBorders>
              <w:top w:val="single" w:sz="5" w:space="0" w:color="000000"/>
              <w:left w:val="single" w:sz="5" w:space="0" w:color="000000"/>
              <w:bottom w:val="single" w:sz="5" w:space="0" w:color="000000"/>
              <w:right w:val="single" w:sz="5" w:space="0" w:color="000000"/>
            </w:tcBorders>
          </w:tcPr>
          <w:p w14:paraId="1DA9703F"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Provide a general interpretation of the results in the context of other evidence.</w:t>
            </w:r>
          </w:p>
        </w:tc>
        <w:tc>
          <w:tcPr>
            <w:tcW w:w="0" w:type="auto"/>
            <w:tcBorders>
              <w:top w:val="single" w:sz="5" w:space="0" w:color="000000"/>
              <w:left w:val="single" w:sz="5" w:space="0" w:color="000000"/>
              <w:bottom w:val="single" w:sz="5" w:space="0" w:color="000000"/>
              <w:right w:val="single" w:sz="5" w:space="0" w:color="000000"/>
            </w:tcBorders>
          </w:tcPr>
          <w:p w14:paraId="0843DB69" w14:textId="36F9F9C9" w:rsidR="0054465A" w:rsidRPr="009C5AD2" w:rsidRDefault="0054465A"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10</w:t>
            </w:r>
          </w:p>
        </w:tc>
      </w:tr>
      <w:tr w:rsidR="0054465A" w:rsidRPr="009C5AD2" w14:paraId="38EDE3D9" w14:textId="77777777" w:rsidTr="0054472A">
        <w:trPr>
          <w:trHeight w:val="48"/>
        </w:trPr>
        <w:tc>
          <w:tcPr>
            <w:tcW w:w="0" w:type="auto"/>
            <w:vMerge/>
            <w:tcBorders>
              <w:left w:val="single" w:sz="5" w:space="0" w:color="000000"/>
              <w:right w:val="single" w:sz="5" w:space="0" w:color="000000"/>
            </w:tcBorders>
          </w:tcPr>
          <w:p w14:paraId="271CD49E"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18157C7B"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23b</w:t>
            </w:r>
          </w:p>
        </w:tc>
        <w:tc>
          <w:tcPr>
            <w:tcW w:w="0" w:type="auto"/>
            <w:tcBorders>
              <w:top w:val="single" w:sz="5" w:space="0" w:color="000000"/>
              <w:left w:val="single" w:sz="5" w:space="0" w:color="000000"/>
              <w:bottom w:val="single" w:sz="5" w:space="0" w:color="000000"/>
              <w:right w:val="single" w:sz="5" w:space="0" w:color="000000"/>
            </w:tcBorders>
          </w:tcPr>
          <w:p w14:paraId="0B552E50"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Discuss any limitations of the evidence included in the review.</w:t>
            </w:r>
          </w:p>
        </w:tc>
        <w:tc>
          <w:tcPr>
            <w:tcW w:w="0" w:type="auto"/>
            <w:tcBorders>
              <w:top w:val="single" w:sz="5" w:space="0" w:color="000000"/>
              <w:left w:val="single" w:sz="5" w:space="0" w:color="000000"/>
              <w:bottom w:val="single" w:sz="5" w:space="0" w:color="000000"/>
              <w:right w:val="single" w:sz="5" w:space="0" w:color="000000"/>
            </w:tcBorders>
          </w:tcPr>
          <w:p w14:paraId="5DDE6C4E" w14:textId="09426EC6" w:rsidR="0054465A" w:rsidRPr="009C5AD2" w:rsidRDefault="00C630EE"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11</w:t>
            </w:r>
          </w:p>
        </w:tc>
      </w:tr>
      <w:tr w:rsidR="0054465A" w:rsidRPr="009C5AD2" w14:paraId="4CCAF79D" w14:textId="77777777" w:rsidTr="0054472A">
        <w:trPr>
          <w:trHeight w:val="48"/>
        </w:trPr>
        <w:tc>
          <w:tcPr>
            <w:tcW w:w="0" w:type="auto"/>
            <w:vMerge/>
            <w:tcBorders>
              <w:left w:val="single" w:sz="5" w:space="0" w:color="000000"/>
              <w:right w:val="single" w:sz="5" w:space="0" w:color="000000"/>
            </w:tcBorders>
          </w:tcPr>
          <w:p w14:paraId="194ACACF"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4" w:space="0" w:color="auto"/>
              <w:right w:val="single" w:sz="5" w:space="0" w:color="000000"/>
            </w:tcBorders>
          </w:tcPr>
          <w:p w14:paraId="65532BE8"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23c</w:t>
            </w:r>
          </w:p>
        </w:tc>
        <w:tc>
          <w:tcPr>
            <w:tcW w:w="0" w:type="auto"/>
            <w:tcBorders>
              <w:top w:val="single" w:sz="5" w:space="0" w:color="000000"/>
              <w:left w:val="single" w:sz="5" w:space="0" w:color="000000"/>
              <w:bottom w:val="single" w:sz="5" w:space="0" w:color="000000"/>
              <w:right w:val="single" w:sz="5" w:space="0" w:color="000000"/>
            </w:tcBorders>
          </w:tcPr>
          <w:p w14:paraId="42C852C6"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Discuss any limitations of the review processes used.</w:t>
            </w:r>
          </w:p>
        </w:tc>
        <w:tc>
          <w:tcPr>
            <w:tcW w:w="0" w:type="auto"/>
            <w:tcBorders>
              <w:top w:val="single" w:sz="5" w:space="0" w:color="000000"/>
              <w:left w:val="single" w:sz="5" w:space="0" w:color="000000"/>
              <w:bottom w:val="single" w:sz="5" w:space="0" w:color="000000"/>
              <w:right w:val="single" w:sz="5" w:space="0" w:color="000000"/>
            </w:tcBorders>
          </w:tcPr>
          <w:p w14:paraId="1A1C5A90" w14:textId="6576FFCD" w:rsidR="0054465A" w:rsidRPr="009C5AD2" w:rsidRDefault="00C630EE"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11-12</w:t>
            </w:r>
          </w:p>
        </w:tc>
      </w:tr>
      <w:tr w:rsidR="0054465A" w:rsidRPr="009C5AD2" w14:paraId="626BF8B9" w14:textId="77777777" w:rsidTr="0054472A">
        <w:trPr>
          <w:trHeight w:val="48"/>
        </w:trPr>
        <w:tc>
          <w:tcPr>
            <w:tcW w:w="0" w:type="auto"/>
            <w:vMerge/>
            <w:tcBorders>
              <w:left w:val="single" w:sz="5" w:space="0" w:color="000000"/>
              <w:bottom w:val="single" w:sz="4" w:space="0" w:color="auto"/>
              <w:right w:val="single" w:sz="5" w:space="0" w:color="000000"/>
            </w:tcBorders>
          </w:tcPr>
          <w:p w14:paraId="218A2FCF"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4" w:space="0" w:color="auto"/>
              <w:left w:val="single" w:sz="5" w:space="0" w:color="000000"/>
              <w:bottom w:val="single" w:sz="4" w:space="0" w:color="auto"/>
              <w:right w:val="single" w:sz="4" w:space="0" w:color="auto"/>
            </w:tcBorders>
          </w:tcPr>
          <w:p w14:paraId="4D58CFA5"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23d</w:t>
            </w:r>
          </w:p>
        </w:tc>
        <w:tc>
          <w:tcPr>
            <w:tcW w:w="0" w:type="auto"/>
            <w:tcBorders>
              <w:top w:val="single" w:sz="5" w:space="0" w:color="000000"/>
              <w:left w:val="single" w:sz="4" w:space="0" w:color="auto"/>
              <w:bottom w:val="double" w:sz="5" w:space="0" w:color="000000"/>
              <w:right w:val="single" w:sz="5" w:space="0" w:color="000000"/>
            </w:tcBorders>
          </w:tcPr>
          <w:p w14:paraId="6322D6AA"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Discuss implications of the results for practice, policy, and future research.</w:t>
            </w:r>
          </w:p>
        </w:tc>
        <w:tc>
          <w:tcPr>
            <w:tcW w:w="0" w:type="auto"/>
            <w:tcBorders>
              <w:top w:val="single" w:sz="5" w:space="0" w:color="000000"/>
              <w:left w:val="single" w:sz="5" w:space="0" w:color="000000"/>
              <w:bottom w:val="double" w:sz="5" w:space="0" w:color="000000"/>
              <w:right w:val="single" w:sz="5" w:space="0" w:color="000000"/>
            </w:tcBorders>
          </w:tcPr>
          <w:p w14:paraId="4A921CE9" w14:textId="7B34DE03" w:rsidR="0054465A" w:rsidRPr="009C5AD2" w:rsidRDefault="00C630EE"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rPr>
              <w:t xml:space="preserve">Pg. 12</w:t>
            </w:r>
          </w:p>
        </w:tc>
      </w:tr>
      <w:tr w:rsidR="0054465A" w:rsidRPr="009C5AD2" w14:paraId="07284455" w14:textId="77777777" w:rsidTr="0054472A">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331C87E" w14:textId="77777777" w:rsidR="0054465A" w:rsidRPr="009C5AD2" w:rsidRDefault="0054465A" w:rsidP="0054465A">
            <w:pPr>
              <w:pStyle w:val="Default"/>
              <w:rPr>
                <w:rFonts w:asciiTheme="majorBidi" w:hAnsiTheme="majorBidi" w:cstheme="majorBidi"/>
                <w:sz w:val="18"/>
                <w:szCs w:val="18"/>
              </w:rPr>
            </w:pPr>
            <w:r>
              <w:rPr>
                <w:rFonts w:asciiTheme="majorBidi" w:hAnsiTheme="majorBidi" w:cstheme="majorBidi"/>
                <w:b/>
                <w:bCs/>
                <w:sz w:val="18"/>
                <w:szCs w:val="18"/>
              </w:rPr>
              <w:t>OTHER INFORMATION</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07E56A36" w14:textId="77777777" w:rsidR="0054465A" w:rsidRPr="009C5AD2" w:rsidRDefault="0054465A" w:rsidP="0054465A">
            <w:pPr>
              <w:pStyle w:val="Default"/>
              <w:jc w:val="center"/>
              <w:rPr>
                <w:rFonts w:asciiTheme="majorBidi" w:hAnsiTheme="majorBidi" w:cstheme="majorBidi"/>
                <w:color w:val="auto"/>
                <w:sz w:val="18"/>
                <w:szCs w:val="18"/>
              </w:rPr>
            </w:pPr>
          </w:p>
        </w:tc>
      </w:tr>
      <w:tr w:rsidR="0054465A" w:rsidRPr="009C5AD2" w14:paraId="7DDC602B" w14:textId="77777777" w:rsidTr="0054472A">
        <w:trPr>
          <w:trHeight w:val="48"/>
        </w:trPr>
        <w:tc>
          <w:tcPr>
            <w:tcW w:w="0" w:type="auto"/>
            <w:vMerge w:val="restart"/>
            <w:tcBorders>
              <w:top w:val="single" w:sz="5" w:space="0" w:color="000000"/>
              <w:left w:val="single" w:sz="5" w:space="0" w:color="000000"/>
              <w:right w:val="single" w:sz="5" w:space="0" w:color="000000"/>
            </w:tcBorders>
          </w:tcPr>
          <w:p w14:paraId="2ED21286"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Registration and protocol</w:t>
            </w:r>
          </w:p>
        </w:tc>
        <w:tc>
          <w:tcPr>
            <w:tcW w:w="0" w:type="auto"/>
            <w:tcBorders>
              <w:top w:val="single" w:sz="5" w:space="0" w:color="000000"/>
              <w:left w:val="single" w:sz="5" w:space="0" w:color="000000"/>
              <w:bottom w:val="single" w:sz="5" w:space="0" w:color="000000"/>
              <w:right w:val="single" w:sz="5" w:space="0" w:color="000000"/>
            </w:tcBorders>
          </w:tcPr>
          <w:p w14:paraId="4C1D6782"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24a</w:t>
            </w:r>
          </w:p>
        </w:tc>
        <w:tc>
          <w:tcPr>
            <w:tcW w:w="0" w:type="auto"/>
            <w:tcBorders>
              <w:top w:val="single" w:sz="5" w:space="0" w:color="000000"/>
              <w:left w:val="single" w:sz="5" w:space="0" w:color="000000"/>
              <w:bottom w:val="single" w:sz="5" w:space="0" w:color="000000"/>
              <w:right w:val="single" w:sz="5" w:space="0" w:color="000000"/>
            </w:tcBorders>
          </w:tcPr>
          <w:p w14:paraId="1F18D559"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Provide registration information for the review, including register name and registration number, or state that the review was not registered.</w:t>
            </w:r>
          </w:p>
        </w:tc>
        <w:tc>
          <w:tcPr>
            <w:tcW w:w="0" w:type="auto"/>
            <w:tcBorders>
              <w:top w:val="single" w:sz="5" w:space="0" w:color="000000"/>
              <w:left w:val="single" w:sz="5" w:space="0" w:color="000000"/>
              <w:bottom w:val="single" w:sz="5" w:space="0" w:color="000000"/>
              <w:right w:val="single" w:sz="5" w:space="0" w:color="000000"/>
            </w:tcBorders>
          </w:tcPr>
          <w:p w14:paraId="16BD791F" w14:textId="26E383FE" w:rsidR="0054465A" w:rsidRPr="009C5AD2" w:rsidRDefault="00C630EE"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lang w:eastAsia="zh-CN"/>
              </w:rPr>
              <w:t>N/A</w:t>
            </w:r>
          </w:p>
        </w:tc>
      </w:tr>
      <w:tr w:rsidR="0054465A" w:rsidRPr="009C5AD2" w14:paraId="1126C3B5" w14:textId="77777777" w:rsidTr="0054472A">
        <w:trPr>
          <w:trHeight w:val="57"/>
        </w:trPr>
        <w:tc>
          <w:tcPr>
            <w:tcW w:w="0" w:type="auto"/>
            <w:vMerge/>
            <w:tcBorders>
              <w:left w:val="single" w:sz="5" w:space="0" w:color="000000"/>
              <w:right w:val="single" w:sz="5" w:space="0" w:color="000000"/>
            </w:tcBorders>
          </w:tcPr>
          <w:p w14:paraId="0A623D85"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75DEE05E"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24b</w:t>
            </w:r>
          </w:p>
        </w:tc>
        <w:tc>
          <w:tcPr>
            <w:tcW w:w="0" w:type="auto"/>
            <w:tcBorders>
              <w:top w:val="single" w:sz="5" w:space="0" w:color="000000"/>
              <w:left w:val="single" w:sz="5" w:space="0" w:color="000000"/>
              <w:bottom w:val="single" w:sz="5" w:space="0" w:color="000000"/>
              <w:right w:val="single" w:sz="5" w:space="0" w:color="000000"/>
            </w:tcBorders>
          </w:tcPr>
          <w:p w14:paraId="02527A2D"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Indicate where the review protocol can be accessed, or state that a protocol was not prepared.</w:t>
            </w:r>
          </w:p>
        </w:tc>
        <w:tc>
          <w:tcPr>
            <w:tcW w:w="0" w:type="auto"/>
            <w:tcBorders>
              <w:top w:val="single" w:sz="5" w:space="0" w:color="000000"/>
              <w:left w:val="single" w:sz="5" w:space="0" w:color="000000"/>
              <w:bottom w:val="single" w:sz="5" w:space="0" w:color="000000"/>
              <w:right w:val="single" w:sz="5" w:space="0" w:color="000000"/>
            </w:tcBorders>
          </w:tcPr>
          <w:p w14:paraId="3125C5EC" w14:textId="2C00DF0A" w:rsidR="0054465A" w:rsidRPr="009C5AD2" w:rsidRDefault="00C630EE"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lang w:eastAsia="zh-CN"/>
              </w:rPr>
              <w:t>N/A</w:t>
            </w:r>
          </w:p>
        </w:tc>
      </w:tr>
      <w:tr w:rsidR="0054465A" w:rsidRPr="009C5AD2" w14:paraId="716AA232" w14:textId="77777777" w:rsidTr="0054472A">
        <w:trPr>
          <w:trHeight w:val="48"/>
        </w:trPr>
        <w:tc>
          <w:tcPr>
            <w:tcW w:w="0" w:type="auto"/>
            <w:vMerge/>
            <w:tcBorders>
              <w:left w:val="single" w:sz="5" w:space="0" w:color="000000"/>
              <w:bottom w:val="single" w:sz="5" w:space="0" w:color="000000"/>
              <w:right w:val="single" w:sz="5" w:space="0" w:color="000000"/>
            </w:tcBorders>
          </w:tcPr>
          <w:p w14:paraId="172EC07C" w14:textId="77777777" w:rsidR="0054465A" w:rsidRPr="009C5AD2" w:rsidRDefault="0054465A" w:rsidP="0054465A">
            <w:pPr>
              <w:pStyle w:val="Default"/>
              <w:spacing w:before="40" w:after="40"/>
              <w:rPr>
                <w:rFonts w:asciiTheme="majorBidi" w:hAnsiTheme="majorBidi" w:cstheme="majorBidi"/>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779B24B1"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24c</w:t>
            </w:r>
          </w:p>
        </w:tc>
        <w:tc>
          <w:tcPr>
            <w:tcW w:w="0" w:type="auto"/>
            <w:tcBorders>
              <w:top w:val="single" w:sz="5" w:space="0" w:color="000000"/>
              <w:left w:val="single" w:sz="5" w:space="0" w:color="000000"/>
              <w:bottom w:val="single" w:sz="5" w:space="0" w:color="000000"/>
              <w:right w:val="single" w:sz="5" w:space="0" w:color="000000"/>
            </w:tcBorders>
          </w:tcPr>
          <w:p w14:paraId="15DB9DBA"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Describe and explain any amendments to information provided at registration or in the protocol.</w:t>
            </w:r>
          </w:p>
        </w:tc>
        <w:tc>
          <w:tcPr>
            <w:tcW w:w="0" w:type="auto"/>
            <w:tcBorders>
              <w:top w:val="single" w:sz="5" w:space="0" w:color="000000"/>
              <w:left w:val="single" w:sz="5" w:space="0" w:color="000000"/>
              <w:bottom w:val="single" w:sz="5" w:space="0" w:color="000000"/>
              <w:right w:val="single" w:sz="5" w:space="0" w:color="000000"/>
            </w:tcBorders>
          </w:tcPr>
          <w:p w14:paraId="253EB320" w14:textId="38794F49" w:rsidR="0054465A" w:rsidRPr="009C5AD2" w:rsidRDefault="00C630EE"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lang w:eastAsia="zh-CN"/>
              </w:rPr>
              <w:t>N/A</w:t>
            </w:r>
          </w:p>
        </w:tc>
      </w:tr>
      <w:tr w:rsidR="0054465A" w:rsidRPr="009C5AD2" w14:paraId="68398531"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22DD549F"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Support</w:t>
            </w:r>
          </w:p>
        </w:tc>
        <w:tc>
          <w:tcPr>
            <w:tcW w:w="0" w:type="auto"/>
            <w:tcBorders>
              <w:top w:val="single" w:sz="5" w:space="0" w:color="000000"/>
              <w:left w:val="single" w:sz="5" w:space="0" w:color="000000"/>
              <w:bottom w:val="single" w:sz="5" w:space="0" w:color="000000"/>
              <w:right w:val="single" w:sz="5" w:space="0" w:color="000000"/>
            </w:tcBorders>
          </w:tcPr>
          <w:p w14:paraId="2004265D"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25</w:t>
            </w:r>
          </w:p>
        </w:tc>
        <w:tc>
          <w:tcPr>
            <w:tcW w:w="0" w:type="auto"/>
            <w:tcBorders>
              <w:top w:val="single" w:sz="5" w:space="0" w:color="000000"/>
              <w:left w:val="single" w:sz="5" w:space="0" w:color="000000"/>
              <w:bottom w:val="single" w:sz="5" w:space="0" w:color="000000"/>
              <w:right w:val="single" w:sz="5" w:space="0" w:color="000000"/>
            </w:tcBorders>
          </w:tcPr>
          <w:p w14:paraId="5A408604"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Describe sources of financial or non-financial support for the review, and the role of the funders or sponsors in the review.</w:t>
            </w:r>
          </w:p>
        </w:tc>
        <w:tc>
          <w:tcPr>
            <w:tcW w:w="0" w:type="auto"/>
            <w:tcBorders>
              <w:top w:val="single" w:sz="5" w:space="0" w:color="000000"/>
              <w:left w:val="single" w:sz="5" w:space="0" w:color="000000"/>
              <w:bottom w:val="single" w:sz="5" w:space="0" w:color="000000"/>
              <w:right w:val="single" w:sz="5" w:space="0" w:color="000000"/>
            </w:tcBorders>
          </w:tcPr>
          <w:p w14:paraId="7862252F" w14:textId="20E37664" w:rsidR="0054465A" w:rsidRPr="009C5AD2" w:rsidRDefault="00C630EE" w:rsidP="0054465A">
            <w:pPr>
              <w:pStyle w:val="Default"/>
              <w:spacing w:before="40" w:after="40"/>
              <w:rPr>
                <w:rFonts w:asciiTheme="majorBidi" w:hAnsiTheme="majorBidi" w:cstheme="majorBidi"/>
                <w:color w:val="auto"/>
                <w:sz w:val="18"/>
                <w:szCs w:val="18"/>
              </w:rPr>
            </w:pPr>
            <w:r>
              <w:rPr>
                <w:rFonts w:asciiTheme="majorBidi" w:hAnsiTheme="majorBidi" w:cstheme="majorBidi"/>
                <w:color w:val="auto"/>
                <w:sz w:val="18"/>
                <w:szCs w:val="18"/>
                <w:lang w:eastAsia="zh-CN"/>
              </w:rPr>
              <w:t>N/A</w:t>
            </w:r>
          </w:p>
        </w:tc>
      </w:tr>
      <w:tr w:rsidR="0054465A" w:rsidRPr="009C5AD2" w14:paraId="495767B6" w14:textId="77777777" w:rsidTr="0054472A">
        <w:trPr>
          <w:trHeight w:val="48"/>
        </w:trPr>
        <w:tc>
          <w:tcPr>
            <w:tcW w:w="0" w:type="auto"/>
            <w:tcBorders>
              <w:top w:val="single" w:sz="5" w:space="0" w:color="000000"/>
              <w:left w:val="single" w:sz="5" w:space="0" w:color="000000"/>
              <w:bottom w:val="single" w:sz="5" w:space="0" w:color="000000"/>
              <w:right w:val="single" w:sz="5" w:space="0" w:color="000000"/>
            </w:tcBorders>
          </w:tcPr>
          <w:p w14:paraId="01B7923B"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Competing interests</w:t>
            </w:r>
          </w:p>
        </w:tc>
        <w:tc>
          <w:tcPr>
            <w:tcW w:w="0" w:type="auto"/>
            <w:tcBorders>
              <w:top w:val="single" w:sz="5" w:space="0" w:color="000000"/>
              <w:left w:val="single" w:sz="5" w:space="0" w:color="000000"/>
              <w:bottom w:val="single" w:sz="5" w:space="0" w:color="000000"/>
              <w:right w:val="single" w:sz="5" w:space="0" w:color="000000"/>
            </w:tcBorders>
          </w:tcPr>
          <w:p w14:paraId="7A718459"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26</w:t>
            </w:r>
          </w:p>
        </w:tc>
        <w:tc>
          <w:tcPr>
            <w:tcW w:w="0" w:type="auto"/>
            <w:tcBorders>
              <w:top w:val="single" w:sz="5" w:space="0" w:color="000000"/>
              <w:left w:val="single" w:sz="5" w:space="0" w:color="000000"/>
              <w:bottom w:val="single" w:sz="5" w:space="0" w:color="000000"/>
              <w:right w:val="single" w:sz="5" w:space="0" w:color="000000"/>
            </w:tcBorders>
          </w:tcPr>
          <w:p w14:paraId="6FEF3CE6"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Declare any competing interests of review authors.</w:t>
            </w:r>
          </w:p>
        </w:tc>
        <w:tc>
          <w:tcPr>
            <w:tcW w:w="0" w:type="auto"/>
            <w:tcBorders>
              <w:top w:val="single" w:sz="5" w:space="0" w:color="000000"/>
              <w:left w:val="single" w:sz="5" w:space="0" w:color="000000"/>
              <w:bottom w:val="single" w:sz="5" w:space="0" w:color="000000"/>
              <w:right w:val="single" w:sz="5" w:space="0" w:color="000000"/>
            </w:tcBorders>
          </w:tcPr>
          <w:p w14:paraId="480029FB" w14:textId="4B338CFE" w:rsidR="0054465A" w:rsidRPr="009C5AD2" w:rsidRDefault="00802EC4"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rPr>
              <w:t xml:space="preserve">Pg. 13</w:t>
            </w:r>
          </w:p>
        </w:tc>
      </w:tr>
      <w:tr w:rsidR="0054465A" w:rsidRPr="009C5AD2" w14:paraId="1B3553F7" w14:textId="77777777" w:rsidTr="0054472A">
        <w:trPr>
          <w:trHeight w:val="767"/>
        </w:trPr>
        <w:tc>
          <w:tcPr>
            <w:tcW w:w="0" w:type="auto"/>
            <w:tcBorders>
              <w:top w:val="single" w:sz="5" w:space="0" w:color="000000"/>
              <w:left w:val="single" w:sz="5" w:space="0" w:color="000000"/>
              <w:bottom w:val="double" w:sz="5" w:space="0" w:color="000000"/>
              <w:right w:val="single" w:sz="5" w:space="0" w:color="000000"/>
            </w:tcBorders>
          </w:tcPr>
          <w:p w14:paraId="39328FAD"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Availability of data, code and other materials</w:t>
            </w:r>
          </w:p>
        </w:tc>
        <w:tc>
          <w:tcPr>
            <w:tcW w:w="0" w:type="auto"/>
            <w:tcBorders>
              <w:top w:val="single" w:sz="5" w:space="0" w:color="000000"/>
              <w:left w:val="single" w:sz="5" w:space="0" w:color="000000"/>
              <w:bottom w:val="double" w:sz="5" w:space="0" w:color="000000"/>
              <w:right w:val="single" w:sz="5" w:space="0" w:color="000000"/>
            </w:tcBorders>
          </w:tcPr>
          <w:p w14:paraId="63BEC287" w14:textId="77777777" w:rsidR="0054465A" w:rsidRPr="009C5AD2" w:rsidRDefault="0054465A" w:rsidP="0054465A">
            <w:pPr>
              <w:pStyle w:val="Default"/>
              <w:spacing w:before="40" w:after="40"/>
              <w:jc w:val="right"/>
              <w:rPr>
                <w:rFonts w:asciiTheme="majorBidi" w:hAnsiTheme="majorBidi" w:cstheme="majorBidi"/>
                <w:sz w:val="18"/>
                <w:szCs w:val="18"/>
              </w:rPr>
            </w:pPr>
            <w:r>
              <w:rPr>
                <w:rFonts w:asciiTheme="majorBidi" w:hAnsiTheme="majorBidi" w:cstheme="majorBidi"/>
                <w:sz w:val="18"/>
                <w:szCs w:val="18"/>
              </w:rPr>
              <w:t>27</w:t>
            </w:r>
          </w:p>
        </w:tc>
        <w:tc>
          <w:tcPr>
            <w:tcW w:w="0" w:type="auto"/>
            <w:tcBorders>
              <w:top w:val="single" w:sz="5" w:space="0" w:color="000000"/>
              <w:left w:val="single" w:sz="5" w:space="0" w:color="000000"/>
              <w:bottom w:val="double" w:sz="5" w:space="0" w:color="000000"/>
              <w:right w:val="single" w:sz="5" w:space="0" w:color="000000"/>
            </w:tcBorders>
          </w:tcPr>
          <w:p w14:paraId="2839975A" w14:textId="77777777" w:rsidR="0054465A" w:rsidRPr="009C5AD2" w:rsidRDefault="0054465A" w:rsidP="0054465A">
            <w:pPr>
              <w:pStyle w:val="Default"/>
              <w:spacing w:before="40" w:after="40"/>
              <w:rPr>
                <w:rFonts w:asciiTheme="majorBidi" w:hAnsiTheme="majorBidi" w:cstheme="majorBidi"/>
                <w:sz w:val="18"/>
                <w:szCs w:val="18"/>
              </w:rPr>
            </w:pPr>
            <w:r>
              <w:rPr>
                <w:rFonts w:asciiTheme="majorBidi" w:hAnsiTheme="majorBidi" w:cstheme="majorBidi"/>
                <w:sz w:val="18"/>
                <w:szCs w:val="18"/>
              </w:rPr>
              <w:t xml:space="preserve">Report which of the following are publicly available and where they can be found: template data collection forms; data extracted from included studies; data used for all analyses; analytic code; any other materials used in the review.</w:t>
            </w:r>
          </w:p>
        </w:tc>
        <w:tc>
          <w:tcPr>
            <w:tcW w:w="0" w:type="auto"/>
            <w:tcBorders>
              <w:top w:val="single" w:sz="5" w:space="0" w:color="000000"/>
              <w:left w:val="single" w:sz="5" w:space="0" w:color="000000"/>
              <w:bottom w:val="double" w:sz="5" w:space="0" w:color="000000"/>
              <w:right w:val="single" w:sz="5" w:space="0" w:color="000000"/>
            </w:tcBorders>
          </w:tcPr>
          <w:p w14:paraId="44701729" w14:textId="7F75B5D7" w:rsidR="0054465A" w:rsidRPr="009C5AD2" w:rsidRDefault="00802EC4" w:rsidP="0054465A">
            <w:pPr>
              <w:pStyle w:val="Default"/>
              <w:spacing w:before="40" w:after="40"/>
              <w:rPr>
                <w:rFonts w:asciiTheme="majorBidi" w:hAnsiTheme="majorBidi" w:cstheme="majorBidi"/>
                <w:color w:val="auto"/>
                <w:sz w:val="18"/>
                <w:szCs w:val="18"/>
                <w:lang w:eastAsia="zh-CN"/>
              </w:rPr>
            </w:pPr>
            <w:r>
              <w:rPr>
                <w:rFonts w:asciiTheme="majorBidi" w:hAnsiTheme="majorBidi" w:cstheme="majorBidi"/>
                <w:color w:val="auto"/>
                <w:sz w:val="18"/>
                <w:szCs w:val="18"/>
                <w:lang w:eastAsia="zh-CN"/>
              </w:rPr>
              <w:t>Supplementary document</w:t>
            </w:r>
          </w:p>
        </w:tc>
      </w:tr>
    </w:tbl>
    <w:p w14:paraId="7AF0FFF2" w14:textId="5A95B957" w:rsidR="005C1119" w:rsidRPr="009C5AD2" w:rsidRDefault="006848F4" w:rsidP="005C1119">
      <w:pPr>
        <w:pStyle w:val="Default"/>
        <w:spacing w:line="183" w:lineRule="atLeast"/>
        <w:jc w:val="both"/>
        <w:rPr>
          <w:rFonts w:asciiTheme="majorBidi" w:hAnsiTheme="majorBidi" w:cstheme="majorBidi"/>
          <w:i/>
          <w:iCs/>
          <w:color w:val="auto"/>
          <w:sz w:val="21"/>
          <w:szCs w:val="21"/>
          <w:shd w:val="clear" w:color="auto" w:fill="FFFFFF" w:themeFill="background1"/>
        </w:rPr>
      </w:pPr>
      <w:r>
        <w:rPr>
          <w:rFonts w:asciiTheme="majorBidi" w:hAnsiTheme="majorBidi" w:cstheme="majorBidi"/>
          <w:i/>
          <w:iCs/>
          <w:color w:val="auto"/>
          <w:sz w:val="16"/>
          <w:szCs w:val="16"/>
        </w:rPr>
        <w:t xml:space="preserve">From: </w:t>
      </w:r>
      <w:r>
        <w:rPr>
          <w:rFonts w:asciiTheme="majorBidi" w:hAnsiTheme="majorBidi" w:cstheme="majorBidi"/>
          <w:color w:val="auto"/>
          <w:sz w:val="16"/>
          <w:szCs w:val="16"/>
        </w:rPr>
        <w:t xml:space="preserve"> Page MJ, McKenzie JE, Bossuyt PM, Boutron I, Hoffmann TC, Mulrow CD, et al. The PRISMA 2020 statement: an updated guideline for reporting systematic reviews. BMJ 2021;372:n71. doi: 10.1136/bmj.n71</w:t>
      </w:r>
    </w:p>
    <w:p w14:paraId="75907AD6" w14:textId="00F7EE91" w:rsidR="00EE4752" w:rsidRPr="009C5AD2" w:rsidRDefault="00EE4752">
      <w:pPr>
        <w:rPr>
          <w:rFonts w:asciiTheme="majorBidi" w:hAnsiTheme="majorBidi" w:cstheme="majorBidi"/>
          <w:szCs w:val="21"/>
          <w:shd w:val="clear" w:color="auto" w:fill="FFFFFF" w:themeFill="background1"/>
        </w:rPr>
      </w:pPr>
    </w:p>
    <w:p w14:paraId="7436775E" w14:textId="77777777" w:rsidR="00DB34C6" w:rsidRDefault="00DB34C6" w:rsidP="00DB34C6">
      <w:pPr>
        <w:pStyle w:val="Caption"/>
        <w:keepNext/>
        <w:rPr>
          <w:rFonts w:asciiTheme="majorBidi" w:hAnsiTheme="majorBidi" w:cstheme="majorBidi"/>
        </w:rPr>
      </w:pPr>
    </w:p>
    <w:p w14:paraId="271F3DF5" w14:textId="77777777" w:rsidR="009C5AD2" w:rsidRDefault="009C5AD2" w:rsidP="009C5AD2"/>
    <w:p w14:paraId="1EC8AB8D" w14:textId="77777777" w:rsidR="009C5AD2" w:rsidRDefault="009C5AD2" w:rsidP="009C5AD2"/>
    <w:p w14:paraId="67DB7077" w14:textId="77777777" w:rsidR="009C5AD2" w:rsidRDefault="009C5AD2" w:rsidP="009C5AD2"/>
    <w:p w14:paraId="24B352F7" w14:textId="77777777" w:rsidR="009C5AD2" w:rsidRDefault="009C5AD2" w:rsidP="009C5AD2"/>
    <w:p w14:paraId="4307B8DF" w14:textId="77777777" w:rsidR="009C5AD2" w:rsidRDefault="009C5AD2" w:rsidP="009C5AD2"/>
    <w:p w14:paraId="62C88A6B" w14:textId="77777777" w:rsidR="009C5AD2" w:rsidRDefault="009C5AD2" w:rsidP="009C5AD2"/>
    <w:p w14:paraId="5681F27F" w14:textId="77777777" w:rsidR="009C5AD2" w:rsidRPr="009C5AD2" w:rsidRDefault="009C5AD2" w:rsidP="009C5AD2"/>
    <w:p w14:paraId="23971C79" w14:textId="77777777" w:rsidR="00DB34C6" w:rsidRPr="009C5AD2" w:rsidRDefault="00DB34C6" w:rsidP="00DB34C6">
      <w:pPr>
        <w:rPr>
          <w:rFonts w:asciiTheme="majorBidi" w:hAnsiTheme="majorBidi" w:cstheme="majorBidi"/>
        </w:rPr>
      </w:pPr>
    </w:p>
    <w:p w14:paraId="12D7E039" w14:textId="0905ECEE" w:rsidR="00DF3959" w:rsidRPr="00DF3959" w:rsidRDefault="00DF3959" w:rsidP="00DF3959">
      <w:pPr>
        <w:pStyle w:val="Caption"/>
        <w:keepNext/>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Supplementary Information B. Search Strategy</w:t>
      </w:r>
    </w:p>
    <w:p w14:paraId="762ACF37" w14:textId="2553C5B5" w:rsidR="00DB34C6" w:rsidRPr="009C5AD2" w:rsidRDefault="00DB34C6" w:rsidP="00DF3959">
      <w:pPr>
        <w:pStyle w:val="Caption"/>
        <w:keepNext/>
        <w:rPr>
          <w:rFonts w:asciiTheme="majorBidi" w:hAnsiTheme="majorBidi" w:cstheme="majorBidi"/>
          <w:b/>
          <w:bCs/>
          <w:color w:val="auto"/>
          <w:sz w:val="24"/>
          <w:szCs w:val="24"/>
        </w:rPr>
      </w:pPr>
      <w:r>
        <w:rPr>
          <w:rFonts w:asciiTheme="majorBidi" w:hAnsiTheme="majorBidi" w:cstheme="majorBidi"/>
          <w:b/>
          <w:bCs/>
          <w:color w:val="auto"/>
          <w:sz w:val="24"/>
          <w:szCs w:val="24"/>
        </w:rPr>
        <w:t xml:space="preserve">Table S </w:t>
        <w:fldChar w:fldCharType="begin"/>
        <w:instrText xml:space="preserve"> SEQ Table_S \* ARABIC </w:instrText>
        <w:fldChar w:fldCharType="separate"/>
      </w:r>
      <w:r>
        <w:rPr>
          <w:rFonts w:asciiTheme="majorBidi" w:hAnsiTheme="majorBidi" w:cstheme="majorBidi"/>
          <w:b/>
          <w:bCs/>
          <w:noProof/>
          <w:color w:val="auto"/>
          <w:sz w:val="24"/>
          <w:szCs w:val="24"/>
        </w:rPr>
        <w:t>2</w:t>
      </w:r>
      <w:r>
        <w:rPr>
          <w:rFonts w:asciiTheme="majorBidi" w:hAnsiTheme="majorBidi" w:cstheme="majorBidi"/>
          <w:b/>
          <w:bCs/>
          <w:color w:val="auto"/>
          <w:sz w:val="24"/>
          <w:szCs w:val="24"/>
        </w:rPr>
        <w:fldChar w:fldCharType="end"/>
        <w:t xml:space="preserve">. Full Search Strings </w:t>
      </w:r>
    </w:p>
    <w:tbl>
      <w:tblPr>
        <w:tblStyle w:val="TableGrid"/>
        <w:tblW w:w="13970" w:type="dxa"/>
        <w:tblInd w:w="98" w:type="dxa"/>
        <w:tblLayout w:type="fixed"/>
        <w:tblLook w:val="04A0" w:firstRow="1" w:lastRow="0" w:firstColumn="1" w:lastColumn="0" w:noHBand="0" w:noVBand="1"/>
      </w:tblPr>
      <w:tblGrid>
        <w:gridCol w:w="1560"/>
        <w:gridCol w:w="11297"/>
        <w:gridCol w:w="1113"/>
      </w:tblGrid>
      <w:tr w:rsidR="000D0554" w:rsidRPr="009C5AD2" w14:paraId="49AE99B7" w14:textId="77777777" w:rsidTr="00285D17">
        <w:tc>
          <w:tcPr>
            <w:tcW w:w="1560" w:type="dxa"/>
          </w:tcPr>
          <w:p w14:paraId="6A9A5322" w14:textId="77777777" w:rsidR="000D0554" w:rsidRPr="009C5AD2" w:rsidRDefault="000D0554"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Database</w:t>
            </w:r>
          </w:p>
        </w:tc>
        <w:tc>
          <w:tcPr>
            <w:tcW w:w="11297" w:type="dxa"/>
          </w:tcPr>
          <w:p w14:paraId="3D742D7F" w14:textId="77777777" w:rsidR="000D0554" w:rsidRPr="009C5AD2" w:rsidRDefault="000D0554"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Search strategies</w:t>
            </w:r>
          </w:p>
        </w:tc>
        <w:tc>
          <w:tcPr>
            <w:tcW w:w="1113" w:type="dxa"/>
          </w:tcPr>
          <w:p w14:paraId="2D023B6D" w14:textId="77777777" w:rsidR="000D0554" w:rsidRPr="009C5AD2" w:rsidRDefault="000D0554"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Results</w:t>
            </w:r>
          </w:p>
        </w:tc>
      </w:tr>
      <w:tr w:rsidR="00FB56B0" w:rsidRPr="009C5AD2" w14:paraId="00D62243" w14:textId="77777777" w:rsidTr="00285D17">
        <w:tc>
          <w:tcPr>
            <w:tcW w:w="1560" w:type="dxa"/>
          </w:tcPr>
          <w:p w14:paraId="41C3F88E" w14:textId="365ABBBC" w:rsidR="00FB56B0" w:rsidRPr="009C5AD2" w:rsidRDefault="00FB56B0"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Scopus</w:t>
            </w:r>
          </w:p>
        </w:tc>
        <w:tc>
          <w:tcPr>
            <w:tcW w:w="11297" w:type="dxa"/>
          </w:tcPr>
          <w:p w14:paraId="16233F0C" w14:textId="55A94FE5" w:rsidR="00FB56B0" w:rsidRPr="009C5AD2" w:rsidRDefault="00BB4E6F" w:rsidP="00BB4E6F">
            <w:pPr>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 xml:space="preserve">(TITLE-ABS-KEY("Landscape" OR "Recreation" OR "Green*" OR "Park*" OR "Parkland" OR "Wilderness" OR "Forest*" OR "Garden" OR "Vegetation*" OR "Vegetated Area*" OR "Nature" OR "Natural" OR "Natural Element" OR "Natural Environment*" OR "Natural Outdoor Environment*" OR "Natural Surrounding*" OR "Natural Space*" OR "Natural Area*" OR "Natural Land" OR "NDVI" OR "Normalized Difference Vegetation Index" OR "Open Space*" OR "Open Land*" OR "Open Area*" OR "Tree*" OR "Grass*" OR "Shrub*" OR "Woodland*" OR "Wild*" OR "Wild Land" OR "Wild Area" OR "Urban Green" OR "Walkable Area" OR "Walkability" OR "Vegetated Area*" OR "Public Space*" OR "Public Area*" OR "Public Land*" OR "Morphology" OR "Typology" OR "Shape" OR "Spatial*" OR "Structure" OR "Distribution" OR "Pattern" OR "Character*" OR "Connect*" OR "Fragment*" OR "Size*") AND TITLE-ABS-KEY("physical activity" OR "Motor Activity*" OR "Sport*" OR "Physical Fitness" OR "Physical Exertion" OR "Physical Activity*" OR "Physical Inactivity" OR "Sedentary Behavior*" OR "Sedentary Behaviour*" OR "Sedentary Lifestyle*" OR "Inactive Lifestyle*" OR "Exercise*" OR "Active Living" OR "Active Lifestyle*" OR "Outdoor Activity*" OR "Walk*" OR "Bike" OR "Biking" OR "Bicycle" OR "Bicycling" OR "Cycling" OR "Stroll" OR "Strolling")) AND ( LIMIT-TO ( SUBJAREA,"SOCI" ) OR LIMIT-TO ( SUBJAREA,"AGRI" ) OR LIMIT-TO ( SUBJAREA,"ENVI" ) OR LIMIT-TO ( SUBJAREA,"HEAL" ) OR LIMIT-TO ( SUBJAREA,"PSYC" ) OR LIMIT-TO ( SUBJAREA,"ARTS" ) OR LIMIT-TO ( SUBJAREA,"MULT" ) OR LIMIT-TO ( SUBJAREA,"DECI" ) ) AND ( LIMIT-TO ( DOCTYPE,"ar" ) ) AND ( EXCLUDE ( EXACTKEYWORD,"Animals" ) OR EXCLUDE ( EXACTKEYWORD,"Animal" ) OR EXCLUDE ( EXACTKEYWORD,"Gait" ) OR EXCLUDE ( EXACTKEYWORD,"Demography" ) OR EXCLUDE ( EXACTKEYWORD,"Skeletal Muscle" ) OR EXCLUDE ( EXACTKEYWORD,"Rat" ) OR EXCLUDE ( EXACTKEYWORD,"Animal Model" ) OR EXCLUDE ( EXACTKEYWORD,"Unclassified Drug" ) OR EXCLUDE ( EXACTKEYWORD,"Animal Tissue" ) OR EXCLUDE ( EXACTKEYWORD,"Nutrient Cycling" ) OR EXCLUDE ( EXACTKEYWORD,"Mouse" ) OR EXCLUDE ( EXACTKEYWORD,"Rats" ) OR EXCLUDE ( EXACTKEYWORD,"Mice" ) ) AND ( LIMIT-TO ( LANGUAGE,"English" ) ) AND ( EXCLUDE ( EXACTSRCTITLE,"Soil Biology And Biochemistry" ) OR EXCLUDE ( EXACTSRCTITLE,"Plant And Soil" ) OR EXCLUDE ( EXACTSRCTITLE,"Biogeochemistry" ) OR EXCLUDE ( EXACTSRCTITLE,"Peerj" ) OR EXCLUDE ( EXACTSRCTITLE,"Applied Soil Ecology" ) OR EXCLUDE ( EXACTSRCTITLE,"ACS Sustainable Chemistry And Engineering" ) OR EXCLUDE ( EXACTSRCTITLE,"Revista Brasileira De Medicina Do Esporte" ) OR EXCLUDE ( EXACTSRCTITLE,"Geoderma" ) OR EXCLUDE ( EXACTSRCTITLE,"Water Research" ) OR EXCLUDE ( EXACTSRCTITLE,"Journal Of Chemical Education" ) OR EXCLUDE ( EXACTSRCTITLE,"Marine Chemistry" ) OR EXCLUDE ( EXACTSRCTITLE,"Chemsuschem" ) OR EXCLUDE ( EXACTSRCTITLE,"Animals" ) OR EXCLUDE ( EXACTSRCTITLE,"Retos" ) OR EXCLUDE ( EXACTSRCTITLE,"Oecologia" ) OR EXCLUDE ( EXACTSRCTITLE,"Leisure Studies" ) OR EXCLUDE ( EXACTSRCTITLE,"Chemosphere" ) OR EXCLUDE ( EXACTSRCTITLE,"Marine Ecology Progress Series" ) OR EXCLUDE ( EXACTSRCTITLE,"Medicina Dello Sport" ) OR EXCLUDE ( EXACTSRCTITLE,"Pm And R" ) OR EXCLUDE ( EXACTSRCTITLE,"Estuarine Coastal And Shelf Science" ) OR EXCLUDE ( EXACTSRCTITLE,"Soil Science Society Of America Journal" ) OR EXCLUDE ( EXACTSRCTITLE,"Undefined" ) )</w:t>
            </w:r>
          </w:p>
        </w:tc>
        <w:tc>
          <w:tcPr>
            <w:tcW w:w="1113" w:type="dxa"/>
          </w:tcPr>
          <w:p w14:paraId="61367291" w14:textId="1A342882" w:rsidR="00FB56B0" w:rsidRPr="009C5AD2" w:rsidRDefault="00C04240"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23,315</w:t>
            </w:r>
          </w:p>
        </w:tc>
      </w:tr>
      <w:tr w:rsidR="000D0554" w:rsidRPr="009C5AD2" w14:paraId="1F546B97" w14:textId="77777777" w:rsidTr="00285D17">
        <w:tc>
          <w:tcPr>
            <w:tcW w:w="1560" w:type="dxa"/>
          </w:tcPr>
          <w:p w14:paraId="4A4BE882" w14:textId="77777777" w:rsidR="000D0554" w:rsidRPr="009C5AD2" w:rsidRDefault="000D0554"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PubMed</w:t>
            </w:r>
          </w:p>
        </w:tc>
        <w:tc>
          <w:tcPr>
            <w:tcW w:w="11297" w:type="dxa"/>
          </w:tcPr>
          <w:p w14:paraId="2E20D624" w14:textId="2AF89377" w:rsidR="00BB4E6F" w:rsidRPr="009C5AD2" w:rsidRDefault="00BB4E6F" w:rsidP="00BB4E6F">
            <w:pPr>
              <w:pStyle w:val="ListParagraph"/>
              <w:ind w:left="720" w:firstLineChars="0" w:firstLine="0"/>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1 AND 2</w:t>
            </w:r>
          </w:p>
          <w:p w14:paraId="2AA9B712" w14:textId="47FC1E3D" w:rsidR="00BB4E6F" w:rsidRPr="009C5AD2" w:rsidRDefault="00BB4E6F" w:rsidP="00BB4E6F">
            <w:pPr>
              <w:pStyle w:val="ListParagraph"/>
              <w:numPr>
                <w:ilvl w:val="0"/>
                <w:numId w:val="1"/>
              </w:numPr>
              <w:ind w:firstLineChars="0"/>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 xml:space="preserve">"Landscape" OR "Recreation" OR "Green*" OR "Park*" OR "Parkland" OR "Wilderness" OR "Forest*" OR "Garden" OR "Vegetation*" OR "Vegetated Area*" OR "Nature" OR "Natural" OR "Natural Element" OR "Natural Environment*" OR "Natural Outdoor Environment*" OR "Natural Surrounding*" OR "Natural Space*" OR "Natural Area*" OR "Natural Land" OR "NDVI" OR "Normalized Difference Vegetation </w:t>
              <w:lastRenderedPageBreak/>
              <w:t>Index" OR "Open Space*" OR "Open Land*" OR "Open Area*" OR "Tree*" OR "Grass*" OR "Shrub*" OR "Woodland*" OR "Wild*" OR "Wild Land" OR "Wild Area" OR "Urban Green" OR "Walkable Area" OR "Walkability" OR "Vegetated Area*" OR "Public Space*" OR "Public Area*" OR "Public Land*" OR "Morphology" OR "Typology" OR "Shape" OR "Spatial*" OR "Structure" OR "Distribution" OR "Pattern" OR "Character*" OR "Connect*" OR "Fragment*" OR "Size*"</w:t>
            </w:r>
          </w:p>
          <w:p w14:paraId="0E7E189C" w14:textId="48A87ABB" w:rsidR="00BB4E6F" w:rsidRPr="009C5AD2" w:rsidRDefault="00BB4E6F" w:rsidP="00BB4E6F">
            <w:pPr>
              <w:pStyle w:val="ListParagraph"/>
              <w:numPr>
                <w:ilvl w:val="0"/>
                <w:numId w:val="1"/>
              </w:numPr>
              <w:ind w:firstLineChars="0"/>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"physical activity" OR "Motor Activity*" OR "Sport*" OR "Physical Fitness" OR "Physical Exertion" OR "Physical Activity*" OR "Physical Inactivity" OR "Sedentary Behavior*" OR "Sedentary Behaviour*" OR "Sedentary Lifestyle*" OR "Inactive Lifestyle*" OR "Exercise*" OR "Active Living" OR "Active Lifestyle*" OR "Outdoor Activity*" OR "Walk*" OR "Bike" OR "Biking" OR "Bicycle" OR "Bicycling" OR "Cycling" OR "Stroll" OR "Strolling"</w:t>
            </w:r>
          </w:p>
          <w:p w14:paraId="38E61704" w14:textId="2672927C" w:rsidR="000D0554" w:rsidRPr="009C5AD2" w:rsidRDefault="000D0554" w:rsidP="00BB4E6F">
            <w:pPr>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lang w:val="en-GB" w:eastAsia="en-GB"/>
              </w:rPr>
              <w:t>Filters: Fu</w:t>
            </w:r>
            <w:r>
              <w:rPr>
                <w:rFonts w:asciiTheme="majorBidi" w:hAnsiTheme="majorBidi" w:cstheme="majorBidi"/>
                <w:sz w:val="18"/>
                <w:szCs w:val="18"/>
                <w:shd w:val="clear" w:color="auto" w:fill="FFFFFF" w:themeFill="background1"/>
                <w:lang w:val="en-GB"/>
              </w:rPr>
              <w:t>ll</w:t>
            </w:r>
            <w:r>
              <w:rPr>
                <w:rFonts w:asciiTheme="majorBidi" w:hAnsiTheme="majorBidi" w:cstheme="majorBidi"/>
                <w:sz w:val="18"/>
                <w:szCs w:val="18"/>
                <w:shd w:val="clear" w:color="auto" w:fill="FFFFFF" w:themeFill="background1"/>
                <w:lang w:val="en-GB" w:eastAsia="en-GB"/>
              </w:rPr>
              <w:t xml:space="preserve"> </w:t>
            </w:r>
            <w:r>
              <w:rPr>
                <w:rFonts w:asciiTheme="majorBidi" w:hAnsiTheme="majorBidi" w:cstheme="majorBidi"/>
                <w:sz w:val="18"/>
                <w:szCs w:val="18"/>
                <w:shd w:val="clear" w:color="auto" w:fill="FFFFFF" w:themeFill="background1"/>
                <w:lang w:val="en-GB"/>
              </w:rPr>
              <w:t xml:space="preserve">text, </w:t>
            </w:r>
            <w:r>
              <w:rPr>
                <w:rFonts w:asciiTheme="majorBidi" w:hAnsiTheme="majorBidi" w:cstheme="majorBidi"/>
                <w:sz w:val="18"/>
                <w:szCs w:val="18"/>
                <w:shd w:val="clear" w:color="auto" w:fill="FFFFFF" w:themeFill="background1"/>
                <w:lang w:val="en-GB" w:eastAsia="en-GB"/>
              </w:rPr>
              <w:t>Humans, English</w:t>
            </w:r>
          </w:p>
        </w:tc>
        <w:tc>
          <w:tcPr>
            <w:tcW w:w="1113" w:type="dxa"/>
          </w:tcPr>
          <w:p w14:paraId="6E0DB7E3" w14:textId="0AC563C0" w:rsidR="000D0554" w:rsidRPr="009C5AD2" w:rsidRDefault="00C04240"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lastRenderedPageBreak/>
              <w:t>4,956</w:t>
            </w:r>
          </w:p>
        </w:tc>
      </w:tr>
      <w:tr w:rsidR="000D0554" w:rsidRPr="009C5AD2" w14:paraId="5798F359" w14:textId="77777777" w:rsidTr="00285D17">
        <w:tc>
          <w:tcPr>
            <w:tcW w:w="1560" w:type="dxa"/>
          </w:tcPr>
          <w:p w14:paraId="3CA5F5CD" w14:textId="77777777" w:rsidR="00BB4E6F" w:rsidRPr="009C5AD2" w:rsidRDefault="00BB4E6F" w:rsidP="00BB4E6F">
            <w:pPr>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Medline via</w:t>
            </w:r>
          </w:p>
          <w:p w14:paraId="04B03788" w14:textId="45D38394" w:rsidR="000D0554" w:rsidRPr="009C5AD2" w:rsidRDefault="00BB4E6F" w:rsidP="00BB4E6F">
            <w:pPr>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EBSCOhost</w:t>
            </w:r>
          </w:p>
        </w:tc>
        <w:tc>
          <w:tcPr>
            <w:tcW w:w="11297" w:type="dxa"/>
          </w:tcPr>
          <w:p w14:paraId="264064A4" w14:textId="77777777" w:rsidR="000D0554" w:rsidRPr="009C5AD2" w:rsidRDefault="00BB4E6F" w:rsidP="00055AA7">
            <w:pPr>
              <w:jc w:val="left"/>
              <w:rPr>
                <w:rFonts w:asciiTheme="majorBidi" w:hAnsiTheme="majorBidi" w:cstheme="majorBidi"/>
                <w:sz w:val="18"/>
                <w:szCs w:val="18"/>
                <w:shd w:val="clear" w:color="auto" w:fill="FFFFFF" w:themeFill="background1"/>
                <w:lang w:val="en-GB" w:eastAsia="en-GB"/>
              </w:rPr>
            </w:pPr>
            <w:r>
              <w:rPr>
                <w:rFonts w:asciiTheme="majorBidi" w:hAnsiTheme="majorBidi" w:cstheme="majorBidi"/>
                <w:sz w:val="18"/>
                <w:szCs w:val="18"/>
                <w:shd w:val="clear" w:color="auto" w:fill="FFFFFF" w:themeFill="background1"/>
                <w:lang w:val="en-GB" w:eastAsia="en-GB"/>
              </w:rPr>
              <w:t>S1 AND S2</w:t>
            </w:r>
          </w:p>
          <w:p w14:paraId="3B0C1DA6" w14:textId="77777777" w:rsidR="00BB4E6F" w:rsidRPr="009C5AD2" w:rsidRDefault="00BB4E6F" w:rsidP="00BB4E6F">
            <w:pPr>
              <w:pStyle w:val="ListParagraph"/>
              <w:numPr>
                <w:ilvl w:val="0"/>
                <w:numId w:val="2"/>
              </w:numPr>
              <w:ind w:firstLineChars="0"/>
              <w:jc w:val="left"/>
              <w:rPr>
                <w:rFonts w:asciiTheme="majorBidi" w:hAnsiTheme="majorBidi" w:cstheme="majorBidi"/>
                <w:sz w:val="18"/>
                <w:szCs w:val="18"/>
                <w:shd w:val="clear" w:color="auto" w:fill="FFFFFF" w:themeFill="background1"/>
                <w:lang w:val="en-GB" w:eastAsia="en-GB"/>
              </w:rPr>
            </w:pPr>
            <w:r>
              <w:rPr>
                <w:rFonts w:asciiTheme="majorBidi" w:hAnsiTheme="majorBidi" w:cstheme="majorBidi"/>
                <w:sz w:val="18"/>
                <w:szCs w:val="18"/>
                <w:shd w:val="clear" w:color="auto" w:fill="FFFFFF" w:themeFill="background1"/>
                <w:lang w:val="en-GB" w:eastAsia="en-GB"/>
              </w:rPr>
              <w:t>S1</w:t>
            </w:r>
          </w:p>
          <w:p w14:paraId="470C6E4C" w14:textId="77777777" w:rsidR="00BB4E6F" w:rsidRPr="009C5AD2" w:rsidRDefault="00BB4E6F" w:rsidP="00BB4E6F">
            <w:pPr>
              <w:pStyle w:val="ListParagraph"/>
              <w:ind w:left="720" w:firstLineChars="0" w:firstLine="0"/>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"Landscape" OR "Recreation" OR "Green*" OR "Park*" OR "Parkland" OR "Wilderness" OR "Forest*" OR "Garden" OR "Vegetation*" OR "Vegetated Area*" OR "Nature" OR "Natural" OR "Natural Element" OR "Natural Environment*" OR "Natural Outdoor Environment*" OR "Natural Surrounding*" OR "Natural Space*" OR "Natural Area*" OR "Natural Land" OR "NDVI" OR "Normalized Difference Vegetation Index" OR "Open Space*" OR "Open Land*" OR "Open Area*" OR "Tree*" OR "Grass*" OR "Shrub*" OR "Woodland*" OR "Wild*" OR "Wild Land" OR "Wild Area" OR "Urban Green" OR "Walkable Area" OR "Walkability" OR "Vegetated Area*" OR "Public Space*" OR "Public Area*" OR "Public Land*" OR "Morphology" OR "Typology" OR "Shape" OR "Spatial*" OR "Structure" OR "Distribution" OR "Pattern" OR "Character*" OR "Connect*" OR "Fragment*" OR "Size*"</w:t>
            </w:r>
          </w:p>
          <w:p w14:paraId="151D8701" w14:textId="77777777" w:rsidR="00BB4E6F" w:rsidRPr="009C5AD2" w:rsidRDefault="00BB4E6F" w:rsidP="00BB4E6F">
            <w:pPr>
              <w:pStyle w:val="ListParagraph"/>
              <w:ind w:left="720" w:firstLineChars="0" w:firstLine="0"/>
              <w:jc w:val="left"/>
              <w:rPr>
                <w:rFonts w:asciiTheme="majorBidi" w:hAnsiTheme="majorBidi" w:cstheme="majorBidi"/>
                <w:sz w:val="18"/>
                <w:szCs w:val="18"/>
                <w:shd w:val="clear" w:color="auto" w:fill="FFFFFF" w:themeFill="background1"/>
              </w:rPr>
            </w:pPr>
          </w:p>
          <w:p w14:paraId="0CA0F1F9" w14:textId="736E5A20" w:rsidR="00256592" w:rsidRDefault="00256592" w:rsidP="00BB4E6F">
            <w:pPr>
              <w:pStyle w:val="ListParagraph"/>
              <w:numPr>
                <w:ilvl w:val="0"/>
                <w:numId w:val="2"/>
              </w:numPr>
              <w:ind w:firstLineChars="0"/>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S2</w:t>
            </w:r>
          </w:p>
          <w:p w14:paraId="21E578C6" w14:textId="51C1A342" w:rsidR="00BB4E6F" w:rsidRPr="009C5AD2" w:rsidRDefault="00BB4E6F" w:rsidP="00256592">
            <w:pPr>
              <w:pStyle w:val="ListParagraph"/>
              <w:ind w:left="720" w:firstLineChars="0" w:firstLine="0"/>
              <w:jc w:val="left"/>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"physical activity" OR "Motor Activity*" OR "Sport*" OR "Physical Fitness" OR "Physical Exertion" OR "Physical Activity*" OR "Physical Inactivity" OR "Sedentary Behavior*" OR "Sedentary Behaviour*" OR "Sedentary Lifestyle*" OR "Inactive Lifestyle*" OR "Exercise*" OR "Active Living" OR "Active Lifestyle*" OR "Outdoor Activity*" OR "Walk*" OR "Bike" OR "Biking" OR "Bicycle" OR "Bicycling" OR "Cycling" OR "Stroll" OR "Strolling"</w:t>
            </w:r>
          </w:p>
          <w:p w14:paraId="6FD9A9EE" w14:textId="106CAF7F" w:rsidR="00BB4E6F" w:rsidRPr="009C5AD2" w:rsidRDefault="00BB4E6F" w:rsidP="00BB4E6F">
            <w:pPr>
              <w:pStyle w:val="ListParagraph"/>
              <w:ind w:left="720" w:firstLineChars="0" w:firstLine="0"/>
              <w:jc w:val="left"/>
              <w:rPr>
                <w:rFonts w:asciiTheme="majorBidi" w:hAnsiTheme="majorBidi" w:cstheme="majorBidi"/>
                <w:sz w:val="18"/>
                <w:szCs w:val="18"/>
                <w:shd w:val="clear" w:color="auto" w:fill="FFFFFF" w:themeFill="background1"/>
              </w:rPr>
            </w:pPr>
          </w:p>
          <w:p w14:paraId="19792FB1" w14:textId="35B937C6" w:rsidR="00BB4E6F" w:rsidRPr="009C5AD2" w:rsidRDefault="00BB4E6F" w:rsidP="00BB4E6F">
            <w:pPr>
              <w:jc w:val="left"/>
              <w:rPr>
                <w:rFonts w:asciiTheme="majorBidi" w:hAnsiTheme="majorBidi" w:cstheme="majorBidi"/>
                <w:sz w:val="18"/>
                <w:szCs w:val="18"/>
                <w:shd w:val="clear" w:color="auto" w:fill="FFFFFF" w:themeFill="background1"/>
                <w:lang w:val="en-GB" w:eastAsia="en-GB"/>
              </w:rPr>
            </w:pPr>
          </w:p>
        </w:tc>
        <w:tc>
          <w:tcPr>
            <w:tcW w:w="1113" w:type="dxa"/>
          </w:tcPr>
          <w:p w14:paraId="592766A0" w14:textId="1DFFF034" w:rsidR="000D0554" w:rsidRPr="009C5AD2" w:rsidRDefault="00C04240"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1,838</w:t>
            </w:r>
          </w:p>
        </w:tc>
      </w:tr>
      <w:tr w:rsidR="000D0554" w:rsidRPr="009C5AD2" w14:paraId="25652CF8" w14:textId="77777777" w:rsidTr="00285D17">
        <w:tc>
          <w:tcPr>
            <w:tcW w:w="1560" w:type="dxa"/>
          </w:tcPr>
          <w:p w14:paraId="0B609A2F" w14:textId="5F63622A" w:rsidR="00743572" w:rsidRPr="009C5AD2" w:rsidRDefault="00743572" w:rsidP="00743572">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SPORTDiscus via</w:t>
            </w:r>
          </w:p>
          <w:p w14:paraId="21BC7467" w14:textId="1407BEA4" w:rsidR="000D0554" w:rsidRPr="009C5AD2" w:rsidRDefault="00743572" w:rsidP="00743572">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EBSCOhost</w:t>
            </w:r>
          </w:p>
        </w:tc>
        <w:tc>
          <w:tcPr>
            <w:tcW w:w="11297" w:type="dxa"/>
          </w:tcPr>
          <w:p w14:paraId="4C704C77" w14:textId="6D3BAFC5" w:rsidR="000D0554" w:rsidRPr="009C5AD2" w:rsidRDefault="00517D7C" w:rsidP="00055AA7">
            <w:pPr>
              <w:widowControl/>
              <w:spacing w:line="300" w:lineRule="atLeast"/>
              <w:jc w:val="left"/>
              <w:textAlignment w:val="baseline"/>
              <w:rPr>
                <w:rFonts w:asciiTheme="majorBidi" w:hAnsiTheme="majorBidi" w:cstheme="majorBidi"/>
                <w:color w:val="505050"/>
                <w:sz w:val="18"/>
                <w:szCs w:val="18"/>
                <w:shd w:val="clear" w:color="auto" w:fill="FFFFFF" w:themeFill="background1"/>
              </w:rPr>
            </w:pPr>
            <w:r>
              <w:rPr>
                <w:rFonts w:asciiTheme="majorBidi" w:hAnsiTheme="majorBidi" w:cstheme="majorBidi"/>
                <w:color w:val="505050"/>
                <w:sz w:val="18"/>
                <w:szCs w:val="18"/>
                <w:shd w:val="clear" w:color="auto" w:fill="FFFFFF" w:themeFill="background1"/>
              </w:rPr>
              <w:t>( 1.</w:t>
              <w:tab/>
              <w:t>"Landscape" OR "Recreation" OR "Green*" OR "Park*" OR "Parkland" OR "Wilderness" OR "Forest*" OR "Garden" OR "Vegetation*" OR "Vegetated Area*" OR "Nature" OR "Natural" OR "Natural Element" OR "Natural Environment*" OR "Natural Outdoor Environment*" OR "Natural Surrounding*" OR "Natural Space*" OR "Natural Area*" OR "Natural Land" OR "NDVI" OR "Normalized Difference Vegetation Index" OR "Open Space*" OR "Open Land*" OR "Open Area*" OR "Tree*" OR "Grass*" OR "Shrub*" OR "Woodland*" OR "Wild*" OR "Wild Land" OR "Wild Area" OR "Urban Green" OR "Walkable Area" OR "Walkability" OR "Vegetated Area*" OR "Public Space*" OR "Public Area*" OR "Public Land*" OR "Morphology" OR "Typology" OR "Shape" OR "Spatial*" OR "Structure" OR "Distribution" OR "Pattern" OR "Character*" OR "Connect*" OR "Fragment*" OR "Size*" ) AND ( 2.</w:t>
              <w:tab/>
              <w:t xml:space="preserve">"physical activity" OR "Motor Activity*" OR "Sport*" OR "Physical Fitness" OR "Physical Exertion" OR "Physical Activity*" OR "Physical Inactivity" OR "Sedentary Behavior*" OR "Sedentary Behaviour*" OR "Sedentary Lifestyle*" OR "Inactive </w:t>
              <w:lastRenderedPageBreak/>
              <w:t>Lifestyle*" OR "Exercise*" OR "Active Living" OR "Active Lifestyle*" OR "Outdoor Activity*" OR "Walk*" OR "Bike" OR "Biking" OR "Bicycle" OR "Bicycling" OR "Cycling" OR "Stroll" OR "Strolling" )</w:t>
            </w:r>
          </w:p>
        </w:tc>
        <w:tc>
          <w:tcPr>
            <w:tcW w:w="1113" w:type="dxa"/>
          </w:tcPr>
          <w:p w14:paraId="0B3257F6" w14:textId="70909751" w:rsidR="000D0554" w:rsidRPr="009C5AD2" w:rsidRDefault="00C04240" w:rsidP="00C04240">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lastRenderedPageBreak/>
              <w:t>8,137</w:t>
            </w:r>
          </w:p>
        </w:tc>
      </w:tr>
      <w:tr w:rsidR="000D0554" w:rsidRPr="009C5AD2" w14:paraId="66FDA093" w14:textId="77777777" w:rsidTr="00285D17">
        <w:tc>
          <w:tcPr>
            <w:tcW w:w="1560" w:type="dxa"/>
          </w:tcPr>
          <w:p w14:paraId="1407F49D" w14:textId="65F69C02" w:rsidR="00763B5B" w:rsidRPr="009C5AD2" w:rsidRDefault="00763B5B" w:rsidP="00763B5B">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GreenLIFE via</w:t>
            </w:r>
          </w:p>
          <w:p w14:paraId="357AED34" w14:textId="103FF01F" w:rsidR="000D0554" w:rsidRPr="009C5AD2" w:rsidRDefault="00763B5B" w:rsidP="00763B5B">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EBSCOhost</w:t>
            </w:r>
          </w:p>
        </w:tc>
        <w:tc>
          <w:tcPr>
            <w:tcW w:w="11297" w:type="dxa"/>
          </w:tcPr>
          <w:p w14:paraId="1CC5F76D" w14:textId="77777777" w:rsidR="000D0554" w:rsidRPr="009C5AD2" w:rsidRDefault="00763B5B" w:rsidP="00055AA7">
            <w:pPr>
              <w:widowControl/>
              <w:spacing w:line="300" w:lineRule="atLeast"/>
              <w:jc w:val="left"/>
              <w:textAlignment w:val="baseline"/>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("Landscape" OR "Recreation" OR "Green*" OR "Park*" OR "Parkland" OR "Wilderness" OR "Forest*" OR "Garden" OR "Vegetation*" OR "Vegetated Area*" OR "Nature" OR "Natural" OR "Natural Element" OR "Natural Environment*" OR "Natural Outdoor Environment*" OR "Natural Surrounding*" OR "Natural Space*" OR "Natural Area*" OR "Natural Land" OR "NDVI" OR "Normalized Difference Vegetation Index" OR "Open Space*" OR "Open Land*" OR "Open Area*" OR "Tree*" OR "Grass*" OR "Shrub*" OR "Woodland*" OR "Wild*" OR "Wild Land" OR "Wild Area" OR "Urban Green" OR "Walkable Area" OR "Walkability" OR "Vegetated Area*" OR "Public Space*" OR "Public Area*" OR "Public Land*" OR "Morphology" OR "Typology" OR "Shape" OR "Spatial*" OR "Structure" OR "Distribution" OR "Pattern" OR "Character*" OR "Connect*" OR "Fragment*" OR "Size*") AND ("physical activity" OR "Motor Activity*" OR "Sport*" OR "Physical Fitness" OR "Physical Exertion" OR "Physical Activity*" OR "Physical Inactivity" OR "Sedentary Behavior*" OR "Sedentary Behaviour*" OR "Sedentary Lifestyle*" OR "Inactive Lifestyle*" OR "Exercise*" OR "Active Living" OR "Active Lifestyle*" OR "Outdoor Activity*" OR "Walk*" OR "Bike" OR "Biking" OR "Bicycle" OR "Bicycling" OR "Cycling" OR "Stroll" OR "Strolling")</w:t>
            </w:r>
          </w:p>
          <w:p w14:paraId="47EAA5D4" w14:textId="1BE04B69" w:rsidR="00763B5B" w:rsidRPr="009C5AD2" w:rsidRDefault="00763B5B" w:rsidP="00055AA7">
            <w:pPr>
              <w:widowControl/>
              <w:spacing w:line="300" w:lineRule="atLeast"/>
              <w:jc w:val="left"/>
              <w:textAlignment w:val="baseline"/>
              <w:rPr>
                <w:rFonts w:asciiTheme="majorBidi" w:hAnsiTheme="majorBidi" w:cstheme="majorBidi"/>
                <w:sz w:val="18"/>
                <w:szCs w:val="18"/>
                <w:shd w:val="clear" w:color="auto" w:fill="FFFFFF" w:themeFill="background1"/>
              </w:rPr>
            </w:pPr>
          </w:p>
        </w:tc>
        <w:tc>
          <w:tcPr>
            <w:tcW w:w="1113" w:type="dxa"/>
          </w:tcPr>
          <w:p w14:paraId="0FE889DD" w14:textId="4BEFE0EB" w:rsidR="000D0554" w:rsidRPr="009C5AD2" w:rsidRDefault="00C04240"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2,320</w:t>
            </w:r>
          </w:p>
        </w:tc>
      </w:tr>
      <w:tr w:rsidR="00285D17" w:rsidRPr="009C5AD2" w14:paraId="5638E1D9" w14:textId="77777777" w:rsidTr="00285D17">
        <w:tc>
          <w:tcPr>
            <w:tcW w:w="1560" w:type="dxa"/>
          </w:tcPr>
          <w:p w14:paraId="70B49CB5" w14:textId="77777777" w:rsidR="001B2D48" w:rsidRPr="009C5AD2" w:rsidRDefault="001B2D48" w:rsidP="001B2D48">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Google Scholar</w:t>
            </w:r>
          </w:p>
          <w:p w14:paraId="5BECCF2D" w14:textId="77777777" w:rsidR="001B2D48" w:rsidRPr="009C5AD2" w:rsidRDefault="001B2D48" w:rsidP="001B2D48">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by:</w:t>
            </w:r>
          </w:p>
          <w:p w14:paraId="14188AFB" w14:textId="40990F82" w:rsidR="00285D17" w:rsidRPr="009C5AD2" w:rsidRDefault="001B2D48" w:rsidP="001B2D48">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Publish or Prish</w:t>
            </w:r>
          </w:p>
        </w:tc>
        <w:tc>
          <w:tcPr>
            <w:tcW w:w="11297" w:type="dxa"/>
          </w:tcPr>
          <w:p w14:paraId="31BDD2A6" w14:textId="77777777" w:rsidR="001B2D48" w:rsidRPr="009C5AD2" w:rsidRDefault="001B2D48" w:rsidP="001B2D48">
            <w:pPr>
              <w:widowControl/>
              <w:spacing w:line="300" w:lineRule="atLeast"/>
              <w:jc w:val="left"/>
              <w:textAlignment w:val="baseline"/>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 xml:space="preserve">|Landscape|Recreation|Green*|Park*|Parkland|Wilderness|Forest*|Garden|Vegetation*|Vegetated Area*|Nature|Natural|Natural Element|Natural Environment*|Natural Outdoor Environment*|Natural Surrounding*|Natural Space*|Natural Area*|Natural Land|NDVI|Normalized Difference Vegetation Index|Open Space*|Open Land*|Open Area*|Tree*|Grass*|Shrub*|Woodland*|Wild*|Wild Land|Wild Area|Urban Green|Walkable Area|Walkability|Vegetated Area*|Public Space*|Public Area*|Public Land*|Morphology|Typology|Shape|Spatial*|Structure|Distribution|Pattern|Character*|Connect*|Fragment*|Size* </w:t>
            </w:r>
          </w:p>
          <w:p w14:paraId="6DBC7C0C" w14:textId="77777777" w:rsidR="001B2D48" w:rsidRPr="009C5AD2" w:rsidRDefault="001B2D48" w:rsidP="001B2D48">
            <w:pPr>
              <w:widowControl/>
              <w:spacing w:line="300" w:lineRule="atLeast"/>
              <w:jc w:val="left"/>
              <w:textAlignment w:val="baseline"/>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 xml:space="preserve"> AND</w:t>
            </w:r>
          </w:p>
          <w:p w14:paraId="5E72776E" w14:textId="14F18D0D" w:rsidR="001B2D48" w:rsidRPr="009C5AD2" w:rsidRDefault="001B2D48" w:rsidP="001B2D48">
            <w:pPr>
              <w:widowControl/>
              <w:spacing w:line="300" w:lineRule="atLeast"/>
              <w:jc w:val="left"/>
              <w:textAlignment w:val="baseline"/>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 xml:space="preserve"> |physical activity|Motor Activity*|Sport*|Physical Fitness|Physical Exertion|Physical Activity*|Physical Inactivity|Sedentary Behavior*|Sedentary Behaviour*|Sedentary Lifestyle*|Inactive Lifestyle*|Exercise*|Active Living|Active Lifestyle*|Outdoor Activity*|Walk*|Bike|Biking|Bicycle|Bicycling|Cycling|Stroll|Strolling</w:t>
            </w:r>
          </w:p>
          <w:p w14:paraId="0C987A01" w14:textId="77777777" w:rsidR="00285D17" w:rsidRPr="009C5AD2" w:rsidRDefault="00285D17" w:rsidP="00055AA7">
            <w:pPr>
              <w:widowControl/>
              <w:spacing w:line="300" w:lineRule="atLeast"/>
              <w:jc w:val="left"/>
              <w:textAlignment w:val="baseline"/>
              <w:rPr>
                <w:rFonts w:asciiTheme="majorBidi" w:hAnsiTheme="majorBidi" w:cstheme="majorBidi"/>
                <w:sz w:val="18"/>
                <w:szCs w:val="18"/>
                <w:shd w:val="clear" w:color="auto" w:fill="FFFFFF" w:themeFill="background1"/>
              </w:rPr>
            </w:pPr>
          </w:p>
        </w:tc>
        <w:tc>
          <w:tcPr>
            <w:tcW w:w="1113" w:type="dxa"/>
          </w:tcPr>
          <w:p w14:paraId="508D4264" w14:textId="4C9483B8" w:rsidR="00285D17" w:rsidRPr="009C5AD2" w:rsidRDefault="001B2D48" w:rsidP="00055AA7">
            <w:pPr>
              <w:rPr>
                <w:rFonts w:asciiTheme="majorBidi" w:hAnsiTheme="majorBidi" w:cstheme="majorBidi"/>
                <w:sz w:val="18"/>
                <w:szCs w:val="18"/>
                <w:shd w:val="clear" w:color="auto" w:fill="FFFFFF" w:themeFill="background1"/>
              </w:rPr>
            </w:pPr>
            <w:r>
              <w:rPr>
                <w:rFonts w:asciiTheme="majorBidi" w:hAnsiTheme="majorBidi" w:cstheme="majorBidi"/>
                <w:sz w:val="18"/>
                <w:szCs w:val="18"/>
                <w:shd w:val="clear" w:color="auto" w:fill="FFFFFF" w:themeFill="background1"/>
              </w:rPr>
              <w:t>108</w:t>
            </w:r>
          </w:p>
        </w:tc>
      </w:tr>
    </w:tbl>
    <w:p w14:paraId="5C3551CF" w14:textId="77777777" w:rsidR="00552E7A" w:rsidRPr="009C5AD2" w:rsidRDefault="00552E7A" w:rsidP="00DB34C6">
      <w:pPr>
        <w:rPr>
          <w:rFonts w:asciiTheme="majorBidi" w:hAnsiTheme="majorBidi" w:cstheme="majorBidi"/>
          <w:shd w:val="clear" w:color="auto" w:fill="FFFFFF" w:themeFill="background1"/>
        </w:rPr>
      </w:pPr>
    </w:p>
    <w:p w14:paraId="7347970E" w14:textId="77777777" w:rsidR="00DB34C6" w:rsidRPr="009C5AD2" w:rsidRDefault="00DB34C6" w:rsidP="00DB34C6">
      <w:pPr>
        <w:rPr>
          <w:rFonts w:asciiTheme="majorBidi" w:hAnsiTheme="majorBidi" w:cstheme="majorBidi"/>
          <w:shd w:val="clear" w:color="auto" w:fill="FFFFFF" w:themeFill="background1"/>
        </w:rPr>
      </w:pPr>
    </w:p>
    <w:p w14:paraId="3337156D" w14:textId="77777777" w:rsidR="00DB34C6" w:rsidRPr="009C5AD2" w:rsidRDefault="00DB34C6" w:rsidP="00DB34C6">
      <w:pPr>
        <w:rPr>
          <w:rFonts w:asciiTheme="majorBidi" w:hAnsiTheme="majorBidi" w:cstheme="majorBidi"/>
          <w:shd w:val="clear" w:color="auto" w:fill="FFFFFF" w:themeFill="background1"/>
        </w:rPr>
      </w:pPr>
    </w:p>
    <w:p w14:paraId="526CED26" w14:textId="77777777" w:rsidR="00DB34C6" w:rsidRPr="009C5AD2" w:rsidRDefault="00DB34C6" w:rsidP="00DB34C6">
      <w:pPr>
        <w:rPr>
          <w:rFonts w:asciiTheme="majorBidi" w:hAnsiTheme="majorBidi" w:cstheme="majorBidi"/>
          <w:shd w:val="clear" w:color="auto" w:fill="FFFFFF" w:themeFill="background1"/>
        </w:rPr>
      </w:pPr>
    </w:p>
    <w:p w14:paraId="2659873F" w14:textId="77777777" w:rsidR="00DB34C6" w:rsidRPr="009C5AD2" w:rsidRDefault="00DB34C6" w:rsidP="00DB34C6">
      <w:pPr>
        <w:rPr>
          <w:rFonts w:asciiTheme="majorBidi" w:hAnsiTheme="majorBidi" w:cstheme="majorBidi"/>
          <w:shd w:val="clear" w:color="auto" w:fill="FFFFFF" w:themeFill="background1"/>
        </w:rPr>
      </w:pPr>
    </w:p>
    <w:p w14:paraId="2B53DEDC" w14:textId="77777777" w:rsidR="00DB34C6" w:rsidRPr="009C5AD2" w:rsidRDefault="00DB34C6" w:rsidP="00DB34C6">
      <w:pPr>
        <w:rPr>
          <w:rFonts w:asciiTheme="majorBidi" w:hAnsiTheme="majorBidi" w:cstheme="majorBidi"/>
          <w:shd w:val="clear" w:color="auto" w:fill="FFFFFF" w:themeFill="background1"/>
        </w:rPr>
      </w:pPr>
    </w:p>
    <w:p w14:paraId="6BDFED32" w14:textId="2A9FA174" w:rsidR="0035727B" w:rsidRPr="00DF3959" w:rsidRDefault="00DF3959" w:rsidP="00DF3959">
      <w:pPr>
        <w:pStyle w:val="Caption"/>
        <w:keepNext/>
        <w:rPr>
          <w:rFonts w:asciiTheme="majorBidi" w:hAnsiTheme="majorBidi" w:cstheme="majorBidi"/>
          <w:b/>
          <w:bCs/>
          <w:i w:val="0"/>
          <w:iCs w:val="0"/>
          <w:color w:val="auto"/>
          <w:sz w:val="24"/>
          <w:szCs w:val="24"/>
        </w:rPr>
      </w:pPr>
      <w:r>
        <w:rPr>
          <w:rFonts w:asciiTheme="majorBidi" w:hAnsiTheme="majorBidi" w:cstheme="majorBidi"/>
          <w:b/>
          <w:bCs/>
          <w:i w:val="0"/>
          <w:iCs w:val="0"/>
          <w:color w:val="auto"/>
          <w:sz w:val="24"/>
          <w:szCs w:val="24"/>
        </w:rPr>
        <w:t>Supplementary Information C. Risk of Bias Assessment</w:t>
      </w:r>
    </w:p>
    <w:p w14:paraId="753BB9C3" w14:textId="77777777" w:rsidR="00DF3959" w:rsidRPr="00DF3959" w:rsidRDefault="00DF3959" w:rsidP="00DF3959">
      <w:pPr>
        <w:rPr>
          <w:rFonts w:asciiTheme="majorBidi" w:hAnsiTheme="majorBidi" w:cstheme="majorBidi"/>
          <w:shd w:val="clear" w:color="auto" w:fill="FFFFFF" w:themeFill="background1"/>
        </w:rPr>
      </w:pPr>
      <w:r>
        <w:rPr>
          <w:rFonts w:asciiTheme="majorBidi" w:hAnsiTheme="majorBidi" w:cstheme="majorBidi"/>
          <w:shd w:val="clear" w:color="auto" w:fill="FFFFFF" w:themeFill="background1"/>
        </w:rPr>
        <w:t xml:space="preserve">Risk of bias for included studies was assessed using the ROBINS-E (Risk Of Bias In Non-randomized Studies of Exposures) tool. The assessment covered seven domains: confounding (covariate control), selection of participants, exposure measurement, outcome measurement, missing data, selective reporting, and analytical quality (spatial/statistical methods). Each domain, as well as overall study-level risk of bias, was rated as low, moderate, serious, or unclear.</w:t>
      </w:r>
    </w:p>
    <w:p w14:paraId="0F525612" w14:textId="77777777" w:rsidR="00DF3959" w:rsidRPr="00DF3959" w:rsidRDefault="00DF3959" w:rsidP="00DF3959">
      <w:pPr>
        <w:rPr>
          <w:rFonts w:asciiTheme="majorBidi" w:hAnsiTheme="majorBidi" w:cstheme="majorBidi"/>
          <w:shd w:val="clear" w:color="auto" w:fill="FFFFFF" w:themeFill="background1"/>
        </w:rPr>
      </w:pPr>
      <w:r>
        <w:rPr>
          <w:rFonts w:asciiTheme="majorBidi" w:hAnsiTheme="majorBidi" w:cstheme="majorBidi"/>
          <w:shd w:val="clear" w:color="auto" w:fill="FFFFFF" w:themeFill="background1"/>
        </w:rPr>
        <w:t>Risk-of-bias assessments were conducted independently by two reviewers, with discrepancies resolved through discussion and consensus. To improve transparency and interpretability, results are presented both as detailed study-level assessments (Supplementary Information C1) and as aggregated summaries by exposure family (Supplementary Information C2).</w:t>
      </w:r>
    </w:p>
    <w:p w14:paraId="2DECC795" w14:textId="4901AFD7" w:rsidR="009C5AD2" w:rsidRPr="00DF3959" w:rsidRDefault="009C5AD2" w:rsidP="00DB34C6">
      <w:pPr>
        <w:rPr>
          <w:rFonts w:asciiTheme="majorBidi" w:hAnsiTheme="majorBidi" w:cstheme="majorBidi"/>
          <w:b/>
          <w:bCs/>
          <w:i/>
          <w:iCs/>
          <w:shd w:val="clear" w:color="auto" w:fill="FFFFFF" w:themeFill="background1"/>
        </w:rPr>
      </w:pPr>
    </w:p>
    <w:p w14:paraId="6024D567" w14:textId="77777777" w:rsidR="00DF3959" w:rsidRPr="00DF3959" w:rsidRDefault="00DF3959" w:rsidP="00DF3959">
      <w:pPr>
        <w:rPr>
          <w:rFonts w:asciiTheme="majorBidi" w:hAnsiTheme="majorBidi" w:cstheme="majorBidi"/>
          <w:b/>
          <w:bCs/>
          <w:sz w:val="22"/>
          <w:szCs w:val="24"/>
          <w:shd w:val="clear" w:color="auto" w:fill="FFFFFF" w:themeFill="background1"/>
        </w:rPr>
      </w:pPr>
      <w:r>
        <w:rPr>
          <w:rFonts w:asciiTheme="majorBidi" w:hAnsiTheme="majorBidi" w:cstheme="majorBidi"/>
          <w:b/>
          <w:bCs/>
          <w:sz w:val="22"/>
          <w:szCs w:val="24"/>
          <w:shd w:val="clear" w:color="auto" w:fill="FFFFFF" w:themeFill="background1"/>
        </w:rPr>
        <w:t>Supplementary Information C1. Study-level risk of bias assessment</w:t>
      </w:r>
    </w:p>
    <w:p w14:paraId="001BA9F6" w14:textId="77777777" w:rsidR="00DF3959" w:rsidRPr="00DF3959" w:rsidRDefault="00DF3959" w:rsidP="00DF3959">
      <w:pPr>
        <w:rPr>
          <w:rFonts w:asciiTheme="majorBidi" w:hAnsiTheme="majorBidi" w:cstheme="majorBidi"/>
          <w:sz w:val="22"/>
          <w:szCs w:val="24"/>
          <w:shd w:val="clear" w:color="auto" w:fill="FFFFFF" w:themeFill="background1"/>
        </w:rPr>
      </w:pPr>
      <w:r>
        <w:rPr>
          <w:rFonts w:asciiTheme="majorBidi" w:hAnsiTheme="majorBidi" w:cstheme="majorBidi"/>
          <w:sz w:val="22"/>
          <w:szCs w:val="24"/>
          <w:shd w:val="clear" w:color="auto" w:fill="FFFFFF" w:themeFill="background1"/>
        </w:rPr>
        <w:t>Study-level risk-of-bias assessments are presented using traffic-light plots, where each study is evaluated across all ROBINS-E domains. These visualizations allow comparison of methodological quality across studies within each exposure family.</w:t>
      </w:r>
    </w:p>
    <w:p w14:paraId="1C2AD2FD" w14:textId="77777777" w:rsidR="009C5AD2" w:rsidRDefault="009C5AD2" w:rsidP="00DB34C6">
      <w:pPr>
        <w:rPr>
          <w:rFonts w:asciiTheme="majorBidi" w:hAnsiTheme="majorBidi" w:cstheme="majorBidi"/>
          <w:shd w:val="clear" w:color="auto" w:fill="FFFFFF" w:themeFill="background1"/>
        </w:rPr>
      </w:pPr>
    </w:p>
    <w:p w14:paraId="646DAA12" w14:textId="77777777" w:rsidR="00DF3959" w:rsidRDefault="00DF3959" w:rsidP="00DB34C6">
      <w:pPr>
        <w:rPr>
          <w:rFonts w:asciiTheme="majorBidi" w:hAnsiTheme="majorBidi" w:cstheme="majorBidi"/>
          <w:shd w:val="clear" w:color="auto" w:fill="FFFFFF" w:themeFill="background1"/>
        </w:rPr>
      </w:pPr>
    </w:p>
    <w:p w14:paraId="377BE526" w14:textId="77777777" w:rsidR="00CE0641" w:rsidRDefault="00DF3959" w:rsidP="00CE0641">
      <w:pPr>
        <w:keepNext/>
        <w:jc w:val="left"/>
      </w:pPr>
      <w:r>
        <w:rPr>
          <w:rFonts w:asciiTheme="majorBidi" w:hAnsiTheme="majorBidi" w:cstheme="majorBidi"/>
          <w:noProof/>
          <w:shd w:val="clear" w:color="auto" w:fill="FFFFFF" w:themeFill="background1"/>
        </w:rPr>
        <w:lastRenderedPageBreak/>
        <w:drawing>
          <wp:inline distT="0" distB="0" distL="0" distR="0" wp14:anchorId="7CC13AED" wp14:editId="64630DD6">
            <wp:extent cx="8857615" cy="3663315"/>
            <wp:effectExtent l="0" t="0" r="635" b="0"/>
            <wp:docPr id="277152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7615" cy="3663315"/>
                    </a:xfrm>
                    <a:prstGeom prst="rect">
                      <a:avLst/>
                    </a:prstGeom>
                    <a:noFill/>
                    <a:ln>
                      <a:noFill/>
                    </a:ln>
                  </pic:spPr>
                </pic:pic>
              </a:graphicData>
            </a:graphic>
          </wp:inline>
        </w:drawing>
      </w:r>
    </w:p>
    <w:p w14:paraId="0E0609F4" w14:textId="0DD214CB" w:rsidR="00DF3959" w:rsidRPr="00CE0641" w:rsidRDefault="00CE0641" w:rsidP="00CE0641">
      <w:pPr>
        <w:pStyle w:val="Caption"/>
        <w:jc w:val="left"/>
        <w:rPr>
          <w:rFonts w:asciiTheme="majorBidi" w:hAnsiTheme="majorBidi" w:cstheme="majorBidi"/>
          <w:color w:val="auto"/>
        </w:rPr>
      </w:pPr>
      <w:r>
        <w:rPr>
          <w:rFonts w:asciiTheme="majorBidi" w:hAnsiTheme="majorBidi" w:cstheme="majorBidi"/>
          <w:color w:val="auto"/>
        </w:rPr>
        <w:t>Figure C</w:t>
        <w:fldChar w:fldCharType="begin"/>
        <w:instrText xml:space="preserve"> SEQ Figure \* ARABIC </w:instrText>
        <w:fldChar w:fldCharType="separate"/>
      </w:r>
      <w:r>
        <w:rPr>
          <w:rFonts w:asciiTheme="majorBidi" w:hAnsiTheme="majorBidi" w:cstheme="majorBidi"/>
          <w:noProof/>
          <w:color w:val="auto"/>
        </w:rPr>
        <w:t>1</w:t>
      </w:r>
      <w:r>
        <w:rPr>
          <w:rFonts w:asciiTheme="majorBidi" w:hAnsiTheme="majorBidi" w:cstheme="majorBidi"/>
          <w:color w:val="auto"/>
        </w:rPr>
        <w:fldChar w:fldCharType="end"/>
        <w:t xml:space="preserve">. Risk of bias assessment for NDVI studies: Traffic-light plot showing domain-level and overall risk-of-bias assessments for studies examining satellite-derived greenness (NDVI) and physical activity. Each column represents an individual study, and each row corresponds to a ROBINS-E domain. Green indicates low risk, yellow indicates moderate risk, red indicates serious risk, and blue indicates unclear risk of bias.</w:t>
      </w:r>
    </w:p>
    <w:p w14:paraId="7AA7DCC3" w14:textId="77777777" w:rsidR="00CE0641" w:rsidRPr="00CE0641" w:rsidRDefault="00CE0641" w:rsidP="00CE0641"/>
    <w:p w14:paraId="23B6B6B3" w14:textId="77777777" w:rsidR="00DF3959" w:rsidRPr="00DF3959" w:rsidRDefault="00DF3959" w:rsidP="00DF3959">
      <w:pPr>
        <w:rPr>
          <w:rFonts w:asciiTheme="majorBidi" w:hAnsiTheme="majorBidi" w:cstheme="majorBidi"/>
        </w:rPr>
      </w:pPr>
    </w:p>
    <w:p w14:paraId="7916B3AF" w14:textId="77777777" w:rsidR="00DF3959" w:rsidRPr="00DF3959" w:rsidRDefault="00DF3959" w:rsidP="00DF3959">
      <w:pPr>
        <w:rPr>
          <w:rFonts w:asciiTheme="majorBidi" w:hAnsiTheme="majorBidi" w:cstheme="majorBidi"/>
        </w:rPr>
      </w:pPr>
    </w:p>
    <w:p w14:paraId="28E8F15C" w14:textId="77777777" w:rsidR="00DF3959" w:rsidRDefault="00DF3959" w:rsidP="00DF3959">
      <w:pPr>
        <w:rPr>
          <w:rFonts w:asciiTheme="majorBidi" w:hAnsiTheme="majorBidi" w:cstheme="majorBidi"/>
          <w:noProof/>
          <w:shd w:val="clear" w:color="auto" w:fill="FFFFFF" w:themeFill="background1"/>
        </w:rPr>
      </w:pPr>
    </w:p>
    <w:p w14:paraId="3E0ACB70" w14:textId="77777777" w:rsidR="00CE0641" w:rsidRDefault="00DF3959" w:rsidP="00CE0641">
      <w:pPr>
        <w:keepNext/>
        <w:ind w:firstLine="420"/>
        <w:jc w:val="left"/>
      </w:pPr>
      <w:r>
        <w:rPr>
          <w:rFonts w:asciiTheme="majorBidi" w:hAnsiTheme="majorBidi" w:cstheme="majorBidi"/>
          <w:noProof/>
          <w:shd w:val="clear" w:color="auto" w:fill="FFFFFF" w:themeFill="background1"/>
        </w:rPr>
        <w:lastRenderedPageBreak/>
        <w:drawing>
          <wp:inline distT="0" distB="0" distL="0" distR="0" wp14:anchorId="1E1AA548" wp14:editId="649207C8">
            <wp:extent cx="8553287" cy="4263460"/>
            <wp:effectExtent l="0" t="0" r="635" b="3810"/>
            <wp:docPr id="73465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7405" cy="4265513"/>
                    </a:xfrm>
                    <a:prstGeom prst="rect">
                      <a:avLst/>
                    </a:prstGeom>
                    <a:noFill/>
                    <a:ln>
                      <a:noFill/>
                    </a:ln>
                  </pic:spPr>
                </pic:pic>
              </a:graphicData>
            </a:graphic>
          </wp:inline>
        </w:drawing>
      </w:r>
    </w:p>
    <w:p w14:paraId="4E07E030" w14:textId="0DFB7CDC" w:rsidR="00DF3959" w:rsidRPr="00CE0641" w:rsidRDefault="00CE0641" w:rsidP="00CE0641">
      <w:pPr>
        <w:pStyle w:val="Caption"/>
        <w:jc w:val="left"/>
        <w:rPr>
          <w:rFonts w:asciiTheme="majorBidi" w:hAnsiTheme="majorBidi" w:cstheme="majorBidi"/>
          <w:color w:val="auto"/>
        </w:rPr>
      </w:pPr>
      <w:r>
        <w:rPr>
          <w:rFonts w:asciiTheme="majorBidi" w:hAnsiTheme="majorBidi" w:cstheme="majorBidi"/>
          <w:color w:val="auto"/>
        </w:rPr>
        <w:t>Figure C</w:t>
        <w:fldChar w:fldCharType="begin"/>
        <w:instrText xml:space="preserve"> SEQ Figure \* ARABIC </w:instrText>
        <w:fldChar w:fldCharType="separate"/>
      </w:r>
      <w:r>
        <w:rPr>
          <w:rFonts w:asciiTheme="majorBidi" w:hAnsiTheme="majorBidi" w:cstheme="majorBidi"/>
          <w:noProof/>
          <w:color w:val="auto"/>
        </w:rPr>
        <w:t>2</w:t>
      </w:r>
      <w:r>
        <w:rPr>
          <w:rFonts w:asciiTheme="majorBidi" w:hAnsiTheme="majorBidi" w:cstheme="majorBidi"/>
          <w:color w:val="auto"/>
        </w:rPr>
        <w:fldChar w:fldCharType="end"/>
        <w:t>. Risk of bias assessment for proximity studies: Traffic-light plot showing domain-level and overall risk-of-bias assessments for studies examining greenspace proximity and physical activity. Each column represents an individual study, and each row corresponds to a ROBINS-E domain. Colors indicate levels of risk of bias as defined by the ROBINS-E framework.</w:t>
      </w:r>
    </w:p>
    <w:p w14:paraId="7B925373" w14:textId="77777777" w:rsidR="00DF3959" w:rsidRDefault="00DF3959" w:rsidP="00DB34C6">
      <w:pPr>
        <w:rPr>
          <w:rFonts w:asciiTheme="majorBidi" w:hAnsiTheme="majorBidi" w:cstheme="majorBidi"/>
          <w:noProof/>
          <w:shd w:val="clear" w:color="auto" w:fill="FFFFFF" w:themeFill="background1"/>
        </w:rPr>
      </w:pPr>
    </w:p>
    <w:p w14:paraId="6D78B926" w14:textId="77777777" w:rsidR="00DF3959" w:rsidRDefault="00DF3959" w:rsidP="00DB34C6">
      <w:pPr>
        <w:rPr>
          <w:rFonts w:asciiTheme="majorBidi" w:hAnsiTheme="majorBidi" w:cstheme="majorBidi"/>
          <w:noProof/>
          <w:shd w:val="clear" w:color="auto" w:fill="FFFFFF" w:themeFill="background1"/>
        </w:rPr>
      </w:pPr>
    </w:p>
    <w:p w14:paraId="55D1DE72" w14:textId="77777777" w:rsidR="00CE0641" w:rsidRDefault="00CE0641" w:rsidP="00DB34C6">
      <w:pPr>
        <w:rPr>
          <w:rFonts w:asciiTheme="majorBidi" w:hAnsiTheme="majorBidi" w:cstheme="majorBidi"/>
          <w:noProof/>
          <w:shd w:val="clear" w:color="auto" w:fill="FFFFFF" w:themeFill="background1"/>
        </w:rPr>
      </w:pPr>
    </w:p>
    <w:p w14:paraId="7BC7FDCE" w14:textId="77777777" w:rsidR="00CE0641" w:rsidRDefault="00CE0641" w:rsidP="00CE0641">
      <w:pPr>
        <w:keepNext/>
      </w:pPr>
      <w:r>
        <w:rPr>
          <w:rFonts w:asciiTheme="majorBidi" w:hAnsiTheme="majorBidi" w:cstheme="majorBidi"/>
          <w:noProof/>
          <w:shd w:val="clear" w:color="auto" w:fill="FFFFFF" w:themeFill="background1"/>
        </w:rPr>
        <w:drawing>
          <wp:inline distT="0" distB="0" distL="0" distR="0" wp14:anchorId="4968F678" wp14:editId="2BBBF425">
            <wp:extent cx="8857615" cy="3511550"/>
            <wp:effectExtent l="0" t="0" r="635" b="0"/>
            <wp:docPr id="178352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7615" cy="3511550"/>
                    </a:xfrm>
                    <a:prstGeom prst="rect">
                      <a:avLst/>
                    </a:prstGeom>
                    <a:noFill/>
                    <a:ln>
                      <a:noFill/>
                    </a:ln>
                  </pic:spPr>
                </pic:pic>
              </a:graphicData>
            </a:graphic>
          </wp:inline>
        </w:drawing>
      </w:r>
    </w:p>
    <w:p w14:paraId="44ECCE0E" w14:textId="6B9143DA" w:rsidR="00CE0641" w:rsidRPr="00CE0641" w:rsidRDefault="00CE0641" w:rsidP="00CE0641">
      <w:pPr>
        <w:pStyle w:val="Caption"/>
        <w:rPr>
          <w:rFonts w:asciiTheme="majorBidi" w:hAnsiTheme="majorBidi" w:cstheme="majorBidi"/>
          <w:color w:val="auto"/>
        </w:rPr>
      </w:pPr>
      <w:r>
        <w:rPr>
          <w:rFonts w:asciiTheme="majorBidi" w:hAnsiTheme="majorBidi" w:cstheme="majorBidi"/>
          <w:color w:val="auto"/>
        </w:rPr>
        <w:t>Figure C</w:t>
        <w:fldChar w:fldCharType="begin"/>
        <w:instrText xml:space="preserve"> SEQ Figure \* ARABIC </w:instrText>
        <w:fldChar w:fldCharType="separate"/>
      </w:r>
      <w:r>
        <w:rPr>
          <w:rFonts w:asciiTheme="majorBidi" w:hAnsiTheme="majorBidi" w:cstheme="majorBidi"/>
          <w:noProof/>
          <w:color w:val="auto"/>
        </w:rPr>
        <w:t>3</w:t>
      </w:r>
      <w:r>
        <w:rPr>
          <w:rFonts w:asciiTheme="majorBidi" w:hAnsiTheme="majorBidi" w:cstheme="majorBidi"/>
          <w:color w:val="auto"/>
        </w:rPr>
        <w:fldChar w:fldCharType="end"/>
        <w:t>. Risk of bias assessment for accessibility studies: Traffic-light plot showing domain-level and overall risk-of-bias assessments for studies examining greenspace accessibility and physical activity. Each column represents an individual study, and each row corresponds to a ROBINS-E domain. Colors indicate levels of risk of bias as defined by the ROBINS-E framework.</w:t>
      </w:r>
    </w:p>
    <w:p w14:paraId="2DD58B3F" w14:textId="77777777" w:rsidR="00CE0641" w:rsidRDefault="00DF3959" w:rsidP="00CE0641">
      <w:pPr>
        <w:keepNext/>
      </w:pPr>
      <w:r>
        <w:rPr>
          <w:rFonts w:asciiTheme="majorBidi" w:hAnsiTheme="majorBidi" w:cstheme="majorBidi"/>
          <w:noProof/>
          <w:shd w:val="clear" w:color="auto" w:fill="FFFFFF" w:themeFill="background1"/>
        </w:rPr>
        <w:lastRenderedPageBreak/>
        <w:drawing>
          <wp:inline distT="0" distB="0" distL="0" distR="0" wp14:anchorId="6F6D3E68" wp14:editId="436C45BB">
            <wp:extent cx="4389570" cy="3730528"/>
            <wp:effectExtent l="0" t="0" r="0" b="3810"/>
            <wp:docPr id="98959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6487" cy="3744905"/>
                    </a:xfrm>
                    <a:prstGeom prst="rect">
                      <a:avLst/>
                    </a:prstGeom>
                    <a:noFill/>
                    <a:ln>
                      <a:noFill/>
                    </a:ln>
                  </pic:spPr>
                </pic:pic>
              </a:graphicData>
            </a:graphic>
          </wp:inline>
        </w:drawing>
      </w:r>
    </w:p>
    <w:p w14:paraId="6C4CA668" w14:textId="04BAB267" w:rsidR="009C5AD2" w:rsidRPr="00CE0641" w:rsidRDefault="00CE0641" w:rsidP="00CE0641">
      <w:pPr>
        <w:pStyle w:val="Caption"/>
        <w:rPr>
          <w:rFonts w:asciiTheme="majorBidi" w:hAnsiTheme="majorBidi" w:cstheme="majorBidi"/>
          <w:color w:val="auto"/>
        </w:rPr>
      </w:pPr>
      <w:r>
        <w:rPr>
          <w:rFonts w:asciiTheme="majorBidi" w:hAnsiTheme="majorBidi" w:cstheme="majorBidi"/>
          <w:color w:val="auto"/>
        </w:rPr>
        <w:t>Figure C</w:t>
        <w:fldChar w:fldCharType="begin"/>
        <w:instrText xml:space="preserve"> SEQ Figure \* ARABIC </w:instrText>
        <w:fldChar w:fldCharType="separate"/>
      </w:r>
      <w:r>
        <w:rPr>
          <w:rFonts w:asciiTheme="majorBidi" w:hAnsiTheme="majorBidi" w:cstheme="majorBidi"/>
          <w:noProof/>
          <w:color w:val="auto"/>
        </w:rPr>
        <w:t>4</w:t>
      </w:r>
      <w:r>
        <w:rPr>
          <w:rFonts w:asciiTheme="majorBidi" w:hAnsiTheme="majorBidi" w:cstheme="majorBidi"/>
          <w:color w:val="auto"/>
        </w:rPr>
        <w:fldChar w:fldCharType="end"/>
        <w:t>. Risk of bias assessment for morphology studies: Traffic-light plot showing domain-level and overall risk-of-bias assessments for studies examining greenspace morphology and physical activity. Each column represents an individual study, and each row corresponds to a ROBINS-E domain. Colors indicate levels of risk of bias as defined by the ROBINS-E framework.</w:t>
      </w:r>
    </w:p>
    <w:p w14:paraId="61E9BF7A" w14:textId="77777777" w:rsidR="00DB34C6" w:rsidRPr="009C5AD2" w:rsidRDefault="00DB34C6" w:rsidP="00DB34C6">
      <w:pPr>
        <w:rPr>
          <w:rFonts w:asciiTheme="majorBidi" w:hAnsiTheme="majorBidi" w:cstheme="majorBidi"/>
          <w:shd w:val="clear" w:color="auto" w:fill="FFFFFF" w:themeFill="background1"/>
        </w:rPr>
      </w:pPr>
    </w:p>
    <w:p w14:paraId="590D67D5" w14:textId="2B87159F" w:rsidR="008E6E8F" w:rsidRPr="009C5AD2" w:rsidRDefault="008E6E8F" w:rsidP="00DB34C6">
      <w:pPr>
        <w:rPr>
          <w:rFonts w:asciiTheme="majorBidi" w:hAnsiTheme="majorBidi" w:cstheme="majorBidi"/>
          <w:b/>
          <w:bCs/>
          <w:sz w:val="24"/>
          <w:szCs w:val="28"/>
          <w:shd w:val="clear" w:color="auto" w:fill="FFFFFF" w:themeFill="background1"/>
        </w:rPr>
      </w:pPr>
    </w:p>
    <w:p w14:paraId="17882EEB" w14:textId="77777777" w:rsidR="00DB34C6" w:rsidRPr="009C5AD2" w:rsidRDefault="00DB34C6" w:rsidP="00DB34C6">
      <w:pPr>
        <w:rPr>
          <w:rFonts w:asciiTheme="majorBidi" w:hAnsiTheme="majorBidi" w:cstheme="majorBidi"/>
          <w:b/>
          <w:bCs/>
          <w:sz w:val="24"/>
          <w:szCs w:val="28"/>
          <w:shd w:val="clear" w:color="auto" w:fill="FFFFFF" w:themeFill="background1"/>
        </w:rPr>
      </w:pPr>
    </w:p>
    <w:p w14:paraId="7B987CE8" w14:textId="77777777" w:rsidR="001A4191" w:rsidRDefault="001A4191" w:rsidP="00552E7A">
      <w:pPr>
        <w:rPr>
          <w:rFonts w:asciiTheme="majorBidi" w:hAnsiTheme="majorBidi" w:cstheme="majorBidi"/>
        </w:rPr>
      </w:pPr>
    </w:p>
    <w:p w14:paraId="5A509D54" w14:textId="77777777" w:rsidR="00552E7A" w:rsidRPr="009C5AD2" w:rsidRDefault="00552E7A" w:rsidP="00552E7A">
      <w:pPr>
        <w:rPr>
          <w:rFonts w:asciiTheme="majorBidi" w:hAnsiTheme="majorBidi" w:cstheme="majorBidi"/>
        </w:rPr>
      </w:pPr>
    </w:p>
    <w:p w14:paraId="1ADA4F02" w14:textId="77777777" w:rsidR="00CE0641" w:rsidRPr="00027351" w:rsidRDefault="00CE0641" w:rsidP="00CE0641">
      <w:pPr>
        <w:rPr>
          <w:rFonts w:asciiTheme="majorBidi" w:hAnsiTheme="majorBidi" w:cstheme="majorBidi"/>
          <w:b/>
          <w:bCs/>
          <w:sz w:val="24"/>
          <w:szCs w:val="28"/>
          <w:shd w:val="clear" w:color="auto" w:fill="FFFFFF" w:themeFill="background1"/>
        </w:rPr>
      </w:pPr>
      <w:r>
        <w:rPr>
          <w:rFonts w:asciiTheme="majorBidi" w:hAnsiTheme="majorBidi" w:cstheme="majorBidi"/>
          <w:b/>
          <w:bCs/>
          <w:sz w:val="24"/>
          <w:szCs w:val="28"/>
          <w:shd w:val="clear" w:color="auto" w:fill="FFFFFF" w:themeFill="background1"/>
        </w:rPr>
        <w:lastRenderedPageBreak/>
        <w:t>Supplementary Information C2. Summary of risk of bias across studies</w:t>
      </w:r>
    </w:p>
    <w:p w14:paraId="4415CBEE" w14:textId="77777777" w:rsidR="00CE0641" w:rsidRPr="00CE0641" w:rsidRDefault="00CE0641" w:rsidP="00CE0641">
      <w:pPr>
        <w:rPr>
          <w:rFonts w:asciiTheme="majorBidi" w:hAnsiTheme="majorBidi" w:cstheme="majorBidi"/>
          <w:sz w:val="22"/>
          <w:szCs w:val="24"/>
          <w:shd w:val="clear" w:color="auto" w:fill="FFFFFF" w:themeFill="background1"/>
        </w:rPr>
      </w:pPr>
      <w:r>
        <w:rPr>
          <w:rFonts w:asciiTheme="majorBidi" w:hAnsiTheme="majorBidi" w:cstheme="majorBidi"/>
          <w:sz w:val="22"/>
          <w:szCs w:val="24"/>
          <w:shd w:val="clear" w:color="auto" w:fill="FFFFFF" w:themeFill="background1"/>
        </w:rPr>
        <w:t>To provide an overview of methodological quality across exposure families, aggregated distributions of risk-of-bias ratings are presented for each ROBINS-E domain. These summaries illustrate the proportion of studies rated as low, moderate, serious, or unclear risk of bias.</w:t>
      </w:r>
    </w:p>
    <w:p w14:paraId="25C19ED2" w14:textId="340421C5" w:rsidR="00DB34C6" w:rsidRDefault="00DB34C6" w:rsidP="00DB34C6">
      <w:pPr>
        <w:pStyle w:val="Caption"/>
        <w:keepNext/>
        <w:rPr>
          <w:rFonts w:asciiTheme="majorBidi" w:hAnsiTheme="majorBidi" w:cstheme="majorBidi"/>
          <w:b/>
          <w:bCs/>
          <w:color w:val="auto"/>
        </w:rPr>
      </w:pPr>
    </w:p>
    <w:p w14:paraId="3B6573A4" w14:textId="77777777" w:rsidR="00070E8C" w:rsidRDefault="00CE0641" w:rsidP="00070E8C">
      <w:pPr>
        <w:keepNext/>
      </w:pPr>
      <w:r>
        <w:rPr>
          <w:noProof/>
        </w:rPr>
        <w:drawing>
          <wp:inline distT="0" distB="0" distL="0" distR="0" wp14:anchorId="02F88A0F" wp14:editId="3C24C7E2">
            <wp:extent cx="7999730" cy="3376930"/>
            <wp:effectExtent l="0" t="0" r="1270" b="0"/>
            <wp:docPr id="325060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99730" cy="3376930"/>
                    </a:xfrm>
                    <a:prstGeom prst="rect">
                      <a:avLst/>
                    </a:prstGeom>
                    <a:noFill/>
                    <a:ln>
                      <a:noFill/>
                    </a:ln>
                  </pic:spPr>
                </pic:pic>
              </a:graphicData>
            </a:graphic>
          </wp:inline>
        </w:drawing>
      </w:r>
    </w:p>
    <w:p w14:paraId="5495BB33" w14:textId="0920A349" w:rsidR="00CE0641" w:rsidRPr="00070E8C" w:rsidRDefault="00070E8C" w:rsidP="00070E8C">
      <w:pPr>
        <w:pStyle w:val="Caption"/>
        <w:rPr>
          <w:rFonts w:asciiTheme="majorBidi" w:hAnsiTheme="majorBidi" w:cstheme="majorBidi"/>
          <w:color w:val="auto"/>
        </w:rPr>
      </w:pPr>
      <w:r>
        <w:rPr>
          <w:rFonts w:asciiTheme="majorBidi" w:hAnsiTheme="majorBidi" w:cstheme="majorBidi"/>
          <w:color w:val="auto"/>
        </w:rPr>
        <w:t>Figure C</w:t>
        <w:fldChar w:fldCharType="begin"/>
        <w:instrText xml:space="preserve"> SEQ Figure \* ARABIC </w:instrText>
        <w:fldChar w:fldCharType="separate"/>
      </w:r>
      <w:r>
        <w:rPr>
          <w:rFonts w:asciiTheme="majorBidi" w:hAnsiTheme="majorBidi" w:cstheme="majorBidi"/>
          <w:noProof/>
          <w:color w:val="auto"/>
        </w:rPr>
        <w:t>5</w:t>
      </w:r>
      <w:r>
        <w:rPr>
          <w:rFonts w:asciiTheme="majorBidi" w:hAnsiTheme="majorBidi" w:cstheme="majorBidi"/>
          <w:color w:val="auto"/>
        </w:rPr>
        <w:fldChar w:fldCharType="end"/>
        <w:t>. Summary risk of bias for NDVI studies: Stacked bar chart showing the proportion of studies rated as low, moderate, serious, and unclear risk of bias across ROBINS-E domains for studies examining NDVI and physical activity.</w:t>
      </w:r>
    </w:p>
    <w:p w14:paraId="7947631A" w14:textId="77777777" w:rsidR="00070E8C" w:rsidRDefault="00070E8C" w:rsidP="00070E8C">
      <w:pPr>
        <w:pStyle w:val="Caption"/>
        <w:keepNext/>
      </w:pPr>
      <w:r>
        <w:rPr>
          <w:noProof/>
        </w:rPr>
        <w:lastRenderedPageBreak/>
        <w:drawing>
          <wp:inline distT="0" distB="0" distL="0" distR="0" wp14:anchorId="56FEF713" wp14:editId="3C4016C8">
            <wp:extent cx="7999730" cy="3376930"/>
            <wp:effectExtent l="0" t="0" r="1270" b="0"/>
            <wp:docPr id="68230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9730" cy="3376930"/>
                    </a:xfrm>
                    <a:prstGeom prst="rect">
                      <a:avLst/>
                    </a:prstGeom>
                    <a:noFill/>
                    <a:ln>
                      <a:noFill/>
                    </a:ln>
                  </pic:spPr>
                </pic:pic>
              </a:graphicData>
            </a:graphic>
          </wp:inline>
        </w:drawing>
      </w:r>
    </w:p>
    <w:p w14:paraId="25BAFA95" w14:textId="40B5506D" w:rsidR="001A4191" w:rsidRDefault="00070E8C" w:rsidP="00070E8C">
      <w:pPr>
        <w:pStyle w:val="Caption"/>
      </w:pPr>
      <w:r>
        <w:rPr>
          <w:rFonts w:asciiTheme="majorBidi" w:hAnsiTheme="majorBidi" w:cstheme="majorBidi"/>
          <w:color w:val="auto"/>
        </w:rPr>
        <w:t>Figure C</w:t>
        <w:fldChar w:fldCharType="begin"/>
        <w:instrText xml:space="preserve"> SEQ Figure \* ARABIC </w:instrText>
        <w:fldChar w:fldCharType="separate"/>
      </w:r>
      <w:r>
        <w:rPr>
          <w:rFonts w:asciiTheme="majorBidi" w:hAnsiTheme="majorBidi" w:cstheme="majorBidi"/>
          <w:noProof/>
          <w:color w:val="auto"/>
        </w:rPr>
        <w:t>6</w:t>
      </w:r>
      <w:r>
        <w:rPr>
          <w:rFonts w:asciiTheme="majorBidi" w:hAnsiTheme="majorBidi" w:cstheme="majorBidi"/>
          <w:color w:val="auto"/>
        </w:rPr>
        <w:fldChar w:fldCharType="end"/>
        <w:t>. Summary risk of bias for proximity studies: Stacked bar chart showing the distribution of risk-of-bias ratings across ROBINS-E domains for studies examining greenspace proximity and physical activity</w:t>
      </w:r>
      <w:r>
        <w:t>.</w:t>
      </w:r>
    </w:p>
    <w:p w14:paraId="28810372" w14:textId="77777777" w:rsidR="00552E7A" w:rsidRPr="009C5AD2" w:rsidRDefault="00552E7A" w:rsidP="00552E7A">
      <w:pPr>
        <w:rPr>
          <w:rFonts w:asciiTheme="majorBidi" w:hAnsiTheme="majorBidi" w:cstheme="majorBidi"/>
        </w:rPr>
      </w:pPr>
    </w:p>
    <w:p w14:paraId="2E0FD303" w14:textId="77777777" w:rsidR="00552E7A" w:rsidRPr="009C5AD2" w:rsidRDefault="00552E7A" w:rsidP="00552E7A">
      <w:pPr>
        <w:rPr>
          <w:rFonts w:asciiTheme="majorBidi" w:hAnsiTheme="majorBidi" w:cstheme="majorBidi"/>
        </w:rPr>
      </w:pPr>
    </w:p>
    <w:p w14:paraId="2EBA408C" w14:textId="77777777" w:rsidR="00552E7A" w:rsidRPr="009C5AD2" w:rsidRDefault="00552E7A" w:rsidP="00552E7A">
      <w:pPr>
        <w:rPr>
          <w:rFonts w:asciiTheme="majorBidi" w:hAnsiTheme="majorBidi" w:cstheme="majorBidi"/>
        </w:rPr>
      </w:pPr>
    </w:p>
    <w:p w14:paraId="794C850A" w14:textId="77777777" w:rsidR="00552E7A" w:rsidRPr="009C5AD2" w:rsidRDefault="00552E7A" w:rsidP="00552E7A">
      <w:pPr>
        <w:rPr>
          <w:rFonts w:asciiTheme="majorBidi" w:hAnsiTheme="majorBidi" w:cstheme="majorBidi"/>
        </w:rPr>
      </w:pPr>
    </w:p>
    <w:p w14:paraId="0A561E5E" w14:textId="24D7B82B" w:rsidR="00CB4C05" w:rsidRPr="009C5AD2" w:rsidRDefault="00CB4C05" w:rsidP="00EB241B">
      <w:pPr>
        <w:pStyle w:val="Default"/>
        <w:spacing w:line="183" w:lineRule="atLeast"/>
        <w:jc w:val="both"/>
        <w:rPr>
          <w:rFonts w:asciiTheme="majorBidi" w:hAnsiTheme="majorBidi" w:cstheme="majorBidi"/>
          <w:b/>
          <w:color w:val="auto"/>
          <w:sz w:val="21"/>
          <w:szCs w:val="21"/>
          <w:shd w:val="clear" w:color="auto" w:fill="FFFFFF" w:themeFill="background1"/>
          <w:lang w:eastAsia="zh-CN"/>
        </w:rPr>
      </w:pPr>
    </w:p>
    <w:p w14:paraId="3632871D" w14:textId="77777777" w:rsidR="00070E8C" w:rsidRDefault="00070E8C" w:rsidP="00070E8C">
      <w:pPr>
        <w:pStyle w:val="Default"/>
        <w:keepNext/>
        <w:spacing w:line="183" w:lineRule="atLeast"/>
        <w:jc w:val="both"/>
      </w:pPr>
      <w:r>
        <w:rPr>
          <w:rFonts w:asciiTheme="majorBidi" w:hAnsiTheme="majorBidi" w:cstheme="majorBidi"/>
          <w:b/>
          <w:noProof/>
          <w:color w:val="auto"/>
          <w:sz w:val="21"/>
          <w:szCs w:val="21"/>
          <w:shd w:val="clear" w:color="auto" w:fill="FFFFFF" w:themeFill="background1"/>
          <w:lang w:eastAsia="zh-CN"/>
        </w:rPr>
        <w:lastRenderedPageBreak/>
        <w:drawing>
          <wp:inline distT="0" distB="0" distL="0" distR="0" wp14:anchorId="355BC52E" wp14:editId="424CA466">
            <wp:extent cx="7999730" cy="3371215"/>
            <wp:effectExtent l="0" t="0" r="1270" b="635"/>
            <wp:docPr id="1402512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99730" cy="3371215"/>
                    </a:xfrm>
                    <a:prstGeom prst="rect">
                      <a:avLst/>
                    </a:prstGeom>
                    <a:noFill/>
                    <a:ln>
                      <a:noFill/>
                    </a:ln>
                  </pic:spPr>
                </pic:pic>
              </a:graphicData>
            </a:graphic>
          </wp:inline>
        </w:drawing>
      </w:r>
    </w:p>
    <w:p w14:paraId="4D81C829" w14:textId="5424B23E" w:rsidR="00383A51" w:rsidRPr="00070E8C" w:rsidRDefault="00070E8C" w:rsidP="00070E8C">
      <w:pPr>
        <w:pStyle w:val="Caption"/>
        <w:rPr>
          <w:rFonts w:asciiTheme="majorBidi" w:hAnsiTheme="majorBidi" w:cstheme="majorBidi"/>
          <w:color w:val="auto"/>
        </w:rPr>
      </w:pPr>
      <w:r>
        <w:rPr>
          <w:rFonts w:asciiTheme="majorBidi" w:hAnsiTheme="majorBidi" w:cstheme="majorBidi"/>
          <w:color w:val="auto"/>
        </w:rPr>
        <w:t>Figure C</w:t>
        <w:fldChar w:fldCharType="begin"/>
        <w:instrText xml:space="preserve"> SEQ Figure \* ARABIC </w:instrText>
        <w:fldChar w:fldCharType="separate"/>
      </w:r>
      <w:r>
        <w:rPr>
          <w:rFonts w:asciiTheme="majorBidi" w:hAnsiTheme="majorBidi" w:cstheme="majorBidi"/>
          <w:noProof/>
          <w:color w:val="auto"/>
        </w:rPr>
        <w:t>7</w:t>
      </w:r>
      <w:r>
        <w:rPr>
          <w:rFonts w:asciiTheme="majorBidi" w:hAnsiTheme="majorBidi" w:cstheme="majorBidi"/>
          <w:color w:val="auto"/>
        </w:rPr>
        <w:fldChar w:fldCharType="end"/>
        <w:t>. Summary risk of bias for accessibility studies: Stacked bar chart showing the distribution of risk-of-bias ratings across ROBINS-E domains for studies examining greenspace accessibility and physical activity.</w:t>
      </w:r>
    </w:p>
    <w:p w14:paraId="02C1100F" w14:textId="77777777" w:rsidR="00CB4C05" w:rsidRPr="009C5AD2" w:rsidRDefault="00CB4C05" w:rsidP="00EB241B">
      <w:pPr>
        <w:pStyle w:val="Default"/>
        <w:spacing w:line="183" w:lineRule="atLeast"/>
        <w:jc w:val="both"/>
        <w:rPr>
          <w:rFonts w:asciiTheme="majorBidi" w:hAnsiTheme="majorBidi" w:cstheme="majorBidi"/>
          <w:b/>
          <w:color w:val="auto"/>
          <w:sz w:val="21"/>
          <w:szCs w:val="21"/>
          <w:shd w:val="clear" w:color="auto" w:fill="FFFFFF" w:themeFill="background1"/>
          <w:lang w:eastAsia="zh-CN"/>
        </w:rPr>
      </w:pPr>
    </w:p>
    <w:p w14:paraId="2F9BA3C7" w14:textId="02D44DE3" w:rsidR="00A33B91" w:rsidRPr="009C5AD2" w:rsidRDefault="00A33B91">
      <w:pPr>
        <w:rPr>
          <w:rFonts w:asciiTheme="majorBidi" w:hAnsiTheme="majorBidi" w:cstheme="majorBidi"/>
          <w:szCs w:val="21"/>
          <w:shd w:val="clear" w:color="auto" w:fill="FFFFFF" w:themeFill="background1"/>
        </w:rPr>
      </w:pPr>
    </w:p>
    <w:p w14:paraId="3B533EB7" w14:textId="77777777" w:rsidR="00CB0DEB" w:rsidRPr="009C5AD2" w:rsidRDefault="00CB0DEB">
      <w:pPr>
        <w:rPr>
          <w:rFonts w:asciiTheme="majorBidi" w:hAnsiTheme="majorBidi" w:cstheme="majorBidi"/>
          <w:szCs w:val="21"/>
          <w:shd w:val="clear" w:color="auto" w:fill="FFFFFF" w:themeFill="background1"/>
        </w:rPr>
      </w:pPr>
    </w:p>
    <w:p w14:paraId="3BB694B0" w14:textId="77777777" w:rsidR="00CB0DEB" w:rsidRPr="009C5AD2" w:rsidRDefault="00CB0DEB">
      <w:pPr>
        <w:rPr>
          <w:rFonts w:asciiTheme="majorBidi" w:hAnsiTheme="majorBidi" w:cstheme="majorBidi"/>
          <w:szCs w:val="21"/>
          <w:shd w:val="clear" w:color="auto" w:fill="FFFFFF" w:themeFill="background1"/>
        </w:rPr>
      </w:pPr>
    </w:p>
    <w:p w14:paraId="66057B60" w14:textId="77777777" w:rsidR="00CB0DEB" w:rsidRPr="009C5AD2" w:rsidRDefault="00CB0DEB">
      <w:pPr>
        <w:rPr>
          <w:rFonts w:asciiTheme="majorBidi" w:hAnsiTheme="majorBidi" w:cstheme="majorBidi"/>
          <w:szCs w:val="21"/>
          <w:shd w:val="clear" w:color="auto" w:fill="FFFFFF" w:themeFill="background1"/>
        </w:rPr>
      </w:pPr>
    </w:p>
    <w:p w14:paraId="6C3F4410" w14:textId="77777777" w:rsidR="00CB0DEB" w:rsidRPr="009C5AD2" w:rsidRDefault="00CB0DEB">
      <w:pPr>
        <w:rPr>
          <w:rFonts w:asciiTheme="majorBidi" w:hAnsiTheme="majorBidi" w:cstheme="majorBidi"/>
          <w:szCs w:val="21"/>
          <w:shd w:val="clear" w:color="auto" w:fill="FFFFFF" w:themeFill="background1"/>
        </w:rPr>
      </w:pPr>
    </w:p>
    <w:p w14:paraId="13C7700B" w14:textId="77777777" w:rsidR="00070E8C" w:rsidRDefault="00070E8C" w:rsidP="00070E8C">
      <w:pPr>
        <w:keepNext/>
      </w:pPr>
      <w:r>
        <w:rPr>
          <w:rFonts w:asciiTheme="majorBidi" w:hAnsiTheme="majorBidi" w:cstheme="majorBidi"/>
          <w:noProof/>
          <w:szCs w:val="21"/>
          <w:shd w:val="clear" w:color="auto" w:fill="FFFFFF" w:themeFill="background1"/>
        </w:rPr>
        <w:lastRenderedPageBreak/>
        <w:drawing>
          <wp:inline distT="0" distB="0" distL="0" distR="0" wp14:anchorId="38C128CE" wp14:editId="0E3A12A6">
            <wp:extent cx="7999730" cy="3376930"/>
            <wp:effectExtent l="0" t="0" r="1270" b="0"/>
            <wp:docPr id="1473429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99730" cy="3376930"/>
                    </a:xfrm>
                    <a:prstGeom prst="rect">
                      <a:avLst/>
                    </a:prstGeom>
                    <a:noFill/>
                    <a:ln>
                      <a:noFill/>
                    </a:ln>
                  </pic:spPr>
                </pic:pic>
              </a:graphicData>
            </a:graphic>
          </wp:inline>
        </w:drawing>
      </w:r>
    </w:p>
    <w:p w14:paraId="40DA0DB8" w14:textId="77777777" w:rsidR="00070E8C" w:rsidRPr="00070E8C" w:rsidRDefault="00070E8C" w:rsidP="00070E8C">
      <w:pPr>
        <w:pStyle w:val="Caption"/>
        <w:rPr>
          <w:rFonts w:asciiTheme="majorBidi" w:hAnsiTheme="majorBidi" w:cstheme="majorBidi"/>
          <w:color w:val="auto"/>
        </w:rPr>
      </w:pPr>
      <w:r>
        <w:rPr>
          <w:rFonts w:asciiTheme="majorBidi" w:hAnsiTheme="majorBidi" w:cstheme="majorBidi"/>
          <w:color w:val="auto"/>
        </w:rPr>
        <w:t>Figure C</w:t>
        <w:fldChar w:fldCharType="begin"/>
        <w:instrText xml:space="preserve"> SEQ Figure \* ARABIC </w:instrText>
        <w:fldChar w:fldCharType="separate"/>
        <w:t>8</w:t>
        <w:fldChar w:fldCharType="end"/>
        <w:t>. Summary risk of bias for morphology studies: Stacked bar chart showing the distribution of risk-of-bias ratings across ROBINS-E domains for studies examining greenspace morphology and physical activity.</w:t>
      </w:r>
    </w:p>
    <w:p w14:paraId="22C49597" w14:textId="084D1367" w:rsidR="00CB0DEB" w:rsidRPr="009C5AD2" w:rsidRDefault="00CB0DEB" w:rsidP="00070E8C">
      <w:pPr>
        <w:pStyle w:val="Caption"/>
        <w:rPr>
          <w:rFonts w:asciiTheme="majorBidi" w:hAnsiTheme="majorBidi" w:cstheme="majorBidi"/>
          <w:szCs w:val="21"/>
          <w:shd w:val="clear" w:color="auto" w:fill="FFFFFF" w:themeFill="background1"/>
        </w:rPr>
      </w:pPr>
    </w:p>
    <w:p w14:paraId="4EC9AF2A" w14:textId="77777777" w:rsidR="00CB0DEB" w:rsidRPr="009C5AD2" w:rsidRDefault="00CB0DEB">
      <w:pPr>
        <w:rPr>
          <w:rFonts w:asciiTheme="majorBidi" w:hAnsiTheme="majorBidi" w:cstheme="majorBidi"/>
          <w:szCs w:val="21"/>
          <w:shd w:val="clear" w:color="auto" w:fill="FFFFFF" w:themeFill="background1"/>
        </w:rPr>
      </w:pPr>
    </w:p>
    <w:p w14:paraId="1A24DEDF" w14:textId="77777777" w:rsidR="00CB0DEB" w:rsidRPr="009C5AD2" w:rsidRDefault="00CB0DEB">
      <w:pPr>
        <w:rPr>
          <w:rFonts w:asciiTheme="majorBidi" w:hAnsiTheme="majorBidi" w:cstheme="majorBidi"/>
          <w:szCs w:val="21"/>
          <w:shd w:val="clear" w:color="auto" w:fill="FFFFFF" w:themeFill="background1"/>
        </w:rPr>
      </w:pPr>
    </w:p>
    <w:p w14:paraId="363AC96B" w14:textId="77777777" w:rsidR="00CB0DEB" w:rsidRPr="009C5AD2" w:rsidRDefault="00CB0DEB">
      <w:pPr>
        <w:rPr>
          <w:rFonts w:asciiTheme="majorBidi" w:hAnsiTheme="majorBidi" w:cstheme="majorBidi"/>
          <w:szCs w:val="21"/>
          <w:shd w:val="clear" w:color="auto" w:fill="FFFFFF" w:themeFill="background1"/>
        </w:rPr>
      </w:pPr>
    </w:p>
    <w:p w14:paraId="2BE50F26" w14:textId="77777777" w:rsidR="00CB0DEB" w:rsidRPr="009C5AD2" w:rsidRDefault="00CB0DEB">
      <w:pPr>
        <w:rPr>
          <w:rFonts w:asciiTheme="majorBidi" w:hAnsiTheme="majorBidi" w:cstheme="majorBidi"/>
          <w:szCs w:val="21"/>
          <w:shd w:val="clear" w:color="auto" w:fill="FFFFFF" w:themeFill="background1"/>
        </w:rPr>
      </w:pPr>
    </w:p>
    <w:p w14:paraId="4C3492FC" w14:textId="77777777" w:rsidR="00E45623" w:rsidRDefault="00E45623">
      <w:pPr>
        <w:rPr>
          <w:rFonts w:asciiTheme="majorBidi" w:hAnsiTheme="majorBidi" w:cstheme="majorBidi"/>
          <w:szCs w:val="21"/>
          <w:shd w:val="clear" w:color="auto" w:fill="FFFFFF" w:themeFill="background1"/>
        </w:rPr>
        <w:sectPr w:rsidR="00E45623" w:rsidSect="003962F8">
          <w:pgSz w:w="16838" w:h="11906" w:orient="landscape"/>
          <w:pgMar w:top="1800" w:right="1440" w:bottom="1800" w:left="1440" w:header="851" w:footer="992" w:gutter="0"/>
          <w:cols w:space="425"/>
          <w:docGrid w:type="lines" w:linePitch="312"/>
        </w:sectPr>
      </w:pPr>
    </w:p>
    <w:p w14:paraId="36A7F352" w14:textId="77777777" w:rsidR="00E45623" w:rsidRPr="003B2FCF" w:rsidRDefault="00E45623" w:rsidP="0049406A">
      <w:pPr>
        <w:rPr>
          <w:rFonts w:asciiTheme="majorBidi" w:hAnsiTheme="majorBidi" w:cstheme="majorBidi"/>
          <w:b/>
          <w:bCs/>
          <w:sz w:val="24"/>
          <w:szCs w:val="24"/>
          <w:shd w:val="clear" w:color="auto" w:fill="FFFFFF" w:themeFill="background1"/>
        </w:rPr>
      </w:pPr>
      <w:r>
        <w:rPr>
          <w:rFonts w:asciiTheme="majorBidi" w:hAnsiTheme="majorBidi" w:cstheme="majorBidi"/>
          <w:b/>
          <w:bCs/>
          <w:sz w:val="24"/>
          <w:szCs w:val="24"/>
          <w:shd w:val="clear" w:color="auto" w:fill="FFFFFF" w:themeFill="background1"/>
        </w:rPr>
        <w:lastRenderedPageBreak/>
        <w:t>Supplementary Information D. Data Extraction Table</w:t>
      </w:r>
    </w:p>
    <w:p w14:paraId="642E520D" w14:textId="77777777" w:rsidR="00E45623" w:rsidRPr="003B2FCF" w:rsidRDefault="00E45623" w:rsidP="00453473">
      <w:pPr>
        <w:jc w:val="left"/>
        <w:rPr>
          <w:rFonts w:asciiTheme="majorBidi" w:hAnsiTheme="majorBidi" w:cstheme="majorBidi"/>
          <w:sz w:val="22"/>
          <w:shd w:val="clear" w:color="auto" w:fill="FFFFFF" w:themeFill="background1"/>
        </w:rPr>
      </w:pPr>
      <w:r>
        <w:rPr>
          <w:rFonts w:asciiTheme="majorBidi" w:hAnsiTheme="majorBidi" w:cstheme="majorBidi"/>
          <w:sz w:val="22"/>
          <w:shd w:val="clear" w:color="auto" w:fill="FFFFFF" w:themeFill="background1"/>
        </w:rPr>
        <w:t>Detailed characteristics of all included studies are presented in this appendix. To improve clarity and consistency with the analytical framework, studies are grouped by greenspace exposure family: satellite-derived greenness (NDVI), proximity, accessibility, and landscape morphology.</w:t>
      </w:r>
    </w:p>
    <w:p w14:paraId="2F883830" w14:textId="44A7BD84" w:rsidR="00E45623" w:rsidRPr="003B2FCF" w:rsidRDefault="00E45623" w:rsidP="003B2FCF">
      <w:pPr>
        <w:jc w:val="left"/>
        <w:rPr>
          <w:rFonts w:asciiTheme="majorBidi" w:hAnsiTheme="majorBidi" w:cstheme="majorBidi"/>
          <w:sz w:val="22"/>
          <w:shd w:val="clear" w:color="auto" w:fill="FFFFFF" w:themeFill="background1"/>
        </w:rPr>
      </w:pPr>
      <w:r>
        <w:rPr>
          <w:rFonts w:asciiTheme="majorBidi" w:hAnsiTheme="majorBidi" w:cstheme="majorBidi"/>
          <w:sz w:val="22"/>
          <w:shd w:val="clear" w:color="auto" w:fill="FFFFFF" w:themeFill="background1"/>
        </w:rPr>
        <w:t>For each study, we report key information including study location, population, study design, exposure definition, spatial scale, physical activity outcome, and effect direction. This structured presentation supports transparency and enables comparison across heterogeneous measurement approaches.</w:t>
      </w:r>
    </w:p>
    <w:p w14:paraId="147EA14A" w14:textId="77777777" w:rsidR="00E45623" w:rsidRDefault="00E45623" w:rsidP="00E45623">
      <w:pPr>
        <w:ind w:firstLine="420"/>
        <w:rPr>
          <w:rFonts w:asciiTheme="majorBidi" w:hAnsiTheme="majorBidi" w:cstheme="majorBidi"/>
          <w:szCs w:val="21"/>
          <w:shd w:val="clear" w:color="auto" w:fill="FFFFFF" w:themeFill="background1"/>
        </w:rPr>
      </w:pPr>
    </w:p>
    <w:p w14:paraId="2F477FF7" w14:textId="1B478E5E" w:rsidR="00453473" w:rsidRPr="00453473" w:rsidRDefault="00453473" w:rsidP="00453473">
      <w:pPr>
        <w:pStyle w:val="Caption"/>
        <w:keepNext/>
        <w:rPr>
          <w:rFonts w:asciiTheme="majorBidi" w:hAnsiTheme="majorBidi" w:cstheme="majorBidi"/>
          <w:b/>
          <w:bCs/>
          <w:color w:val="auto"/>
          <w:sz w:val="24"/>
          <w:szCs w:val="24"/>
        </w:rPr>
      </w:pPr>
      <w:r>
        <w:rPr>
          <w:rFonts w:asciiTheme="majorBidi" w:hAnsiTheme="majorBidi" w:cstheme="majorBidi"/>
          <w:b/>
          <w:bCs/>
          <w:color w:val="auto"/>
          <w:sz w:val="24"/>
          <w:szCs w:val="24"/>
        </w:rPr>
        <w:t>Table D</w:t>
        <w:fldChar w:fldCharType="begin"/>
        <w:instrText xml:space="preserve"> SEQ Table \* ARABIC </w:instrText>
        <w:fldChar w:fldCharType="separate"/>
      </w:r>
      <w:r>
        <w:rPr>
          <w:rFonts w:asciiTheme="majorBidi" w:hAnsiTheme="majorBidi" w:cstheme="majorBidi"/>
          <w:b/>
          <w:bCs/>
          <w:noProof/>
          <w:color w:val="auto"/>
          <w:sz w:val="24"/>
          <w:szCs w:val="24"/>
        </w:rPr>
        <w:t>1</w:t>
      </w:r>
      <w:r>
        <w:rPr>
          <w:rFonts w:asciiTheme="majorBidi" w:hAnsiTheme="majorBidi" w:cstheme="majorBidi"/>
          <w:b/>
          <w:bCs/>
          <w:color w:val="auto"/>
          <w:sz w:val="24"/>
          <w:szCs w:val="24"/>
        </w:rPr>
        <w:fldChar w:fldCharType="end"/>
        <w:t>. NDVI studies (n = 47)</w:t>
      </w:r>
    </w:p>
    <w:tbl>
      <w:tblPr>
        <w:tblW w:w="21505" w:type="dxa"/>
        <w:tblLayout w:type="fixed"/>
        <w:tblLook w:val="0000" w:firstRow="0" w:lastRow="0" w:firstColumn="0" w:lastColumn="0" w:noHBand="0" w:noVBand="0"/>
      </w:tblPr>
      <w:tblGrid>
        <w:gridCol w:w="1174"/>
        <w:gridCol w:w="899"/>
        <w:gridCol w:w="1079"/>
        <w:gridCol w:w="990"/>
        <w:gridCol w:w="1350"/>
        <w:gridCol w:w="1440"/>
        <w:gridCol w:w="994"/>
        <w:gridCol w:w="1166"/>
        <w:gridCol w:w="1264"/>
        <w:gridCol w:w="1796"/>
        <w:gridCol w:w="1264"/>
        <w:gridCol w:w="1339"/>
        <w:gridCol w:w="1170"/>
        <w:gridCol w:w="1440"/>
        <w:gridCol w:w="1350"/>
        <w:gridCol w:w="1170"/>
        <w:gridCol w:w="1620"/>
      </w:tblGrid>
      <w:tr w:rsidR="004301B5" w:rsidRPr="002D669D" w14:paraId="3866457D" w14:textId="77777777" w:rsidTr="004301B5">
        <w:trPr>
          <w:trHeight w:val="377"/>
        </w:trPr>
        <w:tc>
          <w:tcPr>
            <w:tcW w:w="2073" w:type="dxa"/>
            <w:gridSpan w:val="2"/>
            <w:tcBorders>
              <w:top w:val="single" w:sz="12" w:space="0" w:color="auto"/>
              <w:left w:val="single" w:sz="4" w:space="0" w:color="auto"/>
              <w:bottom w:val="single" w:sz="12" w:space="0" w:color="auto"/>
              <w:right w:val="single" w:sz="6" w:space="0" w:color="auto"/>
            </w:tcBorders>
          </w:tcPr>
          <w:p w14:paraId="39F1EDCD" w14:textId="77777777" w:rsidR="004301B5" w:rsidRPr="002D669D" w:rsidRDefault="004301B5"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Study Identification &amp; General Info</w:t>
            </w:r>
          </w:p>
        </w:tc>
        <w:tc>
          <w:tcPr>
            <w:tcW w:w="3419" w:type="dxa"/>
            <w:gridSpan w:val="3"/>
            <w:tcBorders>
              <w:top w:val="single" w:sz="12" w:space="0" w:color="auto"/>
              <w:left w:val="single" w:sz="6" w:space="0" w:color="auto"/>
              <w:bottom w:val="single" w:sz="12" w:space="0" w:color="auto"/>
              <w:right w:val="single" w:sz="6" w:space="0" w:color="auto"/>
            </w:tcBorders>
          </w:tcPr>
          <w:p w14:paraId="113C9164" w14:textId="77777777" w:rsidR="004301B5" w:rsidRPr="002D669D" w:rsidRDefault="004301B5"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Study Design &amp; Population</w:t>
            </w:r>
          </w:p>
        </w:tc>
        <w:tc>
          <w:tcPr>
            <w:tcW w:w="3600" w:type="dxa"/>
            <w:gridSpan w:val="3"/>
            <w:tcBorders>
              <w:top w:val="single" w:sz="12" w:space="0" w:color="auto"/>
              <w:left w:val="single" w:sz="6" w:space="0" w:color="auto"/>
              <w:bottom w:val="single" w:sz="12" w:space="0" w:color="auto"/>
              <w:right w:val="single" w:sz="6" w:space="0" w:color="auto"/>
            </w:tcBorders>
          </w:tcPr>
          <w:p w14:paraId="5BA25A7B" w14:textId="77777777" w:rsidR="004301B5" w:rsidRPr="002D669D" w:rsidRDefault="004301B5"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Greenness / NDVI Exposure Details</w:t>
            </w:r>
          </w:p>
        </w:tc>
        <w:tc>
          <w:tcPr>
            <w:tcW w:w="3060" w:type="dxa"/>
            <w:gridSpan w:val="2"/>
            <w:tcBorders>
              <w:top w:val="single" w:sz="12" w:space="0" w:color="auto"/>
              <w:left w:val="single" w:sz="6" w:space="0" w:color="auto"/>
              <w:bottom w:val="single" w:sz="12" w:space="0" w:color="auto"/>
              <w:right w:val="single" w:sz="6" w:space="0" w:color="auto"/>
            </w:tcBorders>
          </w:tcPr>
          <w:p w14:paraId="7E760083" w14:textId="77777777" w:rsidR="004301B5" w:rsidRPr="002D669D" w:rsidRDefault="004301B5"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Physical Activity (PA) Outcome Details</w:t>
            </w:r>
          </w:p>
        </w:tc>
        <w:tc>
          <w:tcPr>
            <w:tcW w:w="9353" w:type="dxa"/>
            <w:gridSpan w:val="7"/>
            <w:tcBorders>
              <w:top w:val="single" w:sz="12" w:space="0" w:color="auto"/>
              <w:left w:val="single" w:sz="6" w:space="0" w:color="auto"/>
              <w:bottom w:val="single" w:sz="12" w:space="0" w:color="auto"/>
              <w:right w:val="single" w:sz="6" w:space="0" w:color="auto"/>
            </w:tcBorders>
          </w:tcPr>
          <w:p w14:paraId="0FFEAE02" w14:textId="77777777" w:rsidR="004301B5" w:rsidRPr="002D669D" w:rsidRDefault="004301B5"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Statistical Analysis &amp; Results</w:t>
            </w:r>
          </w:p>
        </w:tc>
      </w:tr>
      <w:tr w:rsidR="004301B5" w:rsidRPr="002D669D" w14:paraId="4D5E1B32" w14:textId="77777777" w:rsidTr="00A136E2">
        <w:trPr>
          <w:trHeight w:val="1113"/>
        </w:trPr>
        <w:tc>
          <w:tcPr>
            <w:tcW w:w="1174" w:type="dxa"/>
            <w:tcBorders>
              <w:top w:val="nil"/>
              <w:left w:val="single" w:sz="4" w:space="0" w:color="auto"/>
              <w:bottom w:val="single" w:sz="12" w:space="0" w:color="auto"/>
              <w:right w:val="single" w:sz="6" w:space="0" w:color="auto"/>
            </w:tcBorders>
          </w:tcPr>
          <w:p w14:paraId="6901E165" w14:textId="77777777" w:rsidR="004301B5" w:rsidRPr="002D669D" w:rsidRDefault="004301B5" w:rsidP="00693EBB">
            <w:pPr>
              <w:autoSpaceDE w:val="0"/>
              <w:autoSpaceDN w:val="0"/>
              <w:adjustRightInd w:val="0"/>
              <w:jc w:val="center"/>
              <w:rPr>
                <w:rFonts w:asciiTheme="majorBidi" w:hAnsiTheme="majorBidi" w:cstheme="majorBidi"/>
                <w:color w:val="000000"/>
                <w:kern w:val="0"/>
                <w:sz w:val="18"/>
                <w:szCs w:val="18"/>
              </w:rPr>
            </w:pPr>
            <w:r>
              <w:rPr>
                <w:rFonts w:asciiTheme="majorBidi" w:hAnsiTheme="majorBidi" w:cstheme="majorBidi"/>
                <w:color w:val="000000"/>
                <w:kern w:val="0"/>
                <w:sz w:val="18"/>
                <w:szCs w:val="18"/>
              </w:rPr>
              <w:t>Study</w:t>
            </w:r>
          </w:p>
        </w:tc>
        <w:tc>
          <w:tcPr>
            <w:tcW w:w="899" w:type="dxa"/>
            <w:tcBorders>
              <w:top w:val="nil"/>
              <w:left w:val="single" w:sz="6" w:space="0" w:color="auto"/>
              <w:bottom w:val="single" w:sz="12" w:space="0" w:color="auto"/>
              <w:right w:val="single" w:sz="6" w:space="0" w:color="auto"/>
            </w:tcBorders>
          </w:tcPr>
          <w:p w14:paraId="0830D3FC"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Country / Region</w:t>
            </w:r>
          </w:p>
        </w:tc>
        <w:tc>
          <w:tcPr>
            <w:tcW w:w="1079" w:type="dxa"/>
            <w:tcBorders>
              <w:top w:val="nil"/>
              <w:left w:val="single" w:sz="6" w:space="0" w:color="auto"/>
              <w:bottom w:val="single" w:sz="12" w:space="0" w:color="auto"/>
              <w:right w:val="single" w:sz="6" w:space="0" w:color="auto"/>
            </w:tcBorders>
          </w:tcPr>
          <w:p w14:paraId="54411A6D"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Study Design</w:t>
            </w:r>
          </w:p>
        </w:tc>
        <w:tc>
          <w:tcPr>
            <w:tcW w:w="990" w:type="dxa"/>
            <w:tcBorders>
              <w:top w:val="nil"/>
              <w:left w:val="single" w:sz="6" w:space="0" w:color="auto"/>
              <w:bottom w:val="single" w:sz="12" w:space="0" w:color="auto"/>
              <w:right w:val="single" w:sz="6" w:space="0" w:color="auto"/>
            </w:tcBorders>
          </w:tcPr>
          <w:p w14:paraId="609FA40F"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Sample Size</w:t>
            </w:r>
          </w:p>
        </w:tc>
        <w:tc>
          <w:tcPr>
            <w:tcW w:w="1350" w:type="dxa"/>
            <w:tcBorders>
              <w:top w:val="nil"/>
              <w:left w:val="single" w:sz="6" w:space="0" w:color="auto"/>
              <w:bottom w:val="single" w:sz="12" w:space="0" w:color="auto"/>
              <w:right w:val="single" w:sz="6" w:space="0" w:color="auto"/>
            </w:tcBorders>
          </w:tcPr>
          <w:p w14:paraId="6765B2D5"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Population </w:t>
            </w:r>
          </w:p>
          <w:p w14:paraId="438A77FC"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p>
        </w:tc>
        <w:tc>
          <w:tcPr>
            <w:tcW w:w="1440" w:type="dxa"/>
            <w:tcBorders>
              <w:top w:val="nil"/>
              <w:left w:val="single" w:sz="6" w:space="0" w:color="auto"/>
              <w:bottom w:val="single" w:sz="12" w:space="0" w:color="auto"/>
              <w:right w:val="single" w:sz="6" w:space="0" w:color="auto"/>
            </w:tcBorders>
          </w:tcPr>
          <w:p w14:paraId="3229D9E3"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Source</w:t>
            </w:r>
          </w:p>
          <w:p w14:paraId="0A989D0E"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(MODIS, Landsat, Sentinel)</w:t>
            </w:r>
          </w:p>
        </w:tc>
        <w:tc>
          <w:tcPr>
            <w:tcW w:w="994" w:type="dxa"/>
            <w:tcBorders>
              <w:top w:val="nil"/>
              <w:left w:val="single" w:sz="6" w:space="0" w:color="auto"/>
              <w:bottom w:val="single" w:sz="12" w:space="0" w:color="auto"/>
              <w:right w:val="single" w:sz="6" w:space="0" w:color="auto"/>
            </w:tcBorders>
          </w:tcPr>
          <w:p w14:paraId="1BCDCF6C"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6"/>
                <w:szCs w:val="16"/>
              </w:rPr>
              <w:t>Spatial Resolution</w:t>
            </w:r>
          </w:p>
        </w:tc>
        <w:tc>
          <w:tcPr>
            <w:tcW w:w="1166" w:type="dxa"/>
            <w:tcBorders>
              <w:top w:val="nil"/>
              <w:left w:val="single" w:sz="6" w:space="0" w:color="auto"/>
              <w:bottom w:val="single" w:sz="12" w:space="0" w:color="auto"/>
              <w:right w:val="single" w:sz="6" w:space="0" w:color="auto"/>
            </w:tcBorders>
          </w:tcPr>
          <w:p w14:paraId="419B1197"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Buffer Size</w:t>
            </w:r>
          </w:p>
        </w:tc>
        <w:tc>
          <w:tcPr>
            <w:tcW w:w="1264" w:type="dxa"/>
            <w:tcBorders>
              <w:top w:val="nil"/>
              <w:left w:val="single" w:sz="6" w:space="0" w:color="auto"/>
              <w:bottom w:val="single" w:sz="12" w:space="0" w:color="auto"/>
              <w:right w:val="single" w:sz="6" w:space="0" w:color="auto"/>
            </w:tcBorders>
          </w:tcPr>
          <w:p w14:paraId="74FE9FE6"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PA Outcome Type</w:t>
            </w:r>
          </w:p>
        </w:tc>
        <w:tc>
          <w:tcPr>
            <w:tcW w:w="1796" w:type="dxa"/>
            <w:tcBorders>
              <w:top w:val="nil"/>
              <w:left w:val="single" w:sz="6" w:space="0" w:color="auto"/>
              <w:bottom w:val="single" w:sz="12" w:space="0" w:color="auto"/>
              <w:right w:val="single" w:sz="6" w:space="0" w:color="auto"/>
            </w:tcBorders>
          </w:tcPr>
          <w:p w14:paraId="674936C9"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Measurement Method</w:t>
            </w:r>
          </w:p>
          <w:p w14:paraId="7EC79D26"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(self-reported questionnaire, accelerometer, pedometer, GPS)</w:t>
            </w:r>
          </w:p>
        </w:tc>
        <w:tc>
          <w:tcPr>
            <w:tcW w:w="1264" w:type="dxa"/>
            <w:tcBorders>
              <w:top w:val="nil"/>
              <w:left w:val="single" w:sz="6" w:space="0" w:color="auto"/>
              <w:bottom w:val="single" w:sz="12" w:space="0" w:color="auto"/>
              <w:right w:val="single" w:sz="6" w:space="0" w:color="auto"/>
            </w:tcBorders>
          </w:tcPr>
          <w:p w14:paraId="4AE4BCBB"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Statistical Model</w:t>
            </w:r>
          </w:p>
          <w:p w14:paraId="44292A93" w14:textId="159ED5E5" w:rsidR="004301B5" w:rsidRPr="002D669D" w:rsidRDefault="004301B5" w:rsidP="00693EBB">
            <w:pPr>
              <w:autoSpaceDE w:val="0"/>
              <w:autoSpaceDN w:val="0"/>
              <w:adjustRightInd w:val="0"/>
              <w:rPr>
                <w:rFonts w:asciiTheme="majorBidi" w:hAnsiTheme="majorBidi" w:cstheme="majorBidi"/>
                <w:color w:val="000000"/>
                <w:kern w:val="0"/>
                <w:sz w:val="18"/>
                <w:szCs w:val="18"/>
              </w:rPr>
            </w:pPr>
          </w:p>
        </w:tc>
        <w:tc>
          <w:tcPr>
            <w:tcW w:w="1339" w:type="dxa"/>
            <w:tcBorders>
              <w:top w:val="nil"/>
              <w:left w:val="single" w:sz="6" w:space="0" w:color="auto"/>
              <w:bottom w:val="single" w:sz="12" w:space="0" w:color="auto"/>
              <w:right w:val="single" w:sz="6" w:space="0" w:color="auto"/>
            </w:tcBorders>
          </w:tcPr>
          <w:p w14:paraId="7A531EAB"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Covariates Adjusted For</w:t>
            </w:r>
          </w:p>
          <w:p w14:paraId="61CC7B15" w14:textId="26408E46"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tc>
        <w:tc>
          <w:tcPr>
            <w:tcW w:w="1170" w:type="dxa"/>
            <w:tcBorders>
              <w:top w:val="nil"/>
              <w:left w:val="single" w:sz="6" w:space="0" w:color="auto"/>
              <w:bottom w:val="single" w:sz="12" w:space="0" w:color="auto"/>
              <w:right w:val="single" w:sz="6" w:space="0" w:color="auto"/>
            </w:tcBorders>
          </w:tcPr>
          <w:p w14:paraId="7C9AC34B" w14:textId="77777777" w:rsidR="004301B5" w:rsidRPr="002D669D" w:rsidRDefault="004301B5" w:rsidP="00453473">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Effect Estimate Type </w:t>
            </w:r>
          </w:p>
          <w:p w14:paraId="58431F50" w14:textId="09806A17" w:rsidR="004301B5" w:rsidRPr="002D669D" w:rsidRDefault="004301B5" w:rsidP="00453473">
            <w:pPr>
              <w:autoSpaceDE w:val="0"/>
              <w:autoSpaceDN w:val="0"/>
              <w:adjustRightInd w:val="0"/>
              <w:jc w:val="left"/>
              <w:rPr>
                <w:rFonts w:asciiTheme="majorBidi" w:hAnsiTheme="majorBidi" w:cstheme="majorBidi"/>
                <w:color w:val="000000"/>
                <w:kern w:val="0"/>
                <w:sz w:val="18"/>
                <w:szCs w:val="18"/>
              </w:rPr>
            </w:pPr>
          </w:p>
        </w:tc>
        <w:tc>
          <w:tcPr>
            <w:tcW w:w="1440" w:type="dxa"/>
            <w:tcBorders>
              <w:top w:val="nil"/>
              <w:left w:val="single" w:sz="6" w:space="0" w:color="auto"/>
              <w:bottom w:val="single" w:sz="12" w:space="0" w:color="auto"/>
              <w:right w:val="single" w:sz="6" w:space="0" w:color="auto"/>
            </w:tcBorders>
          </w:tcPr>
          <w:p w14:paraId="22151EB3"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Effect Estimate</w:t>
            </w:r>
          </w:p>
          <w:p w14:paraId="1F477C51" w14:textId="1E72BB2A" w:rsidR="004301B5" w:rsidRPr="002D669D" w:rsidRDefault="004301B5" w:rsidP="00693EBB">
            <w:pPr>
              <w:autoSpaceDE w:val="0"/>
              <w:autoSpaceDN w:val="0"/>
              <w:adjustRightInd w:val="0"/>
              <w:rPr>
                <w:rFonts w:asciiTheme="majorBidi" w:hAnsiTheme="majorBidi" w:cstheme="majorBidi"/>
                <w:color w:val="000000"/>
                <w:kern w:val="0"/>
                <w:sz w:val="18"/>
                <w:szCs w:val="18"/>
              </w:rPr>
            </w:pPr>
          </w:p>
        </w:tc>
        <w:tc>
          <w:tcPr>
            <w:tcW w:w="1350" w:type="dxa"/>
            <w:tcBorders>
              <w:top w:val="nil"/>
              <w:left w:val="single" w:sz="6" w:space="0" w:color="auto"/>
              <w:bottom w:val="single" w:sz="12" w:space="0" w:color="auto"/>
              <w:right w:val="single" w:sz="6" w:space="0" w:color="auto"/>
            </w:tcBorders>
          </w:tcPr>
          <w:p w14:paraId="1478E740" w14:textId="77777777" w:rsidR="004301B5" w:rsidRPr="002D669D" w:rsidRDefault="004301B5" w:rsidP="00453473">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95% Confidence </w:t>
            </w:r>
          </w:p>
          <w:p w14:paraId="7D4C4216" w14:textId="77777777" w:rsidR="004301B5" w:rsidRPr="002D669D" w:rsidRDefault="004301B5" w:rsidP="00453473">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Interval / Standard Error</w:t>
            </w:r>
          </w:p>
        </w:tc>
        <w:tc>
          <w:tcPr>
            <w:tcW w:w="1170" w:type="dxa"/>
            <w:tcBorders>
              <w:top w:val="nil"/>
              <w:left w:val="single" w:sz="6" w:space="0" w:color="auto"/>
              <w:bottom w:val="single" w:sz="12" w:space="0" w:color="auto"/>
              <w:right w:val="single" w:sz="6" w:space="0" w:color="auto"/>
            </w:tcBorders>
          </w:tcPr>
          <w:p w14:paraId="71903CE7" w14:textId="77777777" w:rsidR="004301B5" w:rsidRPr="002D669D" w:rsidRDefault="004301B5"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p-value</w:t>
            </w:r>
          </w:p>
        </w:tc>
        <w:tc>
          <w:tcPr>
            <w:tcW w:w="1620" w:type="dxa"/>
            <w:tcBorders>
              <w:top w:val="nil"/>
              <w:left w:val="single" w:sz="6" w:space="0" w:color="auto"/>
              <w:bottom w:val="single" w:sz="12" w:space="0" w:color="auto"/>
              <w:right w:val="single" w:sz="6" w:space="0" w:color="auto"/>
            </w:tcBorders>
          </w:tcPr>
          <w:p w14:paraId="457D4DF2" w14:textId="1BC6E96B" w:rsidR="004301B5" w:rsidRPr="002D669D" w:rsidRDefault="004301B5" w:rsidP="00453473">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Direction of Association</w:t>
            </w:r>
          </w:p>
          <w:p w14:paraId="732429A2" w14:textId="77777777" w:rsidR="004301B5" w:rsidRPr="002D669D" w:rsidRDefault="004301B5" w:rsidP="00453473">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negative, null)</w:t>
            </w:r>
          </w:p>
        </w:tc>
      </w:tr>
      <w:tr w:rsidR="004301B5" w:rsidRPr="002D669D" w14:paraId="1983AD40" w14:textId="77777777" w:rsidTr="00A136E2">
        <w:trPr>
          <w:trHeight w:val="2487"/>
        </w:trPr>
        <w:tc>
          <w:tcPr>
            <w:tcW w:w="1174" w:type="dxa"/>
            <w:tcBorders>
              <w:top w:val="single" w:sz="12" w:space="0" w:color="auto"/>
              <w:left w:val="single" w:sz="4" w:space="0" w:color="auto"/>
              <w:bottom w:val="single" w:sz="6" w:space="0" w:color="auto"/>
              <w:right w:val="single" w:sz="6" w:space="0" w:color="auto"/>
            </w:tcBorders>
          </w:tcPr>
          <w:p w14:paraId="53E028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Almanza et al. </w:t>
            </w:r>
          </w:p>
          <w:p w14:paraId="59735E0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2012</w:t>
            </w:r>
          </w:p>
        </w:tc>
        <w:tc>
          <w:tcPr>
            <w:tcW w:w="899" w:type="dxa"/>
            <w:tcBorders>
              <w:top w:val="single" w:sz="12" w:space="0" w:color="auto"/>
              <w:left w:val="single" w:sz="6" w:space="0" w:color="auto"/>
              <w:bottom w:val="single" w:sz="6" w:space="0" w:color="auto"/>
              <w:right w:val="single" w:sz="6" w:space="0" w:color="auto"/>
            </w:tcBorders>
          </w:tcPr>
          <w:p w14:paraId="39EB3E8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1079" w:type="dxa"/>
            <w:tcBorders>
              <w:top w:val="single" w:sz="12" w:space="0" w:color="auto"/>
              <w:left w:val="single" w:sz="6" w:space="0" w:color="auto"/>
              <w:bottom w:val="single" w:sz="6" w:space="0" w:color="auto"/>
              <w:right w:val="single" w:sz="6" w:space="0" w:color="auto"/>
            </w:tcBorders>
          </w:tcPr>
          <w:p w14:paraId="10C9E6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12" w:space="0" w:color="auto"/>
              <w:left w:val="single" w:sz="6" w:space="0" w:color="auto"/>
              <w:bottom w:val="single" w:sz="6" w:space="0" w:color="auto"/>
              <w:right w:val="single" w:sz="6" w:space="0" w:color="auto"/>
            </w:tcBorders>
          </w:tcPr>
          <w:p w14:paraId="2CA658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208</w:t>
            </w:r>
          </w:p>
        </w:tc>
        <w:tc>
          <w:tcPr>
            <w:tcW w:w="1350" w:type="dxa"/>
            <w:tcBorders>
              <w:top w:val="single" w:sz="12" w:space="0" w:color="auto"/>
              <w:left w:val="single" w:sz="6" w:space="0" w:color="auto"/>
              <w:bottom w:val="single" w:sz="6" w:space="0" w:color="auto"/>
              <w:right w:val="single" w:sz="6" w:space="0" w:color="auto"/>
            </w:tcBorders>
          </w:tcPr>
          <w:p w14:paraId="04A4A1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w:t>
            </w:r>
          </w:p>
          <w:p w14:paraId="3AC7AA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8-14 years</w:t>
            </w:r>
          </w:p>
        </w:tc>
        <w:tc>
          <w:tcPr>
            <w:tcW w:w="1440" w:type="dxa"/>
            <w:tcBorders>
              <w:top w:val="single" w:sz="12" w:space="0" w:color="auto"/>
              <w:left w:val="single" w:sz="6" w:space="0" w:color="auto"/>
              <w:bottom w:val="single" w:sz="6" w:space="0" w:color="auto"/>
              <w:right w:val="single" w:sz="6" w:space="0" w:color="auto"/>
            </w:tcBorders>
          </w:tcPr>
          <w:p w14:paraId="18E73C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5</w:t>
            </w:r>
          </w:p>
          <w:p w14:paraId="79FB05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Thematic Mapper</w:t>
            </w:r>
          </w:p>
        </w:tc>
        <w:tc>
          <w:tcPr>
            <w:tcW w:w="994" w:type="dxa"/>
            <w:tcBorders>
              <w:top w:val="single" w:sz="12" w:space="0" w:color="auto"/>
              <w:left w:val="single" w:sz="6" w:space="0" w:color="auto"/>
              <w:bottom w:val="single" w:sz="6" w:space="0" w:color="auto"/>
              <w:right w:val="single" w:sz="6" w:space="0" w:color="auto"/>
            </w:tcBorders>
          </w:tcPr>
          <w:p w14:paraId="2E0155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12" w:space="0" w:color="auto"/>
              <w:left w:val="single" w:sz="6" w:space="0" w:color="auto"/>
              <w:bottom w:val="single" w:sz="6" w:space="0" w:color="auto"/>
              <w:right w:val="single" w:sz="6" w:space="0" w:color="auto"/>
            </w:tcBorders>
          </w:tcPr>
          <w:p w14:paraId="0426C4E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w:t>
            </w:r>
          </w:p>
        </w:tc>
        <w:tc>
          <w:tcPr>
            <w:tcW w:w="1264" w:type="dxa"/>
            <w:tcBorders>
              <w:top w:val="single" w:sz="12" w:space="0" w:color="auto"/>
              <w:left w:val="single" w:sz="6" w:space="0" w:color="auto"/>
              <w:bottom w:val="single" w:sz="6" w:space="0" w:color="auto"/>
              <w:right w:val="single" w:sz="6" w:space="0" w:color="auto"/>
            </w:tcBorders>
          </w:tcPr>
          <w:p w14:paraId="5E5BCA7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Moderate-to-vigorous </w:t>
            </w:r>
          </w:p>
          <w:p w14:paraId="0272680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physical activity (MVPA)</w:t>
            </w:r>
          </w:p>
        </w:tc>
        <w:tc>
          <w:tcPr>
            <w:tcW w:w="1796" w:type="dxa"/>
            <w:tcBorders>
              <w:top w:val="single" w:sz="12" w:space="0" w:color="auto"/>
              <w:left w:val="single" w:sz="6" w:space="0" w:color="auto"/>
              <w:bottom w:val="single" w:sz="6" w:space="0" w:color="auto"/>
              <w:right w:val="single" w:sz="6" w:space="0" w:color="auto"/>
            </w:tcBorders>
          </w:tcPr>
          <w:p w14:paraId="7A0DD4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w:t>
            </w:r>
          </w:p>
          <w:p w14:paraId="7FB014A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(Actigraph GT2M) + GPS (BT-335)</w:t>
            </w:r>
          </w:p>
        </w:tc>
        <w:tc>
          <w:tcPr>
            <w:tcW w:w="1264" w:type="dxa"/>
            <w:tcBorders>
              <w:top w:val="single" w:sz="12" w:space="0" w:color="auto"/>
              <w:left w:val="single" w:sz="6" w:space="0" w:color="auto"/>
              <w:bottom w:val="single" w:sz="6" w:space="0" w:color="auto"/>
              <w:right w:val="single" w:sz="6" w:space="0" w:color="auto"/>
            </w:tcBorders>
          </w:tcPr>
          <w:p w14:paraId="2115EE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Generalized linear mixed model (logistic regression for momentary analysis); </w:t>
            </w:r>
          </w:p>
          <w:p w14:paraId="616C04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binomial GLM (individual-level analysis)</w:t>
            </w:r>
          </w:p>
        </w:tc>
        <w:tc>
          <w:tcPr>
            <w:tcW w:w="1339" w:type="dxa"/>
            <w:tcBorders>
              <w:top w:val="single" w:sz="12" w:space="0" w:color="auto"/>
              <w:left w:val="single" w:sz="6" w:space="0" w:color="auto"/>
              <w:bottom w:val="single" w:sz="6" w:space="0" w:color="auto"/>
              <w:right w:val="single" w:sz="6" w:space="0" w:color="auto"/>
            </w:tcBorders>
          </w:tcPr>
          <w:p w14:paraId="07EE3A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59358E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6AFD5D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52ABAC7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race, </w:t>
            </w:r>
          </w:p>
          <w:p w14:paraId="1F051C5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221D02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leisure time, </w:t>
            </w:r>
          </w:p>
          <w:p w14:paraId="4E008FF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 design, </w:t>
            </w:r>
          </w:p>
          <w:p w14:paraId="069EEFD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 community design interaction,</w:t>
            </w:r>
          </w:p>
          <w:p w14:paraId="1A64A6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MVPA kernel density</w:t>
            </w:r>
          </w:p>
        </w:tc>
        <w:tc>
          <w:tcPr>
            <w:tcW w:w="1170" w:type="dxa"/>
            <w:tcBorders>
              <w:top w:val="single" w:sz="12" w:space="0" w:color="auto"/>
              <w:left w:val="single" w:sz="6" w:space="0" w:color="auto"/>
              <w:bottom w:val="single" w:sz="6" w:space="0" w:color="auto"/>
              <w:right w:val="single" w:sz="6" w:space="0" w:color="auto"/>
            </w:tcBorders>
          </w:tcPr>
          <w:p w14:paraId="22569B6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Odds ratio (momentary); </w:t>
            </w:r>
          </w:p>
          <w:p w14:paraId="6F94CE5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Multiplicative effect on daily min MVPA (individual-level)</w:t>
            </w:r>
          </w:p>
        </w:tc>
        <w:tc>
          <w:tcPr>
            <w:tcW w:w="1440" w:type="dxa"/>
            <w:tcBorders>
              <w:top w:val="single" w:sz="12" w:space="0" w:color="auto"/>
              <w:left w:val="single" w:sz="6" w:space="0" w:color="auto"/>
              <w:bottom w:val="single" w:sz="6" w:space="0" w:color="auto"/>
              <w:right w:val="single" w:sz="6" w:space="0" w:color="auto"/>
            </w:tcBorders>
          </w:tcPr>
          <w:p w14:paraId="3ABD504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OR=1.34 (conventional) &amp; OR=1.39 (smart growth)</w:t>
            </w:r>
          </w:p>
          <w:p w14:paraId="0BBD77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per 10th–90th percentile NDVI increase; </w:t>
            </w:r>
          </w:p>
          <w:p w14:paraId="7EA7F74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4.72× MVPA for &gt;20 min/day greener space exposure</w:t>
            </w:r>
          </w:p>
        </w:tc>
        <w:tc>
          <w:tcPr>
            <w:tcW w:w="1350" w:type="dxa"/>
            <w:tcBorders>
              <w:top w:val="single" w:sz="12" w:space="0" w:color="auto"/>
              <w:left w:val="single" w:sz="6" w:space="0" w:color="auto"/>
              <w:bottom w:val="single" w:sz="6" w:space="0" w:color="auto"/>
              <w:right w:val="single" w:sz="6" w:space="0" w:color="auto"/>
            </w:tcBorders>
          </w:tcPr>
          <w:p w14:paraId="0CC6930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1.30–1.38 (conventional), </w:t>
            </w:r>
          </w:p>
          <w:p w14:paraId="390214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1.36–1.44 (smart growth); </w:t>
            </w:r>
          </w:p>
          <w:p w14:paraId="1FDE561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3.09–7.20 for &gt;20 min/day greener exposure</w:t>
            </w:r>
          </w:p>
        </w:tc>
        <w:tc>
          <w:tcPr>
            <w:tcW w:w="1170" w:type="dxa"/>
            <w:tcBorders>
              <w:top w:val="single" w:sz="12" w:space="0" w:color="auto"/>
              <w:left w:val="single" w:sz="6" w:space="0" w:color="auto"/>
              <w:bottom w:val="single" w:sz="6" w:space="0" w:color="auto"/>
              <w:right w:val="single" w:sz="6" w:space="0" w:color="auto"/>
            </w:tcBorders>
          </w:tcPr>
          <w:p w14:paraId="2F99253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&lt;0.001 for NDVI association;</w:t>
            </w:r>
          </w:p>
          <w:p w14:paraId="2134A0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p=0.04 for NDVI × community interaction</w:t>
            </w:r>
          </w:p>
        </w:tc>
        <w:tc>
          <w:tcPr>
            <w:tcW w:w="1620" w:type="dxa"/>
            <w:tcBorders>
              <w:top w:val="single" w:sz="12" w:space="0" w:color="auto"/>
              <w:left w:val="single" w:sz="6" w:space="0" w:color="auto"/>
              <w:bottom w:val="single" w:sz="6" w:space="0" w:color="auto"/>
              <w:right w:val="single" w:sz="6" w:space="0" w:color="auto"/>
            </w:tcBorders>
          </w:tcPr>
          <w:p w14:paraId="7AF163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4301B5" w:rsidRPr="002D669D" w14:paraId="214B4EA3" w14:textId="77777777" w:rsidTr="00A136E2">
        <w:trPr>
          <w:trHeight w:val="1650"/>
        </w:trPr>
        <w:tc>
          <w:tcPr>
            <w:tcW w:w="1174" w:type="dxa"/>
            <w:tcBorders>
              <w:top w:val="single" w:sz="6" w:space="0" w:color="auto"/>
              <w:left w:val="single" w:sz="4" w:space="0" w:color="auto"/>
              <w:bottom w:val="single" w:sz="6" w:space="0" w:color="auto"/>
              <w:right w:val="single" w:sz="6" w:space="0" w:color="auto"/>
            </w:tcBorders>
          </w:tcPr>
          <w:p w14:paraId="15814F6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Grigsby-Toussaint et al.</w:t>
            </w:r>
          </w:p>
          <w:p w14:paraId="1CD0571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2011</w:t>
            </w:r>
          </w:p>
        </w:tc>
        <w:tc>
          <w:tcPr>
            <w:tcW w:w="899" w:type="dxa"/>
            <w:tcBorders>
              <w:top w:val="single" w:sz="6" w:space="0" w:color="auto"/>
              <w:left w:val="single" w:sz="6" w:space="0" w:color="auto"/>
              <w:bottom w:val="single" w:sz="6" w:space="0" w:color="auto"/>
              <w:right w:val="single" w:sz="6" w:space="0" w:color="auto"/>
            </w:tcBorders>
          </w:tcPr>
          <w:p w14:paraId="7FA924E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1079" w:type="dxa"/>
            <w:tcBorders>
              <w:top w:val="single" w:sz="6" w:space="0" w:color="auto"/>
              <w:left w:val="single" w:sz="6" w:space="0" w:color="auto"/>
              <w:bottom w:val="single" w:sz="6" w:space="0" w:color="auto"/>
              <w:right w:val="single" w:sz="6" w:space="0" w:color="auto"/>
            </w:tcBorders>
          </w:tcPr>
          <w:p w14:paraId="16F9AA2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03026EB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365</w:t>
            </w:r>
          </w:p>
        </w:tc>
        <w:tc>
          <w:tcPr>
            <w:tcW w:w="1350" w:type="dxa"/>
            <w:tcBorders>
              <w:top w:val="single" w:sz="6" w:space="0" w:color="auto"/>
              <w:left w:val="single" w:sz="6" w:space="0" w:color="auto"/>
              <w:bottom w:val="single" w:sz="6" w:space="0" w:color="auto"/>
              <w:right w:val="single" w:sz="6" w:space="0" w:color="auto"/>
            </w:tcBorders>
          </w:tcPr>
          <w:p w14:paraId="0F5E51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Preschool children</w:t>
            </w:r>
          </w:p>
          <w:p w14:paraId="3070229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 years</w:t>
            </w:r>
          </w:p>
        </w:tc>
        <w:tc>
          <w:tcPr>
            <w:tcW w:w="1440" w:type="dxa"/>
            <w:tcBorders>
              <w:top w:val="single" w:sz="6" w:space="0" w:color="auto"/>
              <w:left w:val="single" w:sz="6" w:space="0" w:color="auto"/>
              <w:bottom w:val="single" w:sz="6" w:space="0" w:color="auto"/>
              <w:right w:val="single" w:sz="6" w:space="0" w:color="auto"/>
            </w:tcBorders>
          </w:tcPr>
          <w:p w14:paraId="58EC6D1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w:t>
            </w:r>
          </w:p>
          <w:p w14:paraId="01223B4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Thematic Mapper (USGS)</w:t>
            </w:r>
          </w:p>
        </w:tc>
        <w:tc>
          <w:tcPr>
            <w:tcW w:w="994" w:type="dxa"/>
            <w:tcBorders>
              <w:top w:val="single" w:sz="6" w:space="0" w:color="auto"/>
              <w:left w:val="single" w:sz="6" w:space="0" w:color="auto"/>
              <w:bottom w:val="single" w:sz="6" w:space="0" w:color="auto"/>
              <w:right w:val="single" w:sz="6" w:space="0" w:color="auto"/>
            </w:tcBorders>
          </w:tcPr>
          <w:p w14:paraId="19494C3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30 m </w:t>
            </w:r>
          </w:p>
          <w:p w14:paraId="2BFEAF8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(aggregated to 90 m)</w:t>
            </w:r>
          </w:p>
        </w:tc>
        <w:tc>
          <w:tcPr>
            <w:tcW w:w="1166" w:type="dxa"/>
            <w:tcBorders>
              <w:top w:val="single" w:sz="6" w:space="0" w:color="auto"/>
              <w:left w:val="single" w:sz="6" w:space="0" w:color="auto"/>
              <w:bottom w:val="single" w:sz="6" w:space="0" w:color="auto"/>
              <w:right w:val="single" w:sz="6" w:space="0" w:color="auto"/>
            </w:tcBorders>
          </w:tcPr>
          <w:p w14:paraId="649FCA0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pixel aggregation </w:t>
            </w:r>
          </w:p>
          <w:p w14:paraId="611769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(~8100 m² area around home)</w:t>
            </w:r>
          </w:p>
        </w:tc>
        <w:tc>
          <w:tcPr>
            <w:tcW w:w="1264" w:type="dxa"/>
            <w:tcBorders>
              <w:top w:val="single" w:sz="6" w:space="0" w:color="auto"/>
              <w:left w:val="single" w:sz="6" w:space="0" w:color="auto"/>
              <w:bottom w:val="single" w:sz="6" w:space="0" w:color="auto"/>
              <w:right w:val="single" w:sz="6" w:space="0" w:color="auto"/>
            </w:tcBorders>
          </w:tcPr>
          <w:p w14:paraId="5A3CA5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Outdoor physical activity </w:t>
            </w:r>
          </w:p>
          <w:p w14:paraId="63B822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outdoor playing time; active vs. quiet play)</w:t>
            </w:r>
          </w:p>
        </w:tc>
        <w:tc>
          <w:tcPr>
            <w:tcW w:w="1796" w:type="dxa"/>
            <w:tcBorders>
              <w:top w:val="single" w:sz="6" w:space="0" w:color="auto"/>
              <w:left w:val="single" w:sz="6" w:space="0" w:color="auto"/>
              <w:bottom w:val="single" w:sz="6" w:space="0" w:color="auto"/>
              <w:right w:val="single" w:sz="6" w:space="0" w:color="auto"/>
            </w:tcBorders>
          </w:tcPr>
          <w:p w14:paraId="2A1B775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Parent-reported questionnaire</w:t>
            </w:r>
          </w:p>
        </w:tc>
        <w:tc>
          <w:tcPr>
            <w:tcW w:w="1264" w:type="dxa"/>
            <w:tcBorders>
              <w:top w:val="single" w:sz="6" w:space="0" w:color="auto"/>
              <w:left w:val="single" w:sz="6" w:space="0" w:color="auto"/>
              <w:bottom w:val="single" w:sz="6" w:space="0" w:color="auto"/>
              <w:right w:val="single" w:sz="6" w:space="0" w:color="auto"/>
            </w:tcBorders>
          </w:tcPr>
          <w:p w14:paraId="7ABE749C" w14:textId="122FA254"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 (total outdoor physical activity)</w:t>
            </w:r>
          </w:p>
          <w:p w14:paraId="778C785C" w14:textId="77E423CA"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Multinomial logistic regression </w:t>
            </w:r>
          </w:p>
        </w:tc>
        <w:tc>
          <w:tcPr>
            <w:tcW w:w="1339" w:type="dxa"/>
            <w:tcBorders>
              <w:top w:val="single" w:sz="6" w:space="0" w:color="auto"/>
              <w:left w:val="single" w:sz="6" w:space="0" w:color="auto"/>
              <w:bottom w:val="single" w:sz="6" w:space="0" w:color="auto"/>
              <w:right w:val="single" w:sz="6" w:space="0" w:color="auto"/>
            </w:tcBorders>
          </w:tcPr>
          <w:p w14:paraId="62F24CA4" w14:textId="4F4E85A3"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04732D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519561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parental education, </w:t>
            </w:r>
          </w:p>
          <w:p w14:paraId="6ADCD4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34DE23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parental support</w:t>
            </w:r>
          </w:p>
          <w:p w14:paraId="48F97FB2" w14:textId="12699775"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tc>
        <w:tc>
          <w:tcPr>
            <w:tcW w:w="1170" w:type="dxa"/>
            <w:tcBorders>
              <w:top w:val="single" w:sz="6" w:space="0" w:color="auto"/>
              <w:left w:val="single" w:sz="6" w:space="0" w:color="auto"/>
              <w:bottom w:val="single" w:sz="6" w:space="0" w:color="auto"/>
              <w:right w:val="single" w:sz="6" w:space="0" w:color="auto"/>
            </w:tcBorders>
          </w:tcPr>
          <w:p w14:paraId="26A4A88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β coefficient (minutes/day) for linear regression; </w:t>
            </w:r>
          </w:p>
          <w:p w14:paraId="15E22D3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for multinomial regression</w:t>
            </w:r>
          </w:p>
        </w:tc>
        <w:tc>
          <w:tcPr>
            <w:tcW w:w="1440" w:type="dxa"/>
            <w:tcBorders>
              <w:top w:val="single" w:sz="6" w:space="0" w:color="auto"/>
              <w:left w:val="single" w:sz="6" w:space="0" w:color="auto"/>
              <w:bottom w:val="single" w:sz="6" w:space="0" w:color="auto"/>
              <w:right w:val="single" w:sz="6" w:space="0" w:color="auto"/>
            </w:tcBorders>
          </w:tcPr>
          <w:p w14:paraId="20ED7F9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β=2.82 min/day per NDVI unit; </w:t>
            </w:r>
          </w:p>
          <w:p w14:paraId="5244407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OR=1.32 (95% CI=1.02–1.71) for multi-player behavior vs. rainy day kids</w:t>
            </w:r>
          </w:p>
        </w:tc>
        <w:tc>
          <w:tcPr>
            <w:tcW w:w="1350" w:type="dxa"/>
            <w:tcBorders>
              <w:top w:val="single" w:sz="6" w:space="0" w:color="auto"/>
              <w:left w:val="single" w:sz="6" w:space="0" w:color="auto"/>
              <w:bottom w:val="single" w:sz="6" w:space="0" w:color="auto"/>
              <w:right w:val="single" w:sz="6" w:space="0" w:color="auto"/>
            </w:tcBorders>
          </w:tcPr>
          <w:p w14:paraId="1F6AA83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0.21–5.43 (linear regression); </w:t>
            </w:r>
          </w:p>
          <w:p w14:paraId="59C437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1.02–1.71 (multi-players)</w:t>
            </w:r>
          </w:p>
        </w:tc>
        <w:tc>
          <w:tcPr>
            <w:tcW w:w="1170" w:type="dxa"/>
            <w:tcBorders>
              <w:top w:val="single" w:sz="6" w:space="0" w:color="auto"/>
              <w:left w:val="single" w:sz="6" w:space="0" w:color="auto"/>
              <w:bottom w:val="single" w:sz="6" w:space="0" w:color="auto"/>
              <w:right w:val="single" w:sz="6" w:space="0" w:color="auto"/>
            </w:tcBorders>
          </w:tcPr>
          <w:p w14:paraId="5797A3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0.034 (linear regression), </w:t>
            </w:r>
          </w:p>
          <w:p w14:paraId="6F751B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0.037 (multi-players OR)</w:t>
            </w:r>
          </w:p>
        </w:tc>
        <w:tc>
          <w:tcPr>
            <w:tcW w:w="1620" w:type="dxa"/>
            <w:tcBorders>
              <w:top w:val="single" w:sz="6" w:space="0" w:color="auto"/>
              <w:left w:val="single" w:sz="6" w:space="0" w:color="auto"/>
              <w:bottom w:val="single" w:sz="6" w:space="0" w:color="auto"/>
              <w:right w:val="single" w:sz="6" w:space="0" w:color="auto"/>
            </w:tcBorders>
          </w:tcPr>
          <w:p w14:paraId="7ABF8B2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4301B5" w:rsidRPr="002D669D" w14:paraId="0AE4B0D8" w14:textId="77777777" w:rsidTr="00A136E2">
        <w:trPr>
          <w:trHeight w:val="2145"/>
        </w:trPr>
        <w:tc>
          <w:tcPr>
            <w:tcW w:w="1174" w:type="dxa"/>
            <w:tcBorders>
              <w:top w:val="single" w:sz="6" w:space="0" w:color="auto"/>
              <w:left w:val="single" w:sz="4" w:space="0" w:color="auto"/>
              <w:bottom w:val="single" w:sz="6" w:space="0" w:color="auto"/>
              <w:right w:val="single" w:sz="6" w:space="0" w:color="auto"/>
            </w:tcBorders>
          </w:tcPr>
          <w:p w14:paraId="6A45288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Gong et al.</w:t>
            </w:r>
          </w:p>
          <w:p w14:paraId="7A306F7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899" w:type="dxa"/>
            <w:tcBorders>
              <w:top w:val="single" w:sz="6" w:space="0" w:color="auto"/>
              <w:left w:val="single" w:sz="6" w:space="0" w:color="auto"/>
              <w:bottom w:val="single" w:sz="6" w:space="0" w:color="auto"/>
              <w:right w:val="single" w:sz="6" w:space="0" w:color="auto"/>
            </w:tcBorders>
          </w:tcPr>
          <w:p w14:paraId="2F316A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1079" w:type="dxa"/>
            <w:tcBorders>
              <w:top w:val="single" w:sz="6" w:space="0" w:color="auto"/>
              <w:left w:val="single" w:sz="6" w:space="0" w:color="auto"/>
              <w:bottom w:val="single" w:sz="6" w:space="0" w:color="auto"/>
              <w:right w:val="single" w:sz="6" w:space="0" w:color="auto"/>
            </w:tcBorders>
          </w:tcPr>
          <w:p w14:paraId="15C1EA9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4B51012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1010</w:t>
            </w:r>
          </w:p>
        </w:tc>
        <w:tc>
          <w:tcPr>
            <w:tcW w:w="1350" w:type="dxa"/>
            <w:tcBorders>
              <w:top w:val="single" w:sz="6" w:space="0" w:color="auto"/>
              <w:left w:val="single" w:sz="6" w:space="0" w:color="auto"/>
              <w:bottom w:val="single" w:sz="6" w:space="0" w:color="auto"/>
              <w:right w:val="single" w:sz="6" w:space="0" w:color="auto"/>
            </w:tcBorders>
          </w:tcPr>
          <w:p w14:paraId="7DA57F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Elderly men</w:t>
            </w:r>
          </w:p>
          <w:p w14:paraId="511CC8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66–86 years</w:t>
            </w:r>
          </w:p>
        </w:tc>
        <w:tc>
          <w:tcPr>
            <w:tcW w:w="1440" w:type="dxa"/>
            <w:tcBorders>
              <w:top w:val="single" w:sz="6" w:space="0" w:color="auto"/>
              <w:left w:val="single" w:sz="6" w:space="0" w:color="auto"/>
              <w:bottom w:val="single" w:sz="6" w:space="0" w:color="auto"/>
              <w:right w:val="single" w:sz="6" w:space="0" w:color="auto"/>
            </w:tcBorders>
          </w:tcPr>
          <w:p w14:paraId="58551CB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w:t>
            </w:r>
          </w:p>
        </w:tc>
        <w:tc>
          <w:tcPr>
            <w:tcW w:w="994" w:type="dxa"/>
            <w:tcBorders>
              <w:top w:val="single" w:sz="6" w:space="0" w:color="auto"/>
              <w:left w:val="single" w:sz="6" w:space="0" w:color="auto"/>
              <w:bottom w:val="single" w:sz="6" w:space="0" w:color="auto"/>
              <w:right w:val="single" w:sz="6" w:space="0" w:color="auto"/>
            </w:tcBorders>
          </w:tcPr>
          <w:p w14:paraId="543B728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07A6251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400 m and 800 m </w:t>
            </w:r>
          </w:p>
          <w:p w14:paraId="0BE916E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from residence</w:t>
            </w:r>
          </w:p>
        </w:tc>
        <w:tc>
          <w:tcPr>
            <w:tcW w:w="1264" w:type="dxa"/>
            <w:tcBorders>
              <w:top w:val="single" w:sz="6" w:space="0" w:color="auto"/>
              <w:left w:val="single" w:sz="6" w:space="0" w:color="auto"/>
              <w:bottom w:val="single" w:sz="6" w:space="0" w:color="auto"/>
              <w:right w:val="single" w:sz="6" w:space="0" w:color="auto"/>
            </w:tcBorders>
          </w:tcPr>
          <w:p w14:paraId="082177D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Participation in outdoor physical activities </w:t>
            </w:r>
          </w:p>
          <w:p w14:paraId="06FE27C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(walking, cycling, gardening) </w:t>
            </w:r>
          </w:p>
          <w:p w14:paraId="5F47CB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overall physical function</w:t>
            </w:r>
          </w:p>
        </w:tc>
        <w:tc>
          <w:tcPr>
            <w:tcW w:w="1796" w:type="dxa"/>
            <w:tcBorders>
              <w:top w:val="single" w:sz="6" w:space="0" w:color="auto"/>
              <w:left w:val="single" w:sz="6" w:space="0" w:color="auto"/>
              <w:bottom w:val="single" w:sz="6" w:space="0" w:color="auto"/>
              <w:right w:val="single" w:sz="6" w:space="0" w:color="auto"/>
            </w:tcBorders>
          </w:tcPr>
          <w:p w14:paraId="605C12B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264" w:type="dxa"/>
            <w:tcBorders>
              <w:top w:val="single" w:sz="6" w:space="0" w:color="auto"/>
              <w:left w:val="single" w:sz="6" w:space="0" w:color="auto"/>
              <w:bottom w:val="single" w:sz="6" w:space="0" w:color="auto"/>
              <w:right w:val="single" w:sz="6" w:space="0" w:color="auto"/>
            </w:tcBorders>
          </w:tcPr>
          <w:p w14:paraId="4746E2E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339" w:type="dxa"/>
            <w:tcBorders>
              <w:top w:val="single" w:sz="6" w:space="0" w:color="auto"/>
              <w:left w:val="single" w:sz="6" w:space="0" w:color="auto"/>
              <w:bottom w:val="single" w:sz="6" w:space="0" w:color="auto"/>
              <w:right w:val="single" w:sz="6" w:space="0" w:color="auto"/>
            </w:tcBorders>
          </w:tcPr>
          <w:p w14:paraId="057B8B6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6F9F3C2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socioeconomic status, </w:t>
            </w:r>
          </w:p>
          <w:p w14:paraId="4AD30F7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 alcohol</w:t>
            </w:r>
          </w:p>
          <w:p w14:paraId="1E06032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67B3D9B7" w14:textId="72D7199E"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comorbidities</w:t>
            </w:r>
          </w:p>
          <w:p w14:paraId="79B4268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season, </w:t>
            </w:r>
          </w:p>
          <w:p w14:paraId="0F38171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urban/rural classification</w:t>
            </w:r>
          </w:p>
        </w:tc>
        <w:tc>
          <w:tcPr>
            <w:tcW w:w="1170" w:type="dxa"/>
            <w:tcBorders>
              <w:top w:val="single" w:sz="6" w:space="0" w:color="auto"/>
              <w:left w:val="single" w:sz="6" w:space="0" w:color="auto"/>
              <w:bottom w:val="single" w:sz="6" w:space="0" w:color="auto"/>
              <w:right w:val="single" w:sz="6" w:space="0" w:color="auto"/>
            </w:tcBorders>
          </w:tcPr>
          <w:p w14:paraId="75D995D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440" w:type="dxa"/>
            <w:tcBorders>
              <w:top w:val="single" w:sz="6" w:space="0" w:color="auto"/>
              <w:left w:val="single" w:sz="6" w:space="0" w:color="auto"/>
              <w:bottom w:val="single" w:sz="6" w:space="0" w:color="auto"/>
              <w:right w:val="single" w:sz="6" w:space="0" w:color="auto"/>
            </w:tcBorders>
          </w:tcPr>
          <w:p w14:paraId="3756D29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OR=1.27 (95% CI=1.01–1.59)</w:t>
            </w:r>
          </w:p>
          <w:p w14:paraId="18DACC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for participation in physical activity for highest vs. lowest </w:t>
            </w:r>
          </w:p>
          <w:p w14:paraId="1CD66BA1" w14:textId="3E38BBE3"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quartile of greenness </w:t>
            </w:r>
          </w:p>
        </w:tc>
        <w:tc>
          <w:tcPr>
            <w:tcW w:w="1350" w:type="dxa"/>
            <w:tcBorders>
              <w:top w:val="single" w:sz="6" w:space="0" w:color="auto"/>
              <w:left w:val="single" w:sz="6" w:space="0" w:color="auto"/>
              <w:bottom w:val="single" w:sz="6" w:space="0" w:color="auto"/>
              <w:right w:val="single" w:sz="6" w:space="0" w:color="auto"/>
            </w:tcBorders>
          </w:tcPr>
          <w:p w14:paraId="68EBBE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1.01–1.59</w:t>
            </w:r>
          </w:p>
        </w:tc>
        <w:tc>
          <w:tcPr>
            <w:tcW w:w="1170" w:type="dxa"/>
            <w:tcBorders>
              <w:top w:val="single" w:sz="6" w:space="0" w:color="auto"/>
              <w:left w:val="single" w:sz="6" w:space="0" w:color="auto"/>
              <w:bottom w:val="single" w:sz="6" w:space="0" w:color="auto"/>
              <w:right w:val="single" w:sz="6" w:space="0" w:color="auto"/>
            </w:tcBorders>
          </w:tcPr>
          <w:p w14:paraId="36ECAC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0.04</w:t>
            </w:r>
          </w:p>
        </w:tc>
        <w:tc>
          <w:tcPr>
            <w:tcW w:w="1620" w:type="dxa"/>
            <w:tcBorders>
              <w:top w:val="single" w:sz="6" w:space="0" w:color="auto"/>
              <w:left w:val="single" w:sz="6" w:space="0" w:color="auto"/>
              <w:bottom w:val="single" w:sz="6" w:space="0" w:color="auto"/>
              <w:right w:val="single" w:sz="6" w:space="0" w:color="auto"/>
            </w:tcBorders>
          </w:tcPr>
          <w:p w14:paraId="308F77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4301B5" w:rsidRPr="002D669D" w14:paraId="3E0AB161" w14:textId="77777777" w:rsidTr="00A136E2">
        <w:trPr>
          <w:trHeight w:val="2496"/>
        </w:trPr>
        <w:tc>
          <w:tcPr>
            <w:tcW w:w="1174" w:type="dxa"/>
            <w:tcBorders>
              <w:top w:val="single" w:sz="6" w:space="0" w:color="auto"/>
              <w:left w:val="single" w:sz="4" w:space="0" w:color="auto"/>
              <w:bottom w:val="single" w:sz="6" w:space="0" w:color="auto"/>
              <w:right w:val="single" w:sz="6" w:space="0" w:color="auto"/>
            </w:tcBorders>
          </w:tcPr>
          <w:p w14:paraId="5DCB3B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McMorris et al.</w:t>
            </w:r>
          </w:p>
          <w:p w14:paraId="58BBC9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2015</w:t>
            </w:r>
          </w:p>
        </w:tc>
        <w:tc>
          <w:tcPr>
            <w:tcW w:w="899" w:type="dxa"/>
            <w:tcBorders>
              <w:top w:val="single" w:sz="6" w:space="0" w:color="auto"/>
              <w:left w:val="single" w:sz="6" w:space="0" w:color="auto"/>
              <w:bottom w:val="single" w:sz="6" w:space="0" w:color="auto"/>
              <w:right w:val="single" w:sz="6" w:space="0" w:color="auto"/>
            </w:tcBorders>
          </w:tcPr>
          <w:p w14:paraId="372F7E2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1079" w:type="dxa"/>
            <w:tcBorders>
              <w:top w:val="single" w:sz="6" w:space="0" w:color="auto"/>
              <w:left w:val="single" w:sz="6" w:space="0" w:color="auto"/>
              <w:bottom w:val="single" w:sz="6" w:space="0" w:color="auto"/>
              <w:right w:val="single" w:sz="6" w:space="0" w:color="auto"/>
            </w:tcBorders>
          </w:tcPr>
          <w:p w14:paraId="3406D7B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058F2B0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30,727</w:t>
            </w:r>
          </w:p>
        </w:tc>
        <w:tc>
          <w:tcPr>
            <w:tcW w:w="1350" w:type="dxa"/>
            <w:tcBorders>
              <w:top w:val="single" w:sz="6" w:space="0" w:color="auto"/>
              <w:left w:val="single" w:sz="6" w:space="0" w:color="auto"/>
              <w:bottom w:val="single" w:sz="6" w:space="0" w:color="auto"/>
              <w:right w:val="single" w:sz="6" w:space="0" w:color="auto"/>
            </w:tcBorders>
          </w:tcPr>
          <w:p w14:paraId="60727C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adult population</w:t>
            </w:r>
          </w:p>
          <w:p w14:paraId="231801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 years</w:t>
            </w:r>
          </w:p>
        </w:tc>
        <w:tc>
          <w:tcPr>
            <w:tcW w:w="1440" w:type="dxa"/>
            <w:tcBorders>
              <w:top w:val="single" w:sz="6" w:space="0" w:color="auto"/>
              <w:left w:val="single" w:sz="6" w:space="0" w:color="auto"/>
              <w:bottom w:val="single" w:sz="6" w:space="0" w:color="auto"/>
              <w:right w:val="single" w:sz="6" w:space="0" w:color="auto"/>
            </w:tcBorders>
          </w:tcPr>
          <w:p w14:paraId="6B0E94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5</w:t>
            </w:r>
          </w:p>
        </w:tc>
        <w:tc>
          <w:tcPr>
            <w:tcW w:w="994" w:type="dxa"/>
            <w:tcBorders>
              <w:top w:val="single" w:sz="6" w:space="0" w:color="auto"/>
              <w:left w:val="single" w:sz="6" w:space="0" w:color="auto"/>
              <w:bottom w:val="single" w:sz="6" w:space="0" w:color="auto"/>
              <w:right w:val="single" w:sz="6" w:space="0" w:color="auto"/>
            </w:tcBorders>
          </w:tcPr>
          <w:p w14:paraId="29527D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5CB7D62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radius around postal code centroid</w:t>
            </w:r>
          </w:p>
        </w:tc>
        <w:tc>
          <w:tcPr>
            <w:tcW w:w="1264" w:type="dxa"/>
            <w:tcBorders>
              <w:top w:val="single" w:sz="6" w:space="0" w:color="auto"/>
              <w:left w:val="single" w:sz="6" w:space="0" w:color="auto"/>
              <w:bottom w:val="single" w:sz="6" w:space="0" w:color="auto"/>
              <w:right w:val="single" w:sz="6" w:space="0" w:color="auto"/>
            </w:tcBorders>
          </w:tcPr>
          <w:p w14:paraId="139EA8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physical activity and leisure-time physical activity</w:t>
            </w:r>
          </w:p>
        </w:tc>
        <w:tc>
          <w:tcPr>
            <w:tcW w:w="1796" w:type="dxa"/>
            <w:tcBorders>
              <w:top w:val="single" w:sz="6" w:space="0" w:color="auto"/>
              <w:left w:val="single" w:sz="6" w:space="0" w:color="auto"/>
              <w:bottom w:val="single" w:sz="6" w:space="0" w:color="auto"/>
              <w:right w:val="single" w:sz="6" w:space="0" w:color="auto"/>
            </w:tcBorders>
          </w:tcPr>
          <w:p w14:paraId="48C3460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p w14:paraId="0661F0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(Canadian Community Health Survey)</w:t>
            </w:r>
          </w:p>
        </w:tc>
        <w:tc>
          <w:tcPr>
            <w:tcW w:w="1264" w:type="dxa"/>
            <w:tcBorders>
              <w:top w:val="single" w:sz="6" w:space="0" w:color="auto"/>
              <w:left w:val="single" w:sz="6" w:space="0" w:color="auto"/>
              <w:bottom w:val="single" w:sz="6" w:space="0" w:color="auto"/>
              <w:right w:val="single" w:sz="6" w:space="0" w:color="auto"/>
            </w:tcBorders>
          </w:tcPr>
          <w:p w14:paraId="766590E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Linear regression models (for continuous PA outcomes) </w:t>
            </w:r>
          </w:p>
          <w:p w14:paraId="317442E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logistic regression models (for being sufficiently active)</w:t>
            </w:r>
          </w:p>
        </w:tc>
        <w:tc>
          <w:tcPr>
            <w:tcW w:w="1339" w:type="dxa"/>
            <w:tcBorders>
              <w:top w:val="single" w:sz="6" w:space="0" w:color="auto"/>
              <w:left w:val="single" w:sz="6" w:space="0" w:color="auto"/>
              <w:bottom w:val="single" w:sz="6" w:space="0" w:color="auto"/>
              <w:right w:val="single" w:sz="6" w:space="0" w:color="auto"/>
            </w:tcBorders>
          </w:tcPr>
          <w:p w14:paraId="5437B49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817FD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4B700EA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24EF795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120E891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marital status, </w:t>
            </w:r>
          </w:p>
          <w:p w14:paraId="52AE48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w:t>
            </w:r>
          </w:p>
          <w:p w14:paraId="030E9E2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alcohol, </w:t>
            </w:r>
          </w:p>
          <w:p w14:paraId="62D6BF1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636DF6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season, </w:t>
            </w:r>
          </w:p>
          <w:p w14:paraId="0C835F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urban–rural classification, </w:t>
            </w:r>
          </w:p>
          <w:p w14:paraId="26F860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province</w:t>
            </w:r>
          </w:p>
        </w:tc>
        <w:tc>
          <w:tcPr>
            <w:tcW w:w="1170" w:type="dxa"/>
            <w:tcBorders>
              <w:top w:val="single" w:sz="6" w:space="0" w:color="auto"/>
              <w:left w:val="single" w:sz="6" w:space="0" w:color="auto"/>
              <w:bottom w:val="single" w:sz="6" w:space="0" w:color="auto"/>
              <w:right w:val="single" w:sz="6" w:space="0" w:color="auto"/>
            </w:tcBorders>
          </w:tcPr>
          <w:p w14:paraId="218BC3A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β coefficient </w:t>
            </w:r>
          </w:p>
          <w:p w14:paraId="09DCA67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odds ratio</w:t>
            </w:r>
          </w:p>
        </w:tc>
        <w:tc>
          <w:tcPr>
            <w:tcW w:w="1440" w:type="dxa"/>
            <w:tcBorders>
              <w:top w:val="single" w:sz="6" w:space="0" w:color="auto"/>
              <w:left w:val="single" w:sz="6" w:space="0" w:color="auto"/>
              <w:bottom w:val="single" w:sz="6" w:space="0" w:color="auto"/>
              <w:right w:val="single" w:sz="6" w:space="0" w:color="auto"/>
            </w:tcBorders>
          </w:tcPr>
          <w:p w14:paraId="70EB1F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0.08 (p&lt;0.05) for leisure-time physical activity per IQR increase in NDVI;</w:t>
            </w:r>
          </w:p>
          <w:p w14:paraId="0717525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OR = 1.06 (p&lt;0.05) for being sufficiently active</w:t>
            </w:r>
          </w:p>
        </w:tc>
        <w:tc>
          <w:tcPr>
            <w:tcW w:w="1350" w:type="dxa"/>
            <w:tcBorders>
              <w:top w:val="single" w:sz="6" w:space="0" w:color="auto"/>
              <w:left w:val="single" w:sz="6" w:space="0" w:color="auto"/>
              <w:bottom w:val="single" w:sz="6" w:space="0" w:color="auto"/>
              <w:right w:val="single" w:sz="6" w:space="0" w:color="auto"/>
            </w:tcBorders>
          </w:tcPr>
          <w:p w14:paraId="24BFBE5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explicitly stated in text</w:t>
            </w:r>
          </w:p>
        </w:tc>
        <w:tc>
          <w:tcPr>
            <w:tcW w:w="1170" w:type="dxa"/>
            <w:tcBorders>
              <w:top w:val="single" w:sz="6" w:space="0" w:color="auto"/>
              <w:left w:val="single" w:sz="6" w:space="0" w:color="auto"/>
              <w:bottom w:val="single" w:sz="6" w:space="0" w:color="auto"/>
              <w:right w:val="single" w:sz="6" w:space="0" w:color="auto"/>
            </w:tcBorders>
          </w:tcPr>
          <w:p w14:paraId="6AF5A91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620" w:type="dxa"/>
            <w:tcBorders>
              <w:top w:val="single" w:sz="6" w:space="0" w:color="auto"/>
              <w:left w:val="single" w:sz="6" w:space="0" w:color="auto"/>
              <w:bottom w:val="single" w:sz="6" w:space="0" w:color="auto"/>
              <w:right w:val="single" w:sz="6" w:space="0" w:color="auto"/>
            </w:tcBorders>
          </w:tcPr>
          <w:p w14:paraId="6D645B2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4301B5" w:rsidRPr="002D669D" w14:paraId="7A881F18" w14:textId="77777777" w:rsidTr="00A136E2">
        <w:trPr>
          <w:trHeight w:val="2235"/>
        </w:trPr>
        <w:tc>
          <w:tcPr>
            <w:tcW w:w="1174" w:type="dxa"/>
            <w:tcBorders>
              <w:top w:val="single" w:sz="6" w:space="0" w:color="auto"/>
              <w:left w:val="single" w:sz="4" w:space="0" w:color="auto"/>
              <w:bottom w:val="single" w:sz="6" w:space="0" w:color="auto"/>
              <w:right w:val="single" w:sz="6" w:space="0" w:color="auto"/>
            </w:tcBorders>
          </w:tcPr>
          <w:p w14:paraId="2BDB62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Grazuleviciene et al.</w:t>
            </w:r>
          </w:p>
          <w:p w14:paraId="1A61050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2020</w:t>
            </w:r>
          </w:p>
        </w:tc>
        <w:tc>
          <w:tcPr>
            <w:tcW w:w="899" w:type="dxa"/>
            <w:tcBorders>
              <w:top w:val="single" w:sz="6" w:space="0" w:color="auto"/>
              <w:left w:val="single" w:sz="6" w:space="0" w:color="auto"/>
              <w:bottom w:val="single" w:sz="6" w:space="0" w:color="auto"/>
              <w:right w:val="single" w:sz="6" w:space="0" w:color="auto"/>
            </w:tcBorders>
          </w:tcPr>
          <w:p w14:paraId="1709D74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Lithuania </w:t>
            </w:r>
          </w:p>
        </w:tc>
        <w:tc>
          <w:tcPr>
            <w:tcW w:w="1079" w:type="dxa"/>
            <w:tcBorders>
              <w:top w:val="single" w:sz="6" w:space="0" w:color="auto"/>
              <w:left w:val="single" w:sz="6" w:space="0" w:color="auto"/>
              <w:bottom w:val="single" w:sz="6" w:space="0" w:color="auto"/>
              <w:right w:val="single" w:sz="6" w:space="0" w:color="auto"/>
            </w:tcBorders>
          </w:tcPr>
          <w:p w14:paraId="6F945F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2A10B3D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1,646 pregnant women</w:t>
            </w:r>
          </w:p>
        </w:tc>
        <w:tc>
          <w:tcPr>
            <w:tcW w:w="1350" w:type="dxa"/>
            <w:tcBorders>
              <w:top w:val="single" w:sz="6" w:space="0" w:color="auto"/>
              <w:left w:val="single" w:sz="6" w:space="0" w:color="auto"/>
              <w:bottom w:val="single" w:sz="6" w:space="0" w:color="auto"/>
              <w:right w:val="single" w:sz="6" w:space="0" w:color="auto"/>
            </w:tcBorders>
          </w:tcPr>
          <w:p w14:paraId="5DD0523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Pregnant women</w:t>
            </w:r>
          </w:p>
          <w:p w14:paraId="1BEDEA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18–45 years</w:t>
            </w:r>
          </w:p>
        </w:tc>
        <w:tc>
          <w:tcPr>
            <w:tcW w:w="1440" w:type="dxa"/>
            <w:tcBorders>
              <w:top w:val="single" w:sz="6" w:space="0" w:color="auto"/>
              <w:left w:val="single" w:sz="6" w:space="0" w:color="auto"/>
              <w:bottom w:val="single" w:sz="6" w:space="0" w:color="auto"/>
              <w:right w:val="single" w:sz="6" w:space="0" w:color="auto"/>
            </w:tcBorders>
          </w:tcPr>
          <w:p w14:paraId="1154D15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Landsat 5 TM and Landsat 7 ETM+</w:t>
            </w:r>
          </w:p>
        </w:tc>
        <w:tc>
          <w:tcPr>
            <w:tcW w:w="994" w:type="dxa"/>
            <w:tcBorders>
              <w:top w:val="single" w:sz="6" w:space="0" w:color="auto"/>
              <w:left w:val="single" w:sz="6" w:space="0" w:color="auto"/>
              <w:bottom w:val="single" w:sz="6" w:space="0" w:color="auto"/>
              <w:right w:val="single" w:sz="6" w:space="0" w:color="auto"/>
            </w:tcBorders>
          </w:tcPr>
          <w:p w14:paraId="7DF0233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0084C82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 m, 300 m, and 500 m radii around residence</w:t>
            </w:r>
          </w:p>
        </w:tc>
        <w:tc>
          <w:tcPr>
            <w:tcW w:w="1264" w:type="dxa"/>
            <w:tcBorders>
              <w:top w:val="single" w:sz="6" w:space="0" w:color="auto"/>
              <w:left w:val="single" w:sz="6" w:space="0" w:color="auto"/>
              <w:bottom w:val="single" w:sz="6" w:space="0" w:color="auto"/>
              <w:right w:val="single" w:sz="6" w:space="0" w:color="auto"/>
            </w:tcBorders>
          </w:tcPr>
          <w:p w14:paraId="010071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Regular physical activity during pregnancy (yes/no)</w:t>
            </w:r>
          </w:p>
        </w:tc>
        <w:tc>
          <w:tcPr>
            <w:tcW w:w="1796" w:type="dxa"/>
            <w:tcBorders>
              <w:top w:val="single" w:sz="6" w:space="0" w:color="auto"/>
              <w:left w:val="single" w:sz="6" w:space="0" w:color="auto"/>
              <w:bottom w:val="single" w:sz="6" w:space="0" w:color="auto"/>
              <w:right w:val="single" w:sz="6" w:space="0" w:color="auto"/>
            </w:tcBorders>
          </w:tcPr>
          <w:p w14:paraId="09146D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264" w:type="dxa"/>
            <w:tcBorders>
              <w:top w:val="single" w:sz="6" w:space="0" w:color="auto"/>
              <w:left w:val="single" w:sz="6" w:space="0" w:color="auto"/>
              <w:bottom w:val="single" w:sz="6" w:space="0" w:color="auto"/>
              <w:right w:val="single" w:sz="6" w:space="0" w:color="auto"/>
            </w:tcBorders>
          </w:tcPr>
          <w:p w14:paraId="6FC36D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339" w:type="dxa"/>
            <w:tcBorders>
              <w:top w:val="single" w:sz="6" w:space="0" w:color="auto"/>
              <w:left w:val="single" w:sz="6" w:space="0" w:color="auto"/>
              <w:bottom w:val="single" w:sz="6" w:space="0" w:color="auto"/>
              <w:right w:val="single" w:sz="6" w:space="0" w:color="auto"/>
            </w:tcBorders>
          </w:tcPr>
          <w:p w14:paraId="375BE785" w14:textId="016CC40F"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BCDA777" w14:textId="4DACEEE4"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7B9E6B60" w14:textId="7E558ED2"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marital status </w:t>
            </w:r>
          </w:p>
          <w:p w14:paraId="078A3857" w14:textId="33550101"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employment </w:t>
            </w:r>
          </w:p>
          <w:p w14:paraId="5CA01BD3" w14:textId="5F1460CC"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w:t>
            </w:r>
          </w:p>
          <w:p w14:paraId="05584CAA" w14:textId="2BD25F5B"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alcohol use </w:t>
            </w:r>
          </w:p>
          <w:p w14:paraId="2781D586" w14:textId="40A0F974"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3AE93F43" w14:textId="7A8EB758"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parity </w:t>
            </w:r>
          </w:p>
          <w:p w14:paraId="212CAF0E" w14:textId="782CF9BA"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depression history</w:t>
            </w:r>
          </w:p>
          <w:p w14:paraId="4A446B07" w14:textId="5E95B505"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socioeconomic status</w:t>
            </w:r>
          </w:p>
          <w:p w14:paraId="3DCAB5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season</w:t>
            </w:r>
          </w:p>
        </w:tc>
        <w:tc>
          <w:tcPr>
            <w:tcW w:w="1170" w:type="dxa"/>
            <w:tcBorders>
              <w:top w:val="single" w:sz="6" w:space="0" w:color="auto"/>
              <w:left w:val="single" w:sz="6" w:space="0" w:color="auto"/>
              <w:bottom w:val="single" w:sz="6" w:space="0" w:color="auto"/>
              <w:right w:val="single" w:sz="6" w:space="0" w:color="auto"/>
            </w:tcBorders>
          </w:tcPr>
          <w:p w14:paraId="24962E3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440" w:type="dxa"/>
            <w:tcBorders>
              <w:top w:val="single" w:sz="6" w:space="0" w:color="auto"/>
              <w:left w:val="single" w:sz="6" w:space="0" w:color="auto"/>
              <w:bottom w:val="single" w:sz="6" w:space="0" w:color="auto"/>
              <w:right w:val="single" w:sz="6" w:space="0" w:color="auto"/>
            </w:tcBorders>
          </w:tcPr>
          <w:p w14:paraId="3077887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For NDVI within 300 m –</w:t>
            </w:r>
          </w:p>
          <w:p w14:paraId="74B9FAB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OR = 1.46 (95% CI: 1.10–1.94) for engaging in regular physical activity</w:t>
            </w:r>
          </w:p>
        </w:tc>
        <w:tc>
          <w:tcPr>
            <w:tcW w:w="1350" w:type="dxa"/>
            <w:tcBorders>
              <w:top w:val="single" w:sz="6" w:space="0" w:color="auto"/>
              <w:left w:val="single" w:sz="6" w:space="0" w:color="auto"/>
              <w:bottom w:val="single" w:sz="6" w:space="0" w:color="auto"/>
              <w:right w:val="single" w:sz="6" w:space="0" w:color="auto"/>
            </w:tcBorders>
          </w:tcPr>
          <w:p w14:paraId="1DD42A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1.10–1.94</w:t>
            </w:r>
          </w:p>
        </w:tc>
        <w:tc>
          <w:tcPr>
            <w:tcW w:w="1170" w:type="dxa"/>
            <w:tcBorders>
              <w:top w:val="single" w:sz="6" w:space="0" w:color="auto"/>
              <w:left w:val="single" w:sz="6" w:space="0" w:color="auto"/>
              <w:bottom w:val="single" w:sz="6" w:space="0" w:color="auto"/>
              <w:right w:val="single" w:sz="6" w:space="0" w:color="auto"/>
            </w:tcBorders>
          </w:tcPr>
          <w:p w14:paraId="6F5C350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620" w:type="dxa"/>
            <w:tcBorders>
              <w:top w:val="single" w:sz="6" w:space="0" w:color="auto"/>
              <w:left w:val="single" w:sz="6" w:space="0" w:color="auto"/>
              <w:bottom w:val="single" w:sz="6" w:space="0" w:color="auto"/>
              <w:right w:val="single" w:sz="6" w:space="0" w:color="auto"/>
            </w:tcBorders>
          </w:tcPr>
          <w:p w14:paraId="3F6AAD5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4301B5" w:rsidRPr="002D669D" w14:paraId="50AA4604" w14:textId="77777777" w:rsidTr="00A136E2">
        <w:trPr>
          <w:trHeight w:val="2370"/>
        </w:trPr>
        <w:tc>
          <w:tcPr>
            <w:tcW w:w="1174" w:type="dxa"/>
            <w:tcBorders>
              <w:top w:val="single" w:sz="6" w:space="0" w:color="auto"/>
              <w:left w:val="single" w:sz="4" w:space="0" w:color="auto"/>
              <w:bottom w:val="single" w:sz="6" w:space="0" w:color="auto"/>
              <w:right w:val="single" w:sz="6" w:space="0" w:color="auto"/>
            </w:tcBorders>
          </w:tcPr>
          <w:p w14:paraId="37C20A2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Sarkar, C., et al.</w:t>
            </w:r>
          </w:p>
          <w:p w14:paraId="2A0BCFC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2015</w:t>
            </w:r>
          </w:p>
        </w:tc>
        <w:tc>
          <w:tcPr>
            <w:tcW w:w="899" w:type="dxa"/>
            <w:tcBorders>
              <w:top w:val="single" w:sz="6" w:space="0" w:color="auto"/>
              <w:left w:val="single" w:sz="6" w:space="0" w:color="auto"/>
              <w:bottom w:val="single" w:sz="6" w:space="0" w:color="auto"/>
              <w:right w:val="single" w:sz="6" w:space="0" w:color="auto"/>
            </w:tcBorders>
          </w:tcPr>
          <w:p w14:paraId="222E26A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1079" w:type="dxa"/>
            <w:tcBorders>
              <w:top w:val="single" w:sz="6" w:space="0" w:color="auto"/>
              <w:left w:val="single" w:sz="6" w:space="0" w:color="auto"/>
              <w:bottom w:val="single" w:sz="6" w:space="0" w:color="auto"/>
              <w:right w:val="single" w:sz="6" w:space="0" w:color="auto"/>
            </w:tcBorders>
          </w:tcPr>
          <w:p w14:paraId="5F8DEB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628D79C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19,806 adults</w:t>
            </w:r>
          </w:p>
        </w:tc>
        <w:tc>
          <w:tcPr>
            <w:tcW w:w="1350" w:type="dxa"/>
            <w:tcBorders>
              <w:top w:val="single" w:sz="6" w:space="0" w:color="auto"/>
              <w:left w:val="single" w:sz="6" w:space="0" w:color="auto"/>
              <w:bottom w:val="single" w:sz="6" w:space="0" w:color="auto"/>
              <w:right w:val="single" w:sz="6" w:space="0" w:color="auto"/>
            </w:tcBorders>
          </w:tcPr>
          <w:p w14:paraId="6884D4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adult population</w:t>
            </w:r>
          </w:p>
          <w:p w14:paraId="4AC7E8F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 years</w:t>
            </w:r>
          </w:p>
        </w:tc>
        <w:tc>
          <w:tcPr>
            <w:tcW w:w="1440" w:type="dxa"/>
            <w:tcBorders>
              <w:top w:val="single" w:sz="6" w:space="0" w:color="auto"/>
              <w:left w:val="single" w:sz="6" w:space="0" w:color="auto"/>
              <w:bottom w:val="single" w:sz="6" w:space="0" w:color="auto"/>
              <w:right w:val="single" w:sz="6" w:space="0" w:color="auto"/>
            </w:tcBorders>
          </w:tcPr>
          <w:p w14:paraId="72420BD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Landsat 7 ETM+</w:t>
            </w:r>
          </w:p>
        </w:tc>
        <w:tc>
          <w:tcPr>
            <w:tcW w:w="994" w:type="dxa"/>
            <w:tcBorders>
              <w:top w:val="single" w:sz="6" w:space="0" w:color="auto"/>
              <w:left w:val="single" w:sz="6" w:space="0" w:color="auto"/>
              <w:bottom w:val="single" w:sz="6" w:space="0" w:color="auto"/>
              <w:right w:val="single" w:sz="6" w:space="0" w:color="auto"/>
            </w:tcBorders>
          </w:tcPr>
          <w:p w14:paraId="6ACC764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40E2F0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800 m network buffer around residence</w:t>
            </w:r>
          </w:p>
        </w:tc>
        <w:tc>
          <w:tcPr>
            <w:tcW w:w="1264" w:type="dxa"/>
            <w:tcBorders>
              <w:top w:val="single" w:sz="6" w:space="0" w:color="auto"/>
              <w:left w:val="single" w:sz="6" w:space="0" w:color="auto"/>
              <w:bottom w:val="single" w:sz="6" w:space="0" w:color="auto"/>
              <w:right w:val="single" w:sz="6" w:space="0" w:color="auto"/>
            </w:tcBorders>
          </w:tcPr>
          <w:p w14:paraId="5D34A6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transport (minutes/week), walking for recreation (minutes/week)</w:t>
            </w:r>
          </w:p>
        </w:tc>
        <w:tc>
          <w:tcPr>
            <w:tcW w:w="1796" w:type="dxa"/>
            <w:tcBorders>
              <w:top w:val="single" w:sz="6" w:space="0" w:color="auto"/>
              <w:left w:val="single" w:sz="6" w:space="0" w:color="auto"/>
              <w:bottom w:val="single" w:sz="6" w:space="0" w:color="auto"/>
              <w:right w:val="single" w:sz="6" w:space="0" w:color="auto"/>
            </w:tcBorders>
          </w:tcPr>
          <w:p w14:paraId="47E4479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 (Active People Survey)</w:t>
            </w:r>
          </w:p>
        </w:tc>
        <w:tc>
          <w:tcPr>
            <w:tcW w:w="1264" w:type="dxa"/>
            <w:tcBorders>
              <w:top w:val="single" w:sz="6" w:space="0" w:color="auto"/>
              <w:left w:val="single" w:sz="6" w:space="0" w:color="auto"/>
              <w:bottom w:val="single" w:sz="6" w:space="0" w:color="auto"/>
              <w:right w:val="single" w:sz="6" w:space="0" w:color="auto"/>
            </w:tcBorders>
          </w:tcPr>
          <w:p w14:paraId="1B9AD2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linear regression</w:t>
            </w:r>
          </w:p>
        </w:tc>
        <w:tc>
          <w:tcPr>
            <w:tcW w:w="1339" w:type="dxa"/>
            <w:tcBorders>
              <w:top w:val="single" w:sz="6" w:space="0" w:color="auto"/>
              <w:left w:val="single" w:sz="6" w:space="0" w:color="auto"/>
              <w:bottom w:val="single" w:sz="6" w:space="0" w:color="auto"/>
              <w:right w:val="single" w:sz="6" w:space="0" w:color="auto"/>
            </w:tcBorders>
          </w:tcPr>
          <w:p w14:paraId="1D9415B9" w14:textId="304E6872"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5122B5A" w14:textId="4B0998E8"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sex </w:t>
            </w:r>
          </w:p>
          <w:p w14:paraId="35161109" w14:textId="4A3BDEA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ethnicity </w:t>
            </w:r>
          </w:p>
          <w:p w14:paraId="2A984AFB" w14:textId="75D9E630"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income</w:t>
            </w:r>
          </w:p>
          <w:p w14:paraId="2F81485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employment status, </w:t>
            </w:r>
          </w:p>
          <w:p w14:paraId="0DC009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1B40A2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health status, </w:t>
            </w:r>
          </w:p>
          <w:p w14:paraId="19B8CB8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design variables,</w:t>
            </w:r>
          </w:p>
          <w:p w14:paraId="6163CB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crime rate, </w:t>
            </w:r>
          </w:p>
          <w:p w14:paraId="4C7B7F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air pollution, </w:t>
            </w:r>
          </w:p>
          <w:p w14:paraId="38D4376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seasonality</w:t>
            </w:r>
          </w:p>
        </w:tc>
        <w:tc>
          <w:tcPr>
            <w:tcW w:w="1170" w:type="dxa"/>
            <w:tcBorders>
              <w:top w:val="single" w:sz="6" w:space="0" w:color="auto"/>
              <w:left w:val="single" w:sz="6" w:space="0" w:color="auto"/>
              <w:bottom w:val="single" w:sz="6" w:space="0" w:color="auto"/>
              <w:right w:val="single" w:sz="6" w:space="0" w:color="auto"/>
            </w:tcBorders>
          </w:tcPr>
          <w:p w14:paraId="405DB3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1440" w:type="dxa"/>
            <w:tcBorders>
              <w:top w:val="single" w:sz="6" w:space="0" w:color="auto"/>
              <w:left w:val="single" w:sz="6" w:space="0" w:color="auto"/>
              <w:bottom w:val="single" w:sz="6" w:space="0" w:color="auto"/>
              <w:right w:val="single" w:sz="6" w:space="0" w:color="auto"/>
            </w:tcBorders>
          </w:tcPr>
          <w:p w14:paraId="65AAA44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transport: β = 0.10 (95% CI: 0.02–0.18, p &lt; 0.05)</w:t>
            </w:r>
          </w:p>
          <w:p w14:paraId="5E6D3E9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006F7E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recreation: β = 0.03 (95% CI: –0.06–0.12, p &gt; 0.05)</w:t>
            </w:r>
          </w:p>
        </w:tc>
        <w:tc>
          <w:tcPr>
            <w:tcW w:w="1350" w:type="dxa"/>
            <w:tcBorders>
              <w:top w:val="single" w:sz="6" w:space="0" w:color="auto"/>
              <w:left w:val="single" w:sz="6" w:space="0" w:color="auto"/>
              <w:bottom w:val="single" w:sz="6" w:space="0" w:color="auto"/>
              <w:right w:val="single" w:sz="6" w:space="0" w:color="auto"/>
            </w:tcBorders>
          </w:tcPr>
          <w:p w14:paraId="46622D7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transport: 0.02–0.18</w:t>
            </w:r>
          </w:p>
          <w:p w14:paraId="3F771D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57B0A75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recreation: –0.06–0.12</w:t>
            </w:r>
          </w:p>
        </w:tc>
        <w:tc>
          <w:tcPr>
            <w:tcW w:w="1170" w:type="dxa"/>
            <w:tcBorders>
              <w:top w:val="single" w:sz="6" w:space="0" w:color="auto"/>
              <w:left w:val="single" w:sz="6" w:space="0" w:color="auto"/>
              <w:bottom w:val="single" w:sz="6" w:space="0" w:color="auto"/>
              <w:right w:val="single" w:sz="6" w:space="0" w:color="auto"/>
            </w:tcBorders>
          </w:tcPr>
          <w:p w14:paraId="2F110FD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transport: &lt;0.05</w:t>
            </w:r>
          </w:p>
          <w:p w14:paraId="3C99BD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7110E78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recreation: &gt;0.05</w:t>
            </w:r>
          </w:p>
        </w:tc>
        <w:tc>
          <w:tcPr>
            <w:tcW w:w="1620" w:type="dxa"/>
            <w:tcBorders>
              <w:top w:val="single" w:sz="6" w:space="0" w:color="auto"/>
              <w:left w:val="single" w:sz="6" w:space="0" w:color="auto"/>
              <w:bottom w:val="single" w:sz="6" w:space="0" w:color="auto"/>
              <w:right w:val="single" w:sz="6" w:space="0" w:color="auto"/>
            </w:tcBorders>
          </w:tcPr>
          <w:p w14:paraId="309022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transport: Positive</w:t>
            </w:r>
          </w:p>
          <w:p w14:paraId="24755E1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45A7C7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recreation: Null</w:t>
            </w:r>
          </w:p>
        </w:tc>
      </w:tr>
      <w:tr w:rsidR="004301B5" w:rsidRPr="002D669D" w14:paraId="2145D3FE" w14:textId="77777777" w:rsidTr="00A136E2">
        <w:trPr>
          <w:trHeight w:val="1884"/>
        </w:trPr>
        <w:tc>
          <w:tcPr>
            <w:tcW w:w="1174" w:type="dxa"/>
            <w:tcBorders>
              <w:top w:val="single" w:sz="6" w:space="0" w:color="auto"/>
              <w:left w:val="single" w:sz="4" w:space="0" w:color="auto"/>
              <w:bottom w:val="single" w:sz="6" w:space="0" w:color="auto"/>
              <w:right w:val="single" w:sz="6" w:space="0" w:color="auto"/>
            </w:tcBorders>
          </w:tcPr>
          <w:p w14:paraId="34999E5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 et al.,</w:t>
            </w:r>
          </w:p>
          <w:p w14:paraId="045C3E4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2025</w:t>
            </w:r>
          </w:p>
        </w:tc>
        <w:tc>
          <w:tcPr>
            <w:tcW w:w="899" w:type="dxa"/>
            <w:tcBorders>
              <w:top w:val="single" w:sz="6" w:space="0" w:color="auto"/>
              <w:left w:val="single" w:sz="6" w:space="0" w:color="auto"/>
              <w:bottom w:val="single" w:sz="6" w:space="0" w:color="auto"/>
              <w:right w:val="single" w:sz="6" w:space="0" w:color="auto"/>
            </w:tcBorders>
          </w:tcPr>
          <w:p w14:paraId="61CE1F5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3B95BF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7AE70C9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specified for individuals (data from GPS tracking of park visitors)</w:t>
            </w:r>
          </w:p>
        </w:tc>
        <w:tc>
          <w:tcPr>
            <w:tcW w:w="1350" w:type="dxa"/>
            <w:tcBorders>
              <w:top w:val="single" w:sz="6" w:space="0" w:color="auto"/>
              <w:left w:val="single" w:sz="6" w:space="0" w:color="auto"/>
              <w:bottom w:val="single" w:sz="6" w:space="0" w:color="auto"/>
              <w:right w:val="single" w:sz="6" w:space="0" w:color="auto"/>
            </w:tcBorders>
          </w:tcPr>
          <w:p w14:paraId="0CDBC8C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public visiting urban parks</w:t>
            </w:r>
          </w:p>
          <w:p w14:paraId="66B2BA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71AEBD1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OLI</w:t>
            </w:r>
          </w:p>
        </w:tc>
        <w:tc>
          <w:tcPr>
            <w:tcW w:w="994" w:type="dxa"/>
            <w:tcBorders>
              <w:top w:val="single" w:sz="6" w:space="0" w:color="auto"/>
              <w:left w:val="single" w:sz="6" w:space="0" w:color="auto"/>
              <w:bottom w:val="single" w:sz="6" w:space="0" w:color="auto"/>
              <w:right w:val="single" w:sz="6" w:space="0" w:color="auto"/>
            </w:tcBorders>
          </w:tcPr>
          <w:p w14:paraId="57998FF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393605B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 m around activity points along park routes</w:t>
            </w:r>
          </w:p>
        </w:tc>
        <w:tc>
          <w:tcPr>
            <w:tcW w:w="1264" w:type="dxa"/>
            <w:tcBorders>
              <w:top w:val="single" w:sz="6" w:space="0" w:color="auto"/>
              <w:left w:val="single" w:sz="6" w:space="0" w:color="auto"/>
              <w:bottom w:val="single" w:sz="6" w:space="0" w:color="auto"/>
              <w:right w:val="single" w:sz="6" w:space="0" w:color="auto"/>
            </w:tcBorders>
          </w:tcPr>
          <w:p w14:paraId="68866D1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Amount,</w:t>
            </w:r>
          </w:p>
          <w:p w14:paraId="0814C26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intensity, </w:t>
            </w:r>
          </w:p>
          <w:p w14:paraId="1F72031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diversity of physical activity along park routes</w:t>
            </w:r>
          </w:p>
        </w:tc>
        <w:tc>
          <w:tcPr>
            <w:tcW w:w="1796" w:type="dxa"/>
            <w:tcBorders>
              <w:top w:val="single" w:sz="6" w:space="0" w:color="auto"/>
              <w:left w:val="single" w:sz="6" w:space="0" w:color="auto"/>
              <w:bottom w:val="single" w:sz="6" w:space="0" w:color="auto"/>
              <w:right w:val="single" w:sz="6" w:space="0" w:color="auto"/>
            </w:tcBorders>
          </w:tcPr>
          <w:p w14:paraId="73EC78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GPS tracking and accelerometer data</w:t>
            </w:r>
          </w:p>
        </w:tc>
        <w:tc>
          <w:tcPr>
            <w:tcW w:w="1264" w:type="dxa"/>
            <w:tcBorders>
              <w:top w:val="single" w:sz="6" w:space="0" w:color="auto"/>
              <w:left w:val="single" w:sz="6" w:space="0" w:color="auto"/>
              <w:bottom w:val="single" w:sz="6" w:space="0" w:color="auto"/>
              <w:right w:val="single" w:sz="6" w:space="0" w:color="auto"/>
            </w:tcBorders>
          </w:tcPr>
          <w:p w14:paraId="51D29C2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additive model (GAM)</w:t>
            </w:r>
          </w:p>
        </w:tc>
        <w:tc>
          <w:tcPr>
            <w:tcW w:w="1339" w:type="dxa"/>
            <w:tcBorders>
              <w:top w:val="single" w:sz="6" w:space="0" w:color="auto"/>
              <w:left w:val="single" w:sz="6" w:space="0" w:color="auto"/>
              <w:bottom w:val="single" w:sz="6" w:space="0" w:color="auto"/>
              <w:right w:val="single" w:sz="6" w:space="0" w:color="auto"/>
            </w:tcBorders>
          </w:tcPr>
          <w:p w14:paraId="17BD03C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Route slope,</w:t>
            </w:r>
          </w:p>
          <w:p w14:paraId="494760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proximity to entrances,</w:t>
            </w:r>
          </w:p>
          <w:p w14:paraId="523ED2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facilities, </w:t>
            </w:r>
          </w:p>
          <w:p w14:paraId="4F0E6D8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and water, </w:t>
            </w:r>
          </w:p>
          <w:p w14:paraId="778BF40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land cover types, </w:t>
            </w:r>
          </w:p>
          <w:p w14:paraId="4F1EC98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vegetation density, </w:t>
            </w:r>
          </w:p>
          <w:p w14:paraId="6B251C9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weather conditions</w:t>
            </w:r>
          </w:p>
        </w:tc>
        <w:tc>
          <w:tcPr>
            <w:tcW w:w="1170" w:type="dxa"/>
            <w:tcBorders>
              <w:top w:val="single" w:sz="6" w:space="0" w:color="auto"/>
              <w:left w:val="single" w:sz="6" w:space="0" w:color="auto"/>
              <w:bottom w:val="single" w:sz="6" w:space="0" w:color="auto"/>
              <w:right w:val="single" w:sz="6" w:space="0" w:color="auto"/>
            </w:tcBorders>
          </w:tcPr>
          <w:p w14:paraId="09C7F9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Regression coefficient (β)</w:t>
            </w:r>
          </w:p>
        </w:tc>
        <w:tc>
          <w:tcPr>
            <w:tcW w:w="1440" w:type="dxa"/>
            <w:tcBorders>
              <w:top w:val="single" w:sz="6" w:space="0" w:color="auto"/>
              <w:left w:val="single" w:sz="6" w:space="0" w:color="auto"/>
              <w:bottom w:val="single" w:sz="6" w:space="0" w:color="auto"/>
              <w:right w:val="single" w:sz="6" w:space="0" w:color="auto"/>
            </w:tcBorders>
          </w:tcPr>
          <w:p w14:paraId="57CAA30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association between NDVI and all three PA outcomes</w:t>
            </w:r>
          </w:p>
        </w:tc>
        <w:tc>
          <w:tcPr>
            <w:tcW w:w="1350" w:type="dxa"/>
            <w:tcBorders>
              <w:top w:val="single" w:sz="6" w:space="0" w:color="auto"/>
              <w:left w:val="single" w:sz="6" w:space="0" w:color="auto"/>
              <w:bottom w:val="single" w:sz="6" w:space="0" w:color="auto"/>
              <w:right w:val="single" w:sz="6" w:space="0" w:color="auto"/>
            </w:tcBorders>
          </w:tcPr>
          <w:p w14:paraId="13DD1F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Not reported in standard OR/CI format</w:t>
            </w:r>
          </w:p>
        </w:tc>
        <w:tc>
          <w:tcPr>
            <w:tcW w:w="1170" w:type="dxa"/>
            <w:tcBorders>
              <w:top w:val="single" w:sz="6" w:space="0" w:color="auto"/>
              <w:left w:val="single" w:sz="6" w:space="0" w:color="auto"/>
              <w:bottom w:val="single" w:sz="6" w:space="0" w:color="auto"/>
              <w:right w:val="single" w:sz="6" w:space="0" w:color="auto"/>
            </w:tcBorders>
          </w:tcPr>
          <w:p w14:paraId="250AA6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620" w:type="dxa"/>
            <w:tcBorders>
              <w:top w:val="single" w:sz="6" w:space="0" w:color="auto"/>
              <w:left w:val="single" w:sz="6" w:space="0" w:color="auto"/>
              <w:bottom w:val="single" w:sz="6" w:space="0" w:color="auto"/>
              <w:right w:val="single" w:sz="6" w:space="0" w:color="auto"/>
            </w:tcBorders>
          </w:tcPr>
          <w:p w14:paraId="24AD23D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4301B5" w:rsidRPr="002D669D" w14:paraId="3479F00B" w14:textId="77777777" w:rsidTr="00A136E2">
        <w:trPr>
          <w:trHeight w:val="3306"/>
        </w:trPr>
        <w:tc>
          <w:tcPr>
            <w:tcW w:w="1174" w:type="dxa"/>
            <w:tcBorders>
              <w:top w:val="single" w:sz="6" w:space="0" w:color="auto"/>
              <w:left w:val="single" w:sz="4" w:space="0" w:color="auto"/>
              <w:bottom w:val="single" w:sz="6" w:space="0" w:color="auto"/>
              <w:right w:val="single" w:sz="6" w:space="0" w:color="auto"/>
            </w:tcBorders>
          </w:tcPr>
          <w:p w14:paraId="20092F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Doan et al.,</w:t>
            </w:r>
          </w:p>
          <w:p w14:paraId="1B64CAF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2025</w:t>
            </w:r>
          </w:p>
        </w:tc>
        <w:tc>
          <w:tcPr>
            <w:tcW w:w="899" w:type="dxa"/>
            <w:tcBorders>
              <w:top w:val="single" w:sz="6" w:space="0" w:color="auto"/>
              <w:left w:val="single" w:sz="6" w:space="0" w:color="auto"/>
              <w:bottom w:val="single" w:sz="6" w:space="0" w:color="auto"/>
              <w:right w:val="single" w:sz="6" w:space="0" w:color="auto"/>
            </w:tcBorders>
          </w:tcPr>
          <w:p w14:paraId="04CC115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1079" w:type="dxa"/>
            <w:tcBorders>
              <w:top w:val="single" w:sz="6" w:space="0" w:color="auto"/>
              <w:left w:val="single" w:sz="6" w:space="0" w:color="auto"/>
              <w:bottom w:val="single" w:sz="6" w:space="0" w:color="auto"/>
              <w:right w:val="single" w:sz="6" w:space="0" w:color="auto"/>
            </w:tcBorders>
          </w:tcPr>
          <w:p w14:paraId="23C32B9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116C6E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132,927 urban-dwelling youth and adults. </w:t>
            </w:r>
          </w:p>
        </w:tc>
        <w:tc>
          <w:tcPr>
            <w:tcW w:w="1350" w:type="dxa"/>
            <w:tcBorders>
              <w:top w:val="single" w:sz="6" w:space="0" w:color="auto"/>
              <w:left w:val="single" w:sz="6" w:space="0" w:color="auto"/>
              <w:bottom w:val="single" w:sz="6" w:space="0" w:color="auto"/>
              <w:right w:val="single" w:sz="6" w:space="0" w:color="auto"/>
            </w:tcBorders>
          </w:tcPr>
          <w:p w14:paraId="07D2C1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Youth (12–17)</w:t>
            </w:r>
          </w:p>
          <w:p w14:paraId="3B4A8C1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(≥18) living in urban areas.</w:t>
            </w:r>
          </w:p>
          <w:p w14:paraId="35ECD1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59228D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Landsat 8 NDVI. </w:t>
            </w:r>
          </w:p>
        </w:tc>
        <w:tc>
          <w:tcPr>
            <w:tcW w:w="994" w:type="dxa"/>
            <w:tcBorders>
              <w:top w:val="single" w:sz="6" w:space="0" w:color="auto"/>
              <w:left w:val="single" w:sz="6" w:space="0" w:color="auto"/>
              <w:bottom w:val="single" w:sz="6" w:space="0" w:color="auto"/>
              <w:right w:val="single" w:sz="6" w:space="0" w:color="auto"/>
            </w:tcBorders>
          </w:tcPr>
          <w:p w14:paraId="1DADCB1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2F5459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Not a home-centred buffer — NDVI aggregated within 2016 dissemination areas (area-level exposure).</w:t>
            </w:r>
          </w:p>
        </w:tc>
        <w:tc>
          <w:tcPr>
            <w:tcW w:w="1264" w:type="dxa"/>
            <w:tcBorders>
              <w:top w:val="single" w:sz="6" w:space="0" w:color="auto"/>
              <w:left w:val="single" w:sz="6" w:space="0" w:color="auto"/>
              <w:bottom w:val="single" w:sz="6" w:space="0" w:color="auto"/>
              <w:right w:val="single" w:sz="6" w:space="0" w:color="auto"/>
            </w:tcBorders>
          </w:tcPr>
          <w:p w14:paraId="51ED821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Transportational (PATRA) and recreational (PAREC) physical activity (minutes/day; log-transformed). </w:t>
            </w:r>
          </w:p>
        </w:tc>
        <w:tc>
          <w:tcPr>
            <w:tcW w:w="1796" w:type="dxa"/>
            <w:tcBorders>
              <w:top w:val="single" w:sz="6" w:space="0" w:color="auto"/>
              <w:left w:val="single" w:sz="6" w:space="0" w:color="auto"/>
              <w:bottom w:val="single" w:sz="6" w:space="0" w:color="auto"/>
              <w:right w:val="single" w:sz="6" w:space="0" w:color="auto"/>
            </w:tcBorders>
          </w:tcPr>
          <w:p w14:paraId="1FA574E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Self-reported CCHS modules for youth and adults. </w:t>
            </w:r>
          </w:p>
        </w:tc>
        <w:tc>
          <w:tcPr>
            <w:tcW w:w="1264" w:type="dxa"/>
            <w:tcBorders>
              <w:top w:val="single" w:sz="6" w:space="0" w:color="auto"/>
              <w:left w:val="single" w:sz="6" w:space="0" w:color="auto"/>
              <w:bottom w:val="single" w:sz="6" w:space="0" w:color="auto"/>
              <w:right w:val="single" w:sz="6" w:space="0" w:color="auto"/>
            </w:tcBorders>
          </w:tcPr>
          <w:p w14:paraId="298321C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Weighted multivariable linear regression (main effects and NDVI×walkability interaction). </w:t>
            </w:r>
          </w:p>
        </w:tc>
        <w:tc>
          <w:tcPr>
            <w:tcW w:w="1339" w:type="dxa"/>
            <w:tcBorders>
              <w:top w:val="single" w:sz="6" w:space="0" w:color="auto"/>
              <w:left w:val="single" w:sz="6" w:space="0" w:color="auto"/>
              <w:bottom w:val="single" w:sz="6" w:space="0" w:color="auto"/>
              <w:right w:val="single" w:sz="6" w:space="0" w:color="auto"/>
            </w:tcBorders>
          </w:tcPr>
          <w:p w14:paraId="4E4EC2E6" w14:textId="62C13813" w:rsidR="00364B69" w:rsidRDefault="00364B69"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3341254E" w14:textId="1542530E" w:rsidR="00364B69"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race/ethnicity immigration education home ownership</w:t>
            </w:r>
          </w:p>
          <w:p w14:paraId="26B4ABC9" w14:textId="6540F28E"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self-rated health</w:t>
            </w:r>
          </w:p>
          <w:p w14:paraId="7C2F1096" w14:textId="729F7B6C"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season, community size </w:t>
            </w:r>
          </w:p>
          <w:p w14:paraId="349C5124" w14:textId="43C638CB" w:rsidR="00364B69" w:rsidRPr="002D669D" w:rsidRDefault="004301B5" w:rsidP="00364B6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and neighbourhood marginalization </w:t>
            </w:r>
          </w:p>
          <w:p w14:paraId="6BE19549" w14:textId="6B4ECDE0"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48290F1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2790" w:type="dxa"/>
            <w:gridSpan w:val="2"/>
            <w:tcBorders>
              <w:top w:val="single" w:sz="6" w:space="0" w:color="auto"/>
              <w:left w:val="single" w:sz="6" w:space="0" w:color="auto"/>
              <w:bottom w:val="single" w:sz="6" w:space="0" w:color="auto"/>
              <w:right w:val="single" w:sz="6" w:space="0" w:color="auto"/>
            </w:tcBorders>
          </w:tcPr>
          <w:p w14:paraId="6A351C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Effect Estimates (main effects of NDVI):</w:t>
            </w:r>
          </w:p>
          <w:p w14:paraId="128F91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39FC3D2" w14:textId="700F58E1" w:rsidR="004301B5" w:rsidRPr="002D669D" w:rsidRDefault="004301B5" w:rsidP="00364B6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 PATRA: β = 0.2 (95% CI: 0.02, 0.36) — significant. </w:t>
            </w:r>
          </w:p>
          <w:p w14:paraId="6382CDE7" w14:textId="17D19EB6" w:rsidR="004301B5" w:rsidRPr="002D669D" w:rsidRDefault="004301B5" w:rsidP="00364B6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 PAREC: β = 0.3 (95% CI: 0.14, 0.47) — significant. </w:t>
            </w:r>
          </w:p>
          <w:p w14:paraId="32765697" w14:textId="5FC2600A" w:rsidR="004301B5" w:rsidRPr="002D669D" w:rsidRDefault="004301B5" w:rsidP="00364B6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Youth – PATRA: β = 0.5 (95% CI: −0.06, 0.99) — not significant. </w:t>
            </w:r>
          </w:p>
          <w:p w14:paraId="60B99FE8" w14:textId="3EEB5B1D" w:rsidR="004301B5" w:rsidRPr="002D669D" w:rsidRDefault="004301B5" w:rsidP="00364B6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Youth – PAREC: β = −0.1 (95% CI: −0.69, 0.49) — not significant.</w:t>
            </w:r>
          </w:p>
          <w:p w14:paraId="2996C38A" w14:textId="51205F4F" w:rsidR="004301B5" w:rsidRPr="002D669D" w:rsidRDefault="004301B5" w:rsidP="00364B6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Interaction (NDVI × walkability):</w:t>
            </w:r>
          </w:p>
          <w:p w14:paraId="49501539" w14:textId="393C15E2" w:rsidR="004301B5" w:rsidRPr="002D669D" w:rsidRDefault="004301B5" w:rsidP="00364B6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PATRA: significant for youth (β = 0.4, 95% CI: 0.21, 0.66) and adults (β = 0.3, 95% CI: 0.22, 0.35). </w:t>
            </w:r>
          </w:p>
        </w:tc>
        <w:tc>
          <w:tcPr>
            <w:tcW w:w="1170" w:type="dxa"/>
            <w:tcBorders>
              <w:top w:val="single" w:sz="6" w:space="0" w:color="auto"/>
              <w:left w:val="single" w:sz="6" w:space="0" w:color="auto"/>
              <w:bottom w:val="single" w:sz="6" w:space="0" w:color="auto"/>
              <w:right w:val="single" w:sz="6" w:space="0" w:color="auto"/>
            </w:tcBorders>
          </w:tcPr>
          <w:p w14:paraId="204AFD2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Not directly reported; significance indicated by 95% CIs excluding 0. </w:t>
            </w:r>
          </w:p>
        </w:tc>
        <w:tc>
          <w:tcPr>
            <w:tcW w:w="1620" w:type="dxa"/>
            <w:tcBorders>
              <w:top w:val="single" w:sz="6" w:space="0" w:color="auto"/>
              <w:left w:val="single" w:sz="6" w:space="0" w:color="auto"/>
              <w:bottom w:val="single" w:sz="6" w:space="0" w:color="auto"/>
              <w:right w:val="single" w:sz="6" w:space="0" w:color="auto"/>
            </w:tcBorders>
          </w:tcPr>
          <w:p w14:paraId="77DEAC0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adults (PATRA &amp; PAREC); null for youth.</w:t>
            </w:r>
          </w:p>
        </w:tc>
      </w:tr>
      <w:tr w:rsidR="004301B5" w:rsidRPr="002D669D" w14:paraId="2D85F790" w14:textId="77777777" w:rsidTr="00A136E2">
        <w:trPr>
          <w:trHeight w:val="2595"/>
        </w:trPr>
        <w:tc>
          <w:tcPr>
            <w:tcW w:w="1174" w:type="dxa"/>
            <w:tcBorders>
              <w:top w:val="single" w:sz="6" w:space="0" w:color="auto"/>
              <w:left w:val="single" w:sz="4" w:space="0" w:color="auto"/>
              <w:bottom w:val="single" w:sz="6" w:space="0" w:color="auto"/>
              <w:right w:val="single" w:sz="6" w:space="0" w:color="auto"/>
            </w:tcBorders>
          </w:tcPr>
          <w:p w14:paraId="5DF3D0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Almeida, et al.</w:t>
            </w:r>
          </w:p>
          <w:p w14:paraId="6D940B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639C91D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Brazil</w:t>
            </w:r>
          </w:p>
        </w:tc>
        <w:tc>
          <w:tcPr>
            <w:tcW w:w="1079" w:type="dxa"/>
            <w:tcBorders>
              <w:top w:val="single" w:sz="6" w:space="0" w:color="auto"/>
              <w:left w:val="single" w:sz="6" w:space="0" w:color="auto"/>
              <w:bottom w:val="single" w:sz="6" w:space="0" w:color="auto"/>
              <w:right w:val="single" w:sz="6" w:space="0" w:color="auto"/>
            </w:tcBorders>
          </w:tcPr>
          <w:p w14:paraId="0893060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Longitudinal cohort </w:t>
            </w:r>
          </w:p>
          <w:p w14:paraId="0B5ADAC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(8-year follow-up)</w:t>
            </w:r>
          </w:p>
        </w:tc>
        <w:tc>
          <w:tcPr>
            <w:tcW w:w="990" w:type="dxa"/>
            <w:tcBorders>
              <w:top w:val="single" w:sz="6" w:space="0" w:color="auto"/>
              <w:left w:val="single" w:sz="6" w:space="0" w:color="auto"/>
              <w:bottom w:val="single" w:sz="6" w:space="0" w:color="auto"/>
              <w:right w:val="single" w:sz="6" w:space="0" w:color="auto"/>
            </w:tcBorders>
          </w:tcPr>
          <w:p w14:paraId="378748B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4800</w:t>
            </w:r>
          </w:p>
        </w:tc>
        <w:tc>
          <w:tcPr>
            <w:tcW w:w="1350" w:type="dxa"/>
            <w:tcBorders>
              <w:top w:val="single" w:sz="6" w:space="0" w:color="auto"/>
              <w:left w:val="single" w:sz="6" w:space="0" w:color="auto"/>
              <w:bottom w:val="single" w:sz="6" w:space="0" w:color="auto"/>
              <w:right w:val="single" w:sz="6" w:space="0" w:color="auto"/>
            </w:tcBorders>
          </w:tcPr>
          <w:p w14:paraId="5BFDD1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Middle-aged and older adults</w:t>
            </w:r>
          </w:p>
          <w:p w14:paraId="336A45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35–74 years</w:t>
            </w:r>
          </w:p>
        </w:tc>
        <w:tc>
          <w:tcPr>
            <w:tcW w:w="1440" w:type="dxa"/>
            <w:tcBorders>
              <w:top w:val="single" w:sz="6" w:space="0" w:color="auto"/>
              <w:left w:val="single" w:sz="6" w:space="0" w:color="auto"/>
              <w:bottom w:val="single" w:sz="6" w:space="0" w:color="auto"/>
              <w:right w:val="single" w:sz="6" w:space="0" w:color="auto"/>
            </w:tcBorders>
          </w:tcPr>
          <w:p w14:paraId="0EFC6DF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RapidEye 5 m imagery (2011)</w:t>
            </w:r>
          </w:p>
        </w:tc>
        <w:tc>
          <w:tcPr>
            <w:tcW w:w="994" w:type="dxa"/>
            <w:tcBorders>
              <w:top w:val="single" w:sz="6" w:space="0" w:color="auto"/>
              <w:left w:val="single" w:sz="6" w:space="0" w:color="auto"/>
              <w:bottom w:val="single" w:sz="6" w:space="0" w:color="auto"/>
              <w:right w:val="single" w:sz="6" w:space="0" w:color="auto"/>
            </w:tcBorders>
          </w:tcPr>
          <w:p w14:paraId="0512D0A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 m</w:t>
            </w:r>
          </w:p>
        </w:tc>
        <w:tc>
          <w:tcPr>
            <w:tcW w:w="1166" w:type="dxa"/>
            <w:tcBorders>
              <w:top w:val="single" w:sz="6" w:space="0" w:color="auto"/>
              <w:left w:val="single" w:sz="6" w:space="0" w:color="auto"/>
              <w:bottom w:val="single" w:sz="6" w:space="0" w:color="auto"/>
              <w:right w:val="single" w:sz="6" w:space="0" w:color="auto"/>
            </w:tcBorders>
          </w:tcPr>
          <w:p w14:paraId="3DDC6F0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radius around participant’s residence</w:t>
            </w:r>
          </w:p>
        </w:tc>
        <w:tc>
          <w:tcPr>
            <w:tcW w:w="1264" w:type="dxa"/>
            <w:tcBorders>
              <w:top w:val="single" w:sz="6" w:space="0" w:color="auto"/>
              <w:left w:val="single" w:sz="6" w:space="0" w:color="auto"/>
              <w:bottom w:val="single" w:sz="6" w:space="0" w:color="auto"/>
              <w:right w:val="single" w:sz="6" w:space="0" w:color="auto"/>
            </w:tcBorders>
          </w:tcPr>
          <w:p w14:paraId="4C9CA59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w:t>
            </w:r>
          </w:p>
        </w:tc>
        <w:tc>
          <w:tcPr>
            <w:tcW w:w="1796" w:type="dxa"/>
            <w:tcBorders>
              <w:top w:val="single" w:sz="6" w:space="0" w:color="auto"/>
              <w:left w:val="single" w:sz="6" w:space="0" w:color="auto"/>
              <w:bottom w:val="single" w:sz="6" w:space="0" w:color="auto"/>
              <w:right w:val="single" w:sz="6" w:space="0" w:color="auto"/>
            </w:tcBorders>
          </w:tcPr>
          <w:p w14:paraId="3088FB8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 (IPAQ long form)</w:t>
            </w:r>
          </w:p>
          <w:p w14:paraId="12263EF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264" w:type="dxa"/>
            <w:tcBorders>
              <w:top w:val="single" w:sz="6" w:space="0" w:color="auto"/>
              <w:left w:val="single" w:sz="6" w:space="0" w:color="auto"/>
              <w:bottom w:val="single" w:sz="6" w:space="0" w:color="auto"/>
              <w:right w:val="single" w:sz="6" w:space="0" w:color="auto"/>
            </w:tcBorders>
          </w:tcPr>
          <w:p w14:paraId="60494F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tc>
        <w:tc>
          <w:tcPr>
            <w:tcW w:w="1339" w:type="dxa"/>
            <w:tcBorders>
              <w:top w:val="single" w:sz="6" w:space="0" w:color="auto"/>
              <w:left w:val="single" w:sz="6" w:space="0" w:color="auto"/>
              <w:bottom w:val="single" w:sz="6" w:space="0" w:color="auto"/>
              <w:right w:val="single" w:sz="6" w:space="0" w:color="auto"/>
            </w:tcBorders>
          </w:tcPr>
          <w:p w14:paraId="77746688" w14:textId="156F842C"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478E71A2" w14:textId="74BDF298"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3EAA2201" w14:textId="38FA936A"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1FE74526" w14:textId="1EE2541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065492E8" w14:textId="6BC096A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7594886C" w14:textId="034199D3"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w:t>
            </w:r>
          </w:p>
          <w:p w14:paraId="5E4295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alcohol consumption,</w:t>
            </w:r>
          </w:p>
          <w:p w14:paraId="3B73788A" w14:textId="1253859A"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BMI</w:t>
            </w:r>
          </w:p>
          <w:p w14:paraId="643895CF" w14:textId="578E9DA3" w:rsidR="004301B5" w:rsidRPr="002D669D" w:rsidRDefault="004301B5"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chronic diseases </w:t>
            </w:r>
          </w:p>
          <w:p w14:paraId="69D8207B" w14:textId="637B04AA"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income </w:t>
            </w:r>
          </w:p>
          <w:p w14:paraId="2362F9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follow-up time</w:t>
            </w:r>
          </w:p>
        </w:tc>
        <w:tc>
          <w:tcPr>
            <w:tcW w:w="1170" w:type="dxa"/>
            <w:tcBorders>
              <w:top w:val="single" w:sz="6" w:space="0" w:color="auto"/>
              <w:left w:val="single" w:sz="6" w:space="0" w:color="auto"/>
              <w:bottom w:val="single" w:sz="6" w:space="0" w:color="auto"/>
              <w:right w:val="single" w:sz="6" w:space="0" w:color="auto"/>
            </w:tcBorders>
          </w:tcPr>
          <w:p w14:paraId="270311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440" w:type="dxa"/>
            <w:tcBorders>
              <w:top w:val="single" w:sz="6" w:space="0" w:color="auto"/>
              <w:left w:val="single" w:sz="6" w:space="0" w:color="auto"/>
              <w:bottom w:val="single" w:sz="6" w:space="0" w:color="auto"/>
              <w:right w:val="single" w:sz="6" w:space="0" w:color="auto"/>
            </w:tcBorders>
          </w:tcPr>
          <w:p w14:paraId="3BBEB39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ORs: Q4 1.48 (1.04–2.12), </w:t>
            </w:r>
          </w:p>
          <w:p w14:paraId="1DFCA3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Q5 1.43 (1.00–2.04)</w:t>
            </w:r>
          </w:p>
        </w:tc>
        <w:tc>
          <w:tcPr>
            <w:tcW w:w="1350" w:type="dxa"/>
            <w:tcBorders>
              <w:top w:val="single" w:sz="6" w:space="0" w:color="auto"/>
              <w:left w:val="single" w:sz="6" w:space="0" w:color="auto"/>
              <w:bottom w:val="single" w:sz="6" w:space="0" w:color="auto"/>
              <w:right w:val="single" w:sz="6" w:space="0" w:color="auto"/>
            </w:tcBorders>
          </w:tcPr>
          <w:p w14:paraId="001E80C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2D3E2C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620" w:type="dxa"/>
            <w:tcBorders>
              <w:top w:val="single" w:sz="6" w:space="0" w:color="auto"/>
              <w:left w:val="single" w:sz="6" w:space="0" w:color="auto"/>
              <w:bottom w:val="single" w:sz="6" w:space="0" w:color="auto"/>
              <w:right w:val="single" w:sz="6" w:space="0" w:color="auto"/>
            </w:tcBorders>
          </w:tcPr>
          <w:p w14:paraId="452EBFE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w:t>
            </w:r>
          </w:p>
        </w:tc>
      </w:tr>
      <w:tr w:rsidR="00A136E2" w:rsidRPr="002D669D" w14:paraId="701844B6" w14:textId="77777777" w:rsidTr="00A136E2">
        <w:trPr>
          <w:trHeight w:val="2163"/>
        </w:trPr>
        <w:tc>
          <w:tcPr>
            <w:tcW w:w="1174" w:type="dxa"/>
            <w:tcBorders>
              <w:top w:val="single" w:sz="6" w:space="0" w:color="auto"/>
              <w:left w:val="single" w:sz="4" w:space="0" w:color="auto"/>
              <w:bottom w:val="single" w:sz="6" w:space="0" w:color="auto"/>
              <w:right w:val="single" w:sz="6" w:space="0" w:color="auto"/>
            </w:tcBorders>
          </w:tcPr>
          <w:p w14:paraId="7CDDC39A"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Miao, et al.</w:t>
            </w:r>
          </w:p>
          <w:p w14:paraId="62A5E41A"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112CAEB6"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7A3739DB"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33B37A2D"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6416 older adults</w:t>
            </w:r>
          </w:p>
        </w:tc>
        <w:tc>
          <w:tcPr>
            <w:tcW w:w="1350" w:type="dxa"/>
            <w:tcBorders>
              <w:top w:val="single" w:sz="6" w:space="0" w:color="auto"/>
              <w:left w:val="single" w:sz="6" w:space="0" w:color="auto"/>
              <w:bottom w:val="single" w:sz="6" w:space="0" w:color="auto"/>
              <w:right w:val="single" w:sz="6" w:space="0" w:color="auto"/>
            </w:tcBorders>
          </w:tcPr>
          <w:p w14:paraId="0762CE51"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aged 60 years and older</w:t>
            </w:r>
          </w:p>
          <w:p w14:paraId="7491B537"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14E1FD3D"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OLI</w:t>
            </w:r>
          </w:p>
        </w:tc>
        <w:tc>
          <w:tcPr>
            <w:tcW w:w="994" w:type="dxa"/>
            <w:tcBorders>
              <w:top w:val="single" w:sz="6" w:space="0" w:color="auto"/>
              <w:left w:val="single" w:sz="6" w:space="0" w:color="auto"/>
              <w:bottom w:val="single" w:sz="6" w:space="0" w:color="auto"/>
              <w:right w:val="single" w:sz="6" w:space="0" w:color="auto"/>
            </w:tcBorders>
          </w:tcPr>
          <w:p w14:paraId="3CBCC32F"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3098BA7E"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radius around participant’s residence</w:t>
            </w:r>
          </w:p>
        </w:tc>
        <w:tc>
          <w:tcPr>
            <w:tcW w:w="1264" w:type="dxa"/>
            <w:tcBorders>
              <w:top w:val="single" w:sz="6" w:space="0" w:color="auto"/>
              <w:left w:val="single" w:sz="6" w:space="0" w:color="auto"/>
              <w:bottom w:val="single" w:sz="6" w:space="0" w:color="auto"/>
              <w:right w:val="single" w:sz="6" w:space="0" w:color="auto"/>
            </w:tcBorders>
          </w:tcPr>
          <w:p w14:paraId="6E373422"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Physical inactivity (defined as &lt;150 minutes/week)</w:t>
            </w:r>
          </w:p>
        </w:tc>
        <w:tc>
          <w:tcPr>
            <w:tcW w:w="1796" w:type="dxa"/>
            <w:tcBorders>
              <w:top w:val="single" w:sz="6" w:space="0" w:color="auto"/>
              <w:left w:val="single" w:sz="6" w:space="0" w:color="auto"/>
              <w:bottom w:val="single" w:sz="6" w:space="0" w:color="auto"/>
              <w:right w:val="single" w:sz="6" w:space="0" w:color="auto"/>
            </w:tcBorders>
          </w:tcPr>
          <w:p w14:paraId="56D7FDAD"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p w14:paraId="372BC378"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(International Physical Activity Questionnaire – IPAQ)</w:t>
            </w:r>
          </w:p>
        </w:tc>
        <w:tc>
          <w:tcPr>
            <w:tcW w:w="1264" w:type="dxa"/>
            <w:tcBorders>
              <w:top w:val="single" w:sz="6" w:space="0" w:color="auto"/>
              <w:left w:val="single" w:sz="6" w:space="0" w:color="auto"/>
              <w:bottom w:val="single" w:sz="6" w:space="0" w:color="auto"/>
              <w:right w:val="single" w:sz="6" w:space="0" w:color="auto"/>
            </w:tcBorders>
          </w:tcPr>
          <w:p w14:paraId="24F6A278" w14:textId="77777777"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logistic regression</w:t>
            </w:r>
          </w:p>
        </w:tc>
        <w:tc>
          <w:tcPr>
            <w:tcW w:w="1339" w:type="dxa"/>
            <w:tcBorders>
              <w:top w:val="single" w:sz="6" w:space="0" w:color="auto"/>
              <w:left w:val="single" w:sz="6" w:space="0" w:color="auto"/>
              <w:bottom w:val="single" w:sz="6" w:space="0" w:color="auto"/>
              <w:right w:val="single" w:sz="6" w:space="0" w:color="auto"/>
            </w:tcBorders>
          </w:tcPr>
          <w:p w14:paraId="24C3A133" w14:textId="47DBB6C9"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000BDF92" w14:textId="693F98F4"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51B78043" w14:textId="77777777" w:rsidR="00A136E2"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07C06575" w14:textId="5300174F"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7B00E82E" w14:textId="458B06D1"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32910ECF" w14:textId="77777777" w:rsidR="00A136E2"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01F1F6EB" w14:textId="5D284B94"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self-rated health</w:t>
            </w:r>
          </w:p>
          <w:p w14:paraId="4C31BBC0" w14:textId="77777777" w:rsidR="00A136E2"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chronic disease</w:t>
            </w:r>
          </w:p>
          <w:p w14:paraId="2AFC9F00" w14:textId="374B927D"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housing type</w:t>
            </w:r>
          </w:p>
          <w:p w14:paraId="1D38129C" w14:textId="386C8C35"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neighborhood-level socioeconomic status</w:t>
            </w:r>
          </w:p>
        </w:tc>
        <w:tc>
          <w:tcPr>
            <w:tcW w:w="1170" w:type="dxa"/>
            <w:tcBorders>
              <w:top w:val="single" w:sz="6" w:space="0" w:color="auto"/>
              <w:left w:val="single" w:sz="6" w:space="0" w:color="auto"/>
              <w:bottom w:val="single" w:sz="6" w:space="0" w:color="auto"/>
              <w:right w:val="single" w:sz="6" w:space="0" w:color="auto"/>
            </w:tcBorders>
          </w:tcPr>
          <w:p w14:paraId="54084A84" w14:textId="3C50740B"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(linear regression)</w:t>
            </w:r>
          </w:p>
        </w:tc>
        <w:tc>
          <w:tcPr>
            <w:tcW w:w="1440" w:type="dxa"/>
            <w:tcBorders>
              <w:top w:val="single" w:sz="6" w:space="0" w:color="auto"/>
              <w:left w:val="single" w:sz="6" w:space="0" w:color="auto"/>
              <w:bottom w:val="single" w:sz="6" w:space="0" w:color="auto"/>
              <w:right w:val="single" w:sz="6" w:space="0" w:color="auto"/>
            </w:tcBorders>
          </w:tcPr>
          <w:p w14:paraId="761AB72C" w14:textId="4EFD9B09"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25.483</w:t>
            </w:r>
          </w:p>
        </w:tc>
        <w:tc>
          <w:tcPr>
            <w:tcW w:w="1350" w:type="dxa"/>
            <w:tcBorders>
              <w:top w:val="single" w:sz="6" w:space="0" w:color="auto"/>
              <w:left w:val="single" w:sz="6" w:space="0" w:color="auto"/>
              <w:bottom w:val="single" w:sz="6" w:space="0" w:color="auto"/>
              <w:right w:val="single" w:sz="6" w:space="0" w:color="auto"/>
            </w:tcBorders>
          </w:tcPr>
          <w:p w14:paraId="3FDCB0F4" w14:textId="7D515D9D"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70" w:type="dxa"/>
            <w:tcBorders>
              <w:top w:val="single" w:sz="6" w:space="0" w:color="auto"/>
              <w:left w:val="single" w:sz="6" w:space="0" w:color="auto"/>
              <w:bottom w:val="single" w:sz="6" w:space="0" w:color="auto"/>
              <w:right w:val="single" w:sz="6" w:space="0" w:color="auto"/>
            </w:tcBorders>
          </w:tcPr>
          <w:p w14:paraId="107D5790" w14:textId="4E70D733" w:rsidR="00A136E2" w:rsidRPr="002D669D" w:rsidRDefault="00A136E2"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 0.05</w:t>
            </w:r>
          </w:p>
        </w:tc>
        <w:tc>
          <w:tcPr>
            <w:tcW w:w="1620" w:type="dxa"/>
            <w:tcBorders>
              <w:top w:val="single" w:sz="6" w:space="0" w:color="auto"/>
              <w:left w:val="single" w:sz="6" w:space="0" w:color="auto"/>
              <w:bottom w:val="single" w:sz="6" w:space="0" w:color="auto"/>
              <w:right w:val="single" w:sz="6" w:space="0" w:color="auto"/>
            </w:tcBorders>
          </w:tcPr>
          <w:p w14:paraId="3394D766" w14:textId="72E41F9B" w:rsidR="00A136E2" w:rsidRPr="002D669D" w:rsidRDefault="00A136E2"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w:t>
            </w:r>
          </w:p>
        </w:tc>
      </w:tr>
      <w:tr w:rsidR="004301B5" w:rsidRPr="002D669D" w14:paraId="1A571426" w14:textId="77777777" w:rsidTr="00A136E2">
        <w:trPr>
          <w:trHeight w:val="2037"/>
        </w:trPr>
        <w:tc>
          <w:tcPr>
            <w:tcW w:w="1174" w:type="dxa"/>
            <w:tcBorders>
              <w:top w:val="single" w:sz="6" w:space="0" w:color="auto"/>
              <w:left w:val="single" w:sz="4" w:space="0" w:color="auto"/>
              <w:bottom w:val="single" w:sz="6" w:space="0" w:color="auto"/>
              <w:right w:val="single" w:sz="6" w:space="0" w:color="auto"/>
            </w:tcBorders>
          </w:tcPr>
          <w:p w14:paraId="1871DA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Duan, et al.</w:t>
            </w:r>
          </w:p>
          <w:p w14:paraId="62E3BB7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559BD1F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55D3F09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3EC1993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13,629 older adults</w:t>
            </w:r>
          </w:p>
        </w:tc>
        <w:tc>
          <w:tcPr>
            <w:tcW w:w="1350" w:type="dxa"/>
            <w:tcBorders>
              <w:top w:val="single" w:sz="6" w:space="0" w:color="auto"/>
              <w:left w:val="single" w:sz="6" w:space="0" w:color="auto"/>
              <w:bottom w:val="single" w:sz="6" w:space="0" w:color="auto"/>
              <w:right w:val="single" w:sz="6" w:space="0" w:color="auto"/>
            </w:tcBorders>
          </w:tcPr>
          <w:p w14:paraId="24207E7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Older Community-dwelling adults</w:t>
            </w:r>
          </w:p>
          <w:p w14:paraId="0DA09C1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60 years</w:t>
            </w:r>
          </w:p>
        </w:tc>
        <w:tc>
          <w:tcPr>
            <w:tcW w:w="1440" w:type="dxa"/>
            <w:tcBorders>
              <w:top w:val="single" w:sz="6" w:space="0" w:color="auto"/>
              <w:left w:val="single" w:sz="6" w:space="0" w:color="auto"/>
              <w:bottom w:val="single" w:sz="6" w:space="0" w:color="auto"/>
              <w:right w:val="single" w:sz="6" w:space="0" w:color="auto"/>
            </w:tcBorders>
          </w:tcPr>
          <w:p w14:paraId="6591A1D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OLI</w:t>
            </w:r>
          </w:p>
        </w:tc>
        <w:tc>
          <w:tcPr>
            <w:tcW w:w="994" w:type="dxa"/>
            <w:tcBorders>
              <w:top w:val="single" w:sz="6" w:space="0" w:color="auto"/>
              <w:left w:val="single" w:sz="6" w:space="0" w:color="auto"/>
              <w:bottom w:val="single" w:sz="6" w:space="0" w:color="auto"/>
              <w:right w:val="single" w:sz="6" w:space="0" w:color="auto"/>
            </w:tcBorders>
          </w:tcPr>
          <w:p w14:paraId="1EFA43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01EACE9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radius around residence</w:t>
            </w:r>
          </w:p>
        </w:tc>
        <w:tc>
          <w:tcPr>
            <w:tcW w:w="1264" w:type="dxa"/>
            <w:tcBorders>
              <w:top w:val="single" w:sz="6" w:space="0" w:color="auto"/>
              <w:left w:val="single" w:sz="6" w:space="0" w:color="auto"/>
              <w:bottom w:val="single" w:sz="6" w:space="0" w:color="auto"/>
              <w:right w:val="single" w:sz="6" w:space="0" w:color="auto"/>
            </w:tcBorders>
          </w:tcPr>
          <w:p w14:paraId="28046F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physical activity (LTPA)</w:t>
            </w:r>
          </w:p>
        </w:tc>
        <w:tc>
          <w:tcPr>
            <w:tcW w:w="1796" w:type="dxa"/>
            <w:tcBorders>
              <w:top w:val="single" w:sz="6" w:space="0" w:color="auto"/>
              <w:left w:val="single" w:sz="6" w:space="0" w:color="auto"/>
              <w:bottom w:val="single" w:sz="6" w:space="0" w:color="auto"/>
              <w:right w:val="single" w:sz="6" w:space="0" w:color="auto"/>
            </w:tcBorders>
          </w:tcPr>
          <w:p w14:paraId="4D3BB8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264" w:type="dxa"/>
            <w:tcBorders>
              <w:top w:val="single" w:sz="6" w:space="0" w:color="auto"/>
              <w:left w:val="single" w:sz="6" w:space="0" w:color="auto"/>
              <w:bottom w:val="single" w:sz="6" w:space="0" w:color="auto"/>
              <w:right w:val="single" w:sz="6" w:space="0" w:color="auto"/>
            </w:tcBorders>
          </w:tcPr>
          <w:p w14:paraId="07323E7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tc>
        <w:tc>
          <w:tcPr>
            <w:tcW w:w="1339" w:type="dxa"/>
            <w:tcBorders>
              <w:top w:val="single" w:sz="6" w:space="0" w:color="auto"/>
              <w:left w:val="single" w:sz="6" w:space="0" w:color="auto"/>
              <w:bottom w:val="single" w:sz="6" w:space="0" w:color="auto"/>
              <w:right w:val="single" w:sz="6" w:space="0" w:color="auto"/>
            </w:tcBorders>
          </w:tcPr>
          <w:p w14:paraId="2D93BB1E" w14:textId="38A9EEFF"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177E3DDA" w14:textId="5212A35B"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61178067" w14:textId="02820BFD"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00100AFC" w14:textId="77777777" w:rsidR="00711AB9"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30870948" w14:textId="5C77EEC6" w:rsidR="00711AB9"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3D1DEF87" w14:textId="0CC30442"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w:t>
            </w:r>
          </w:p>
          <w:p w14:paraId="407ADE4B" w14:textId="6A428C51"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drinking</w:t>
            </w:r>
          </w:p>
          <w:p w14:paraId="44AEAB54" w14:textId="012B1F6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household income </w:t>
            </w:r>
          </w:p>
          <w:p w14:paraId="7BEF85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region,</w:t>
            </w:r>
          </w:p>
          <w:p w14:paraId="2EDA3910" w14:textId="160DFDE8"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PM2.5 </w:t>
            </w:r>
          </w:p>
          <w:p w14:paraId="04CBDCF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season</w:t>
            </w:r>
          </w:p>
        </w:tc>
        <w:tc>
          <w:tcPr>
            <w:tcW w:w="1170" w:type="dxa"/>
            <w:tcBorders>
              <w:top w:val="single" w:sz="6" w:space="0" w:color="auto"/>
              <w:left w:val="single" w:sz="6" w:space="0" w:color="auto"/>
              <w:bottom w:val="single" w:sz="6" w:space="0" w:color="auto"/>
              <w:right w:val="single" w:sz="6" w:space="0" w:color="auto"/>
            </w:tcBorders>
          </w:tcPr>
          <w:p w14:paraId="1BE9253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1440" w:type="dxa"/>
            <w:tcBorders>
              <w:top w:val="single" w:sz="6" w:space="0" w:color="auto"/>
              <w:left w:val="single" w:sz="6" w:space="0" w:color="auto"/>
              <w:bottom w:val="single" w:sz="6" w:space="0" w:color="auto"/>
              <w:right w:val="single" w:sz="6" w:space="0" w:color="auto"/>
            </w:tcBorders>
          </w:tcPr>
          <w:p w14:paraId="5A45398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NDVI → LTPA):</w:t>
            </w:r>
          </w:p>
          <w:p w14:paraId="2CBD7AC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OR = 1.16</w:t>
            </w:r>
          </w:p>
        </w:tc>
        <w:tc>
          <w:tcPr>
            <w:tcW w:w="1350" w:type="dxa"/>
            <w:tcBorders>
              <w:top w:val="single" w:sz="6" w:space="0" w:color="auto"/>
              <w:left w:val="single" w:sz="6" w:space="0" w:color="auto"/>
              <w:bottom w:val="single" w:sz="6" w:space="0" w:color="auto"/>
              <w:right w:val="single" w:sz="6" w:space="0" w:color="auto"/>
            </w:tcBorders>
          </w:tcPr>
          <w:p w14:paraId="7C1C636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1.12–1.20</w:t>
            </w:r>
          </w:p>
        </w:tc>
        <w:tc>
          <w:tcPr>
            <w:tcW w:w="1170" w:type="dxa"/>
            <w:tcBorders>
              <w:top w:val="single" w:sz="6" w:space="0" w:color="auto"/>
              <w:left w:val="single" w:sz="6" w:space="0" w:color="auto"/>
              <w:bottom w:val="single" w:sz="6" w:space="0" w:color="auto"/>
              <w:right w:val="single" w:sz="6" w:space="0" w:color="auto"/>
            </w:tcBorders>
          </w:tcPr>
          <w:p w14:paraId="681F812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&lt;0.001</w:t>
            </w:r>
          </w:p>
        </w:tc>
        <w:tc>
          <w:tcPr>
            <w:tcW w:w="1620" w:type="dxa"/>
            <w:tcBorders>
              <w:top w:val="single" w:sz="6" w:space="0" w:color="auto"/>
              <w:left w:val="single" w:sz="6" w:space="0" w:color="auto"/>
              <w:bottom w:val="single" w:sz="6" w:space="0" w:color="auto"/>
              <w:right w:val="single" w:sz="6" w:space="0" w:color="auto"/>
            </w:tcBorders>
          </w:tcPr>
          <w:p w14:paraId="1BAB6B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4301B5" w:rsidRPr="002D669D" w14:paraId="76AE536E" w14:textId="77777777" w:rsidTr="00A136E2">
        <w:trPr>
          <w:trHeight w:val="2496"/>
        </w:trPr>
        <w:tc>
          <w:tcPr>
            <w:tcW w:w="1174" w:type="dxa"/>
            <w:tcBorders>
              <w:top w:val="single" w:sz="6" w:space="0" w:color="auto"/>
              <w:left w:val="single" w:sz="4" w:space="0" w:color="auto"/>
              <w:bottom w:val="single" w:sz="6" w:space="0" w:color="auto"/>
              <w:right w:val="single" w:sz="6" w:space="0" w:color="auto"/>
            </w:tcBorders>
          </w:tcPr>
          <w:p w14:paraId="11AD2C6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Doan et al.,</w:t>
            </w:r>
          </w:p>
          <w:p w14:paraId="3B8CF92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2A3E4A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1079" w:type="dxa"/>
            <w:tcBorders>
              <w:top w:val="single" w:sz="6" w:space="0" w:color="auto"/>
              <w:left w:val="single" w:sz="6" w:space="0" w:color="auto"/>
              <w:bottom w:val="single" w:sz="6" w:space="0" w:color="auto"/>
              <w:right w:val="single" w:sz="6" w:space="0" w:color="auto"/>
            </w:tcBorders>
          </w:tcPr>
          <w:p w14:paraId="32AB66C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p w14:paraId="7492D7E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(pooled CHMS cycles 2007–2019)</w:t>
            </w:r>
          </w:p>
        </w:tc>
        <w:tc>
          <w:tcPr>
            <w:tcW w:w="990" w:type="dxa"/>
            <w:tcBorders>
              <w:top w:val="single" w:sz="6" w:space="0" w:color="auto"/>
              <w:left w:val="single" w:sz="6" w:space="0" w:color="auto"/>
              <w:bottom w:val="single" w:sz="6" w:space="0" w:color="auto"/>
              <w:right w:val="single" w:sz="6" w:space="0" w:color="auto"/>
            </w:tcBorders>
          </w:tcPr>
          <w:p w14:paraId="4070A8A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2,531 adults </w:t>
            </w:r>
          </w:p>
          <w:p w14:paraId="3D04023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with valid accelerometer data</w:t>
            </w:r>
          </w:p>
        </w:tc>
        <w:tc>
          <w:tcPr>
            <w:tcW w:w="1350" w:type="dxa"/>
            <w:tcBorders>
              <w:top w:val="single" w:sz="6" w:space="0" w:color="auto"/>
              <w:left w:val="single" w:sz="6" w:space="0" w:color="auto"/>
              <w:bottom w:val="single" w:sz="6" w:space="0" w:color="auto"/>
              <w:right w:val="single" w:sz="6" w:space="0" w:color="auto"/>
            </w:tcBorders>
          </w:tcPr>
          <w:p w14:paraId="5DD6AE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0FF659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18–79 years</w:t>
            </w:r>
          </w:p>
        </w:tc>
        <w:tc>
          <w:tcPr>
            <w:tcW w:w="1440" w:type="dxa"/>
            <w:tcBorders>
              <w:top w:val="single" w:sz="6" w:space="0" w:color="auto"/>
              <w:left w:val="single" w:sz="6" w:space="0" w:color="auto"/>
              <w:bottom w:val="single" w:sz="6" w:space="0" w:color="auto"/>
              <w:right w:val="single" w:sz="6" w:space="0" w:color="auto"/>
            </w:tcBorders>
          </w:tcPr>
          <w:p w14:paraId="78E1508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CANUE Landsat NDVI (annual)</w:t>
            </w:r>
          </w:p>
        </w:tc>
        <w:tc>
          <w:tcPr>
            <w:tcW w:w="994" w:type="dxa"/>
            <w:tcBorders>
              <w:top w:val="single" w:sz="6" w:space="0" w:color="auto"/>
              <w:left w:val="single" w:sz="6" w:space="0" w:color="auto"/>
              <w:bottom w:val="single" w:sz="6" w:space="0" w:color="auto"/>
              <w:right w:val="single" w:sz="6" w:space="0" w:color="auto"/>
            </w:tcBorders>
          </w:tcPr>
          <w:p w14:paraId="76DBAA4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641F5D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m radius around postal-code centroid (primary); </w:t>
            </w:r>
          </w:p>
          <w:p w14:paraId="225881A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 and 1,000 m in sensitivity analyses</w:t>
            </w:r>
          </w:p>
        </w:tc>
        <w:tc>
          <w:tcPr>
            <w:tcW w:w="1264" w:type="dxa"/>
            <w:tcBorders>
              <w:top w:val="single" w:sz="6" w:space="0" w:color="auto"/>
              <w:left w:val="single" w:sz="6" w:space="0" w:color="auto"/>
              <w:bottom w:val="single" w:sz="6" w:space="0" w:color="auto"/>
              <w:right w:val="single" w:sz="6" w:space="0" w:color="auto"/>
            </w:tcBorders>
          </w:tcPr>
          <w:p w14:paraId="387276B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physical activity used as effect modifier (MVPA guideline adherence)</w:t>
            </w:r>
          </w:p>
        </w:tc>
        <w:tc>
          <w:tcPr>
            <w:tcW w:w="1796" w:type="dxa"/>
            <w:tcBorders>
              <w:top w:val="single" w:sz="6" w:space="0" w:color="auto"/>
              <w:left w:val="single" w:sz="6" w:space="0" w:color="auto"/>
              <w:bottom w:val="single" w:sz="6" w:space="0" w:color="auto"/>
              <w:right w:val="single" w:sz="6" w:space="0" w:color="auto"/>
            </w:tcBorders>
          </w:tcPr>
          <w:p w14:paraId="1A40901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Actical accelerometer, 7 days;</w:t>
            </w:r>
          </w:p>
          <w:p w14:paraId="39E56F4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MVPA adherence defined as ≥150 min/week (21.48 min/day)</w:t>
            </w:r>
          </w:p>
        </w:tc>
        <w:tc>
          <w:tcPr>
            <w:tcW w:w="1264" w:type="dxa"/>
            <w:tcBorders>
              <w:top w:val="single" w:sz="6" w:space="0" w:color="auto"/>
              <w:left w:val="single" w:sz="6" w:space="0" w:color="auto"/>
              <w:bottom w:val="single" w:sz="6" w:space="0" w:color="auto"/>
              <w:right w:val="single" w:sz="6" w:space="0" w:color="auto"/>
            </w:tcBorders>
          </w:tcPr>
          <w:p w14:paraId="31EA6F8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Weighted logistic regression with bootstrap weights;</w:t>
            </w:r>
          </w:p>
          <w:p w14:paraId="09C5502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interaction tested on additive (RERI, AP, SI) and multiplicative scales</w:t>
            </w:r>
          </w:p>
        </w:tc>
        <w:tc>
          <w:tcPr>
            <w:tcW w:w="1339" w:type="dxa"/>
            <w:tcBorders>
              <w:top w:val="single" w:sz="6" w:space="0" w:color="auto"/>
              <w:left w:val="single" w:sz="6" w:space="0" w:color="auto"/>
              <w:bottom w:val="single" w:sz="6" w:space="0" w:color="auto"/>
              <w:right w:val="single" w:sz="6" w:space="0" w:color="auto"/>
            </w:tcBorders>
          </w:tcPr>
          <w:p w14:paraId="719FE3C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1DF1D7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61F782B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cultural/racial background, </w:t>
            </w:r>
          </w:p>
          <w:p w14:paraId="6F5F5C3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38623FE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household education, </w:t>
            </w:r>
          </w:p>
          <w:p w14:paraId="2C39DC6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season, </w:t>
            </w:r>
          </w:p>
          <w:p w14:paraId="42CA3031" w14:textId="02BF4D91"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Can-ALE walkability </w:t>
            </w:r>
          </w:p>
          <w:p w14:paraId="61A7A589" w14:textId="000F781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77865B8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3960" w:type="dxa"/>
            <w:gridSpan w:val="3"/>
            <w:tcBorders>
              <w:top w:val="single" w:sz="6" w:space="0" w:color="auto"/>
              <w:left w:val="single" w:sz="6" w:space="0" w:color="auto"/>
              <w:bottom w:val="single" w:sz="6" w:space="0" w:color="auto"/>
              <w:right w:val="single" w:sz="6" w:space="0" w:color="auto"/>
            </w:tcBorders>
          </w:tcPr>
          <w:p w14:paraId="78720CF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 500 m (higher vs. lower, median split) → poor/fair self-rated mental health: aOR = 0.89 (95% CI: 0.62–1.29), p &gt; 0.05 </w:t>
            </w:r>
          </w:p>
          <w:p w14:paraId="4A67CE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0B66E0B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 250 m &amp; 1,000 m (sensitivity): results also null; </w:t>
            </w:r>
          </w:p>
          <w:p w14:paraId="04C7EAB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specific ORs not reported in the main text (appendices noted no change in conclusions).</w:t>
            </w:r>
          </w:p>
        </w:tc>
        <w:tc>
          <w:tcPr>
            <w:tcW w:w="1620" w:type="dxa"/>
            <w:tcBorders>
              <w:top w:val="single" w:sz="6" w:space="0" w:color="auto"/>
              <w:left w:val="single" w:sz="6" w:space="0" w:color="auto"/>
              <w:bottom w:val="single" w:sz="6" w:space="0" w:color="auto"/>
              <w:right w:val="single" w:sz="6" w:space="0" w:color="auto"/>
            </w:tcBorders>
          </w:tcPr>
          <w:p w14:paraId="0484D36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w:t>
            </w:r>
          </w:p>
        </w:tc>
      </w:tr>
      <w:tr w:rsidR="004301B5" w:rsidRPr="002D669D" w14:paraId="4526BB84" w14:textId="77777777" w:rsidTr="00A136E2">
        <w:trPr>
          <w:trHeight w:val="3675"/>
        </w:trPr>
        <w:tc>
          <w:tcPr>
            <w:tcW w:w="1174" w:type="dxa"/>
            <w:tcBorders>
              <w:top w:val="single" w:sz="6" w:space="0" w:color="auto"/>
              <w:left w:val="single" w:sz="4" w:space="0" w:color="auto"/>
              <w:bottom w:val="single" w:sz="6" w:space="0" w:color="auto"/>
              <w:right w:val="single" w:sz="6" w:space="0" w:color="auto"/>
            </w:tcBorders>
          </w:tcPr>
          <w:p w14:paraId="221E2D9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Frehlich et al.,</w:t>
            </w:r>
          </w:p>
          <w:p w14:paraId="7AC8A4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7E569D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1079" w:type="dxa"/>
            <w:tcBorders>
              <w:top w:val="single" w:sz="6" w:space="0" w:color="auto"/>
              <w:left w:val="single" w:sz="6" w:space="0" w:color="auto"/>
              <w:bottom w:val="single" w:sz="6" w:space="0" w:color="auto"/>
              <w:right w:val="single" w:sz="6" w:space="0" w:color="auto"/>
            </w:tcBorders>
          </w:tcPr>
          <w:p w14:paraId="5BD827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 secondary analysis with sex-stratified mediation analysis</w:t>
            </w:r>
          </w:p>
        </w:tc>
        <w:tc>
          <w:tcPr>
            <w:tcW w:w="990" w:type="dxa"/>
            <w:tcBorders>
              <w:top w:val="single" w:sz="6" w:space="0" w:color="auto"/>
              <w:left w:val="single" w:sz="6" w:space="0" w:color="auto"/>
              <w:bottom w:val="single" w:sz="6" w:space="0" w:color="auto"/>
              <w:right w:val="single" w:sz="6" w:space="0" w:color="auto"/>
            </w:tcBorders>
          </w:tcPr>
          <w:p w14:paraId="0E64D2B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Males n=2,983; </w:t>
            </w:r>
          </w:p>
          <w:p w14:paraId="4CF5056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females n=3,085 </w:t>
            </w:r>
          </w:p>
          <w:p w14:paraId="6EDE415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(analytical sample varies by model: males 987–2,796; females 989–2,835)</w:t>
            </w:r>
          </w:p>
        </w:tc>
        <w:tc>
          <w:tcPr>
            <w:tcW w:w="1350" w:type="dxa"/>
            <w:tcBorders>
              <w:top w:val="single" w:sz="6" w:space="0" w:color="auto"/>
              <w:left w:val="single" w:sz="6" w:space="0" w:color="auto"/>
              <w:bottom w:val="single" w:sz="6" w:space="0" w:color="auto"/>
              <w:right w:val="single" w:sz="6" w:space="0" w:color="auto"/>
            </w:tcBorders>
          </w:tcPr>
          <w:p w14:paraId="5F7CEA5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Urban-dwelling Canadian adults</w:t>
            </w:r>
          </w:p>
          <w:p w14:paraId="5637CA2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age ≈ 47.6–47.7 years)</w:t>
            </w:r>
          </w:p>
        </w:tc>
        <w:tc>
          <w:tcPr>
            <w:tcW w:w="1440" w:type="dxa"/>
            <w:tcBorders>
              <w:top w:val="single" w:sz="6" w:space="0" w:color="auto"/>
              <w:left w:val="single" w:sz="6" w:space="0" w:color="auto"/>
              <w:bottom w:val="single" w:sz="6" w:space="0" w:color="auto"/>
              <w:right w:val="single" w:sz="6" w:space="0" w:color="auto"/>
            </w:tcBorders>
          </w:tcPr>
          <w:p w14:paraId="35520D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Terra MODIS MOD13Q1 Vegetation Indices</w:t>
            </w:r>
          </w:p>
          <w:p w14:paraId="27D847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(16-day L3 Global)</w:t>
            </w:r>
          </w:p>
        </w:tc>
        <w:tc>
          <w:tcPr>
            <w:tcW w:w="994" w:type="dxa"/>
            <w:tcBorders>
              <w:top w:val="single" w:sz="6" w:space="0" w:color="auto"/>
              <w:left w:val="single" w:sz="6" w:space="0" w:color="auto"/>
              <w:bottom w:val="single" w:sz="6" w:space="0" w:color="auto"/>
              <w:right w:val="single" w:sz="6" w:space="0" w:color="auto"/>
            </w:tcBorders>
          </w:tcPr>
          <w:p w14:paraId="2F42F1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tc>
        <w:tc>
          <w:tcPr>
            <w:tcW w:w="1166" w:type="dxa"/>
            <w:tcBorders>
              <w:top w:val="single" w:sz="6" w:space="0" w:color="auto"/>
              <w:left w:val="single" w:sz="6" w:space="0" w:color="auto"/>
              <w:bottom w:val="single" w:sz="6" w:space="0" w:color="auto"/>
              <w:right w:val="single" w:sz="6" w:space="0" w:color="auto"/>
            </w:tcBorders>
          </w:tcPr>
          <w:p w14:paraId="363E18F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 circular buffer around residential postal codes</w:t>
            </w:r>
          </w:p>
        </w:tc>
        <w:tc>
          <w:tcPr>
            <w:tcW w:w="1264" w:type="dxa"/>
            <w:tcBorders>
              <w:top w:val="single" w:sz="6" w:space="0" w:color="auto"/>
              <w:left w:val="single" w:sz="6" w:space="0" w:color="auto"/>
              <w:bottom w:val="single" w:sz="6" w:space="0" w:color="auto"/>
              <w:right w:val="single" w:sz="6" w:space="0" w:color="auto"/>
            </w:tcBorders>
          </w:tcPr>
          <w:p w14:paraId="074FBE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Daily minutes of light (LPA),</w:t>
            </w:r>
          </w:p>
          <w:p w14:paraId="1938E7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moderate (MPA), </w:t>
            </w:r>
          </w:p>
          <w:p w14:paraId="3720BF1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vigorous (VPA) physical activity</w:t>
            </w:r>
          </w:p>
        </w:tc>
        <w:tc>
          <w:tcPr>
            <w:tcW w:w="1796" w:type="dxa"/>
            <w:tcBorders>
              <w:top w:val="single" w:sz="6" w:space="0" w:color="auto"/>
              <w:left w:val="single" w:sz="6" w:space="0" w:color="auto"/>
              <w:bottom w:val="single" w:sz="6" w:space="0" w:color="auto"/>
              <w:right w:val="single" w:sz="6" w:space="0" w:color="auto"/>
            </w:tcBorders>
          </w:tcPr>
          <w:p w14:paraId="7E4EE01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Hip-worn Actical tri-axial accelerometer; </w:t>
            </w:r>
          </w:p>
          <w:p w14:paraId="32F7C84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 valid days (≥10 hours/day)</w:t>
            </w:r>
          </w:p>
        </w:tc>
        <w:tc>
          <w:tcPr>
            <w:tcW w:w="1264" w:type="dxa"/>
            <w:tcBorders>
              <w:top w:val="single" w:sz="6" w:space="0" w:color="auto"/>
              <w:left w:val="single" w:sz="6" w:space="0" w:color="auto"/>
              <w:bottom w:val="single" w:sz="6" w:space="0" w:color="auto"/>
              <w:right w:val="single" w:sz="6" w:space="0" w:color="auto"/>
            </w:tcBorders>
          </w:tcPr>
          <w:p w14:paraId="66CBBB7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Sex-stratified mediation (PROCESS macro) using unstandardized β coefficients with bootstrapped 95% confidence intervals; </w:t>
            </w:r>
          </w:p>
          <w:p w14:paraId="30E486D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covariate-adjusted</w:t>
            </w:r>
          </w:p>
        </w:tc>
        <w:tc>
          <w:tcPr>
            <w:tcW w:w="1339" w:type="dxa"/>
            <w:tcBorders>
              <w:top w:val="single" w:sz="6" w:space="0" w:color="auto"/>
              <w:left w:val="single" w:sz="6" w:space="0" w:color="auto"/>
              <w:bottom w:val="single" w:sz="6" w:space="0" w:color="auto"/>
              <w:right w:val="single" w:sz="6" w:space="0" w:color="auto"/>
            </w:tcBorders>
          </w:tcPr>
          <w:p w14:paraId="4A16F86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6E441D4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university education, </w:t>
            </w:r>
          </w:p>
          <w:p w14:paraId="4624C7F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self-rated health, </w:t>
            </w:r>
          </w:p>
          <w:p w14:paraId="0C1778F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self-rated mental health, </w:t>
            </w:r>
          </w:p>
          <w:p w14:paraId="7B8769D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status, marital status, ethnicity, </w:t>
            </w:r>
          </w:p>
          <w:p w14:paraId="14F4A1CC" w14:textId="7C35488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&lt;15 years in home</w:t>
            </w:r>
          </w:p>
          <w:p w14:paraId="07EFBB3F" w14:textId="7A07ACB3"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waist circumferenceweight,</w:t>
            </w:r>
          </w:p>
          <w:p w14:paraId="12EF12D7" w14:textId="1379394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PM2.5 </w:t>
            </w:r>
          </w:p>
          <w:p w14:paraId="78B2895C" w14:textId="2547E820"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walkability when modeling greenness, and vice versa</w:t>
            </w:r>
          </w:p>
        </w:tc>
        <w:tc>
          <w:tcPr>
            <w:tcW w:w="1170" w:type="dxa"/>
            <w:tcBorders>
              <w:top w:val="single" w:sz="6" w:space="0" w:color="auto"/>
              <w:left w:val="single" w:sz="6" w:space="0" w:color="auto"/>
              <w:bottom w:val="single" w:sz="6" w:space="0" w:color="auto"/>
              <w:right w:val="single" w:sz="6" w:space="0" w:color="auto"/>
            </w:tcBorders>
          </w:tcPr>
          <w:p w14:paraId="744C84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β coefficients (95% CI)</w:t>
            </w:r>
          </w:p>
        </w:tc>
        <w:tc>
          <w:tcPr>
            <w:tcW w:w="1440" w:type="dxa"/>
            <w:tcBorders>
              <w:top w:val="single" w:sz="6" w:space="0" w:color="auto"/>
              <w:left w:val="single" w:sz="6" w:space="0" w:color="auto"/>
              <w:bottom w:val="single" w:sz="6" w:space="0" w:color="auto"/>
              <w:right w:val="single" w:sz="6" w:space="0" w:color="auto"/>
            </w:tcBorders>
          </w:tcPr>
          <w:p w14:paraId="368A132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0.044</w:t>
            </w:r>
          </w:p>
        </w:tc>
        <w:tc>
          <w:tcPr>
            <w:tcW w:w="1350" w:type="dxa"/>
            <w:tcBorders>
              <w:top w:val="single" w:sz="6" w:space="0" w:color="auto"/>
              <w:left w:val="single" w:sz="6" w:space="0" w:color="auto"/>
              <w:bottom w:val="single" w:sz="6" w:space="0" w:color="auto"/>
              <w:right w:val="single" w:sz="6" w:space="0" w:color="auto"/>
            </w:tcBorders>
          </w:tcPr>
          <w:p w14:paraId="6A0D64D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0.026 - 0.062</w:t>
            </w:r>
          </w:p>
        </w:tc>
        <w:tc>
          <w:tcPr>
            <w:tcW w:w="1170" w:type="dxa"/>
            <w:tcBorders>
              <w:top w:val="single" w:sz="6" w:space="0" w:color="auto"/>
              <w:left w:val="single" w:sz="6" w:space="0" w:color="auto"/>
              <w:bottom w:val="single" w:sz="6" w:space="0" w:color="auto"/>
              <w:right w:val="single" w:sz="6" w:space="0" w:color="auto"/>
            </w:tcBorders>
          </w:tcPr>
          <w:p w14:paraId="1EE30D6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 0.001</w:t>
            </w:r>
          </w:p>
        </w:tc>
        <w:tc>
          <w:tcPr>
            <w:tcW w:w="1620" w:type="dxa"/>
            <w:tcBorders>
              <w:top w:val="single" w:sz="6" w:space="0" w:color="auto"/>
              <w:left w:val="single" w:sz="6" w:space="0" w:color="auto"/>
              <w:bottom w:val="single" w:sz="6" w:space="0" w:color="auto"/>
              <w:right w:val="single" w:sz="6" w:space="0" w:color="auto"/>
            </w:tcBorders>
          </w:tcPr>
          <w:p w14:paraId="078645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w:t>
            </w:r>
          </w:p>
        </w:tc>
      </w:tr>
      <w:tr w:rsidR="004301B5" w:rsidRPr="002D669D" w14:paraId="3106A8F7" w14:textId="77777777" w:rsidTr="00A136E2">
        <w:trPr>
          <w:trHeight w:val="3225"/>
        </w:trPr>
        <w:tc>
          <w:tcPr>
            <w:tcW w:w="1174" w:type="dxa"/>
            <w:tcBorders>
              <w:top w:val="single" w:sz="6" w:space="0" w:color="auto"/>
              <w:left w:val="single" w:sz="4" w:space="0" w:color="auto"/>
              <w:bottom w:val="single" w:sz="6" w:space="0" w:color="auto"/>
              <w:right w:val="single" w:sz="6" w:space="0" w:color="auto"/>
            </w:tcBorders>
          </w:tcPr>
          <w:p w14:paraId="33A62C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Cardinali et al.,</w:t>
            </w:r>
          </w:p>
          <w:p w14:paraId="09182E1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7FACF5D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Portugal</w:t>
            </w:r>
          </w:p>
          <w:p w14:paraId="295FBF2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France</w:t>
            </w:r>
          </w:p>
          <w:p w14:paraId="5935F03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Bulgaria</w:t>
            </w:r>
          </w:p>
          <w:p w14:paraId="054E84F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Denmark</w:t>
            </w:r>
          </w:p>
        </w:tc>
        <w:tc>
          <w:tcPr>
            <w:tcW w:w="1079" w:type="dxa"/>
            <w:tcBorders>
              <w:top w:val="single" w:sz="6" w:space="0" w:color="auto"/>
              <w:left w:val="single" w:sz="6" w:space="0" w:color="auto"/>
              <w:bottom w:val="single" w:sz="6" w:space="0" w:color="auto"/>
              <w:right w:val="single" w:sz="6" w:space="0" w:color="auto"/>
            </w:tcBorders>
          </w:tcPr>
          <w:p w14:paraId="3050D18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Cross-sectional survey with 105 adjusted structural equation models (SEM) sensitivity analysis. </w:t>
            </w:r>
          </w:p>
        </w:tc>
        <w:tc>
          <w:tcPr>
            <w:tcW w:w="990" w:type="dxa"/>
            <w:tcBorders>
              <w:top w:val="single" w:sz="6" w:space="0" w:color="auto"/>
              <w:left w:val="single" w:sz="6" w:space="0" w:color="auto"/>
              <w:bottom w:val="single" w:sz="6" w:space="0" w:color="auto"/>
              <w:right w:val="single" w:sz="6" w:space="0" w:color="auto"/>
            </w:tcBorders>
          </w:tcPr>
          <w:p w14:paraId="2782E5F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1,365 participants.</w:t>
            </w:r>
          </w:p>
        </w:tc>
        <w:tc>
          <w:tcPr>
            <w:tcW w:w="1350" w:type="dxa"/>
            <w:tcBorders>
              <w:top w:val="single" w:sz="6" w:space="0" w:color="auto"/>
              <w:left w:val="single" w:sz="6" w:space="0" w:color="auto"/>
              <w:bottom w:val="single" w:sz="6" w:space="0" w:color="auto"/>
              <w:right w:val="single" w:sz="6" w:space="0" w:color="auto"/>
            </w:tcBorders>
          </w:tcPr>
          <w:p w14:paraId="63BBDD0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 samples from selected neighborhoods in four European cities.</w:t>
            </w:r>
          </w:p>
          <w:p w14:paraId="391A981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 to 99 years</w:t>
            </w:r>
          </w:p>
        </w:tc>
        <w:tc>
          <w:tcPr>
            <w:tcW w:w="1440" w:type="dxa"/>
            <w:tcBorders>
              <w:top w:val="single" w:sz="6" w:space="0" w:color="auto"/>
              <w:left w:val="single" w:sz="6" w:space="0" w:color="auto"/>
              <w:bottom w:val="single" w:sz="6" w:space="0" w:color="auto"/>
              <w:right w:val="single" w:sz="6" w:space="0" w:color="auto"/>
            </w:tcBorders>
          </w:tcPr>
          <w:p w14:paraId="4C49F9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Sentinel-2 imagery, </w:t>
            </w:r>
          </w:p>
          <w:p w14:paraId="4CF0F99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curated via the European Space Agency/EEA. </w:t>
            </w:r>
          </w:p>
        </w:tc>
        <w:tc>
          <w:tcPr>
            <w:tcW w:w="994" w:type="dxa"/>
            <w:tcBorders>
              <w:top w:val="single" w:sz="6" w:space="0" w:color="auto"/>
              <w:left w:val="single" w:sz="6" w:space="0" w:color="auto"/>
              <w:bottom w:val="single" w:sz="6" w:space="0" w:color="auto"/>
              <w:right w:val="single" w:sz="6" w:space="0" w:color="auto"/>
            </w:tcBorders>
          </w:tcPr>
          <w:p w14:paraId="53A32F2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 m</w:t>
            </w:r>
          </w:p>
        </w:tc>
        <w:tc>
          <w:tcPr>
            <w:tcW w:w="1166" w:type="dxa"/>
            <w:tcBorders>
              <w:top w:val="single" w:sz="6" w:space="0" w:color="auto"/>
              <w:left w:val="single" w:sz="6" w:space="0" w:color="auto"/>
              <w:bottom w:val="single" w:sz="6" w:space="0" w:color="auto"/>
              <w:right w:val="single" w:sz="6" w:space="0" w:color="auto"/>
            </w:tcBorders>
          </w:tcPr>
          <w:p w14:paraId="3653DDB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100–1,500 m (every 100 m) around residences; </w:t>
            </w:r>
          </w:p>
          <w:p w14:paraId="4A6D1E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computed for Euclidean buffers and buffered service area (BSA) network distance.</w:t>
            </w:r>
          </w:p>
        </w:tc>
        <w:tc>
          <w:tcPr>
            <w:tcW w:w="1264" w:type="dxa"/>
            <w:tcBorders>
              <w:top w:val="single" w:sz="6" w:space="0" w:color="auto"/>
              <w:left w:val="single" w:sz="6" w:space="0" w:color="auto"/>
              <w:bottom w:val="single" w:sz="6" w:space="0" w:color="auto"/>
              <w:right w:val="single" w:sz="6" w:space="0" w:color="auto"/>
            </w:tcBorders>
          </w:tcPr>
          <w:p w14:paraId="573CD0F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physical activity</w:t>
            </w:r>
          </w:p>
          <w:p w14:paraId="532982B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(self-rated PA).</w:t>
            </w:r>
          </w:p>
        </w:tc>
        <w:tc>
          <w:tcPr>
            <w:tcW w:w="1796" w:type="dxa"/>
            <w:tcBorders>
              <w:top w:val="single" w:sz="6" w:space="0" w:color="auto"/>
              <w:left w:val="single" w:sz="6" w:space="0" w:color="auto"/>
              <w:bottom w:val="single" w:sz="6" w:space="0" w:color="auto"/>
              <w:right w:val="single" w:sz="6" w:space="0" w:color="auto"/>
            </w:tcBorders>
          </w:tcPr>
          <w:p w14:paraId="7A87E73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Standardized questionnaire administered face-to-face (Porto) </w:t>
            </w:r>
          </w:p>
          <w:p w14:paraId="4ABF03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by phone (Nantes, Sofia, Høje-Taastrup).</w:t>
            </w:r>
          </w:p>
        </w:tc>
        <w:tc>
          <w:tcPr>
            <w:tcW w:w="1264" w:type="dxa"/>
            <w:tcBorders>
              <w:top w:val="single" w:sz="6" w:space="0" w:color="auto"/>
              <w:left w:val="single" w:sz="6" w:space="0" w:color="auto"/>
              <w:bottom w:val="single" w:sz="6" w:space="0" w:color="auto"/>
              <w:right w:val="single" w:sz="6" w:space="0" w:color="auto"/>
            </w:tcBorders>
          </w:tcPr>
          <w:p w14:paraId="1CFCC8B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SEM reporting standardized β (95% CI); </w:t>
            </w:r>
          </w:p>
          <w:p w14:paraId="28AC9ED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5,000 bootstrap samples; models adjusted for individual and area covariates. </w:t>
            </w:r>
          </w:p>
        </w:tc>
        <w:tc>
          <w:tcPr>
            <w:tcW w:w="1339" w:type="dxa"/>
            <w:tcBorders>
              <w:top w:val="single" w:sz="6" w:space="0" w:color="auto"/>
              <w:left w:val="single" w:sz="6" w:space="0" w:color="auto"/>
              <w:bottom w:val="single" w:sz="6" w:space="0" w:color="auto"/>
              <w:right w:val="single" w:sz="6" w:space="0" w:color="auto"/>
            </w:tcBorders>
          </w:tcPr>
          <w:p w14:paraId="0155BAA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50E757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74D29FF1" w14:textId="77777777" w:rsidR="00711AB9"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disabilities</w:t>
            </w:r>
          </w:p>
          <w:p w14:paraId="14094E9B" w14:textId="103C4FEB"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44194F66" w14:textId="4F4EDBE2"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income </w:t>
            </w:r>
          </w:p>
          <w:p w14:paraId="25E87580" w14:textId="77777777" w:rsidR="00711AB9"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occupation,</w:t>
            </w:r>
          </w:p>
          <w:p w14:paraId="394F47BE" w14:textId="048964B0"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years lived in neighbourhood</w:t>
            </w:r>
          </w:p>
          <w:p w14:paraId="318025F5" w14:textId="6372C48B"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neighbourhood safety</w:t>
            </w:r>
          </w:p>
          <w:p w14:paraId="1EE9ADEA" w14:textId="7EBB8DA1" w:rsidR="00711AB9"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satisfaction with shops</w:t>
            </w:r>
          </w:p>
          <w:p w14:paraId="1C3CEAFE" w14:textId="1A55E81E"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public transportaion</w:t>
            </w:r>
          </w:p>
          <w:p w14:paraId="680FD495" w14:textId="0A880B8C" w:rsidR="00711AB9"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population </w:t>
            </w:r>
          </w:p>
          <w:p w14:paraId="425B4ED1" w14:textId="48DA5EA3"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43EB76F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β coefficient (95% CI).</w:t>
            </w:r>
          </w:p>
        </w:tc>
        <w:tc>
          <w:tcPr>
            <w:tcW w:w="3960" w:type="dxa"/>
            <w:gridSpan w:val="3"/>
            <w:tcBorders>
              <w:top w:val="single" w:sz="6" w:space="0" w:color="auto"/>
              <w:left w:val="single" w:sz="6" w:space="0" w:color="auto"/>
              <w:bottom w:val="single" w:sz="6" w:space="0" w:color="auto"/>
              <w:right w:val="single" w:sz="6" w:space="0" w:color="auto"/>
            </w:tcBorders>
          </w:tcPr>
          <w:p w14:paraId="3B40208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Surrounding greenness (NDVI, Euclidean) 100 m:</w:t>
            </w:r>
          </w:p>
          <w:p w14:paraId="262B938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β = 0.542 (95% CI: 0.048, 1.023) — significant. </w:t>
            </w:r>
          </w:p>
          <w:p w14:paraId="70C6C73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4D5F69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Accessible greenness (NDVI, BSA) 100 m:</w:t>
            </w:r>
          </w:p>
          <w:p w14:paraId="6F6165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β = 0.753 (95% CI: 0.221, 1.283) — significant. </w:t>
            </w:r>
          </w:p>
          <w:p w14:paraId="066CBE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4C2739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Surrounding greenness 900–1,500 m:</w:t>
            </w:r>
          </w:p>
          <w:p w14:paraId="02D98DC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pattern turns negative (peak at 1,300 m), not significant.</w:t>
            </w:r>
          </w:p>
        </w:tc>
        <w:tc>
          <w:tcPr>
            <w:tcW w:w="1620" w:type="dxa"/>
            <w:tcBorders>
              <w:top w:val="single" w:sz="6" w:space="0" w:color="auto"/>
              <w:left w:val="single" w:sz="6" w:space="0" w:color="auto"/>
              <w:bottom w:val="single" w:sz="6" w:space="0" w:color="auto"/>
              <w:right w:val="single" w:sz="6" w:space="0" w:color="auto"/>
            </w:tcBorders>
          </w:tcPr>
          <w:p w14:paraId="6F1FB81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at close proximity (100 m) for NDVI-based greenness; </w:t>
            </w:r>
          </w:p>
          <w:p w14:paraId="2EE562A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attenuates/turns negative at larger distances (≥900 m) and is not significant there. </w:t>
            </w:r>
          </w:p>
        </w:tc>
      </w:tr>
      <w:tr w:rsidR="004301B5" w:rsidRPr="002D669D" w14:paraId="0EC2FFCE" w14:textId="77777777" w:rsidTr="00A136E2">
        <w:trPr>
          <w:trHeight w:val="3405"/>
        </w:trPr>
        <w:tc>
          <w:tcPr>
            <w:tcW w:w="1174" w:type="dxa"/>
            <w:tcBorders>
              <w:top w:val="single" w:sz="6" w:space="0" w:color="auto"/>
              <w:left w:val="single" w:sz="4" w:space="0" w:color="auto"/>
              <w:bottom w:val="single" w:sz="6" w:space="0" w:color="auto"/>
              <w:right w:val="single" w:sz="6" w:space="0" w:color="auto"/>
            </w:tcBorders>
          </w:tcPr>
          <w:p w14:paraId="1FE32B2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 xml:space="preserve">Korpisaari et al.,</w:t>
            </w:r>
          </w:p>
          <w:p w14:paraId="68FB6DD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10B2399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Finland</w:t>
            </w:r>
          </w:p>
        </w:tc>
        <w:tc>
          <w:tcPr>
            <w:tcW w:w="1079" w:type="dxa"/>
            <w:tcBorders>
              <w:top w:val="single" w:sz="6" w:space="0" w:color="auto"/>
              <w:left w:val="single" w:sz="6" w:space="0" w:color="auto"/>
              <w:bottom w:val="single" w:sz="6" w:space="0" w:color="auto"/>
              <w:right w:val="single" w:sz="6" w:space="0" w:color="auto"/>
            </w:tcBorders>
          </w:tcPr>
          <w:p w14:paraId="2058E15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 analysis at the 46-year NFBC1966 follow-up.</w:t>
            </w:r>
          </w:p>
        </w:tc>
        <w:tc>
          <w:tcPr>
            <w:tcW w:w="990" w:type="dxa"/>
            <w:tcBorders>
              <w:top w:val="single" w:sz="6" w:space="0" w:color="auto"/>
              <w:left w:val="single" w:sz="6" w:space="0" w:color="auto"/>
              <w:bottom w:val="single" w:sz="6" w:space="0" w:color="auto"/>
              <w:right w:val="single" w:sz="6" w:space="0" w:color="auto"/>
            </w:tcBorders>
          </w:tcPr>
          <w:p w14:paraId="0CC9FEB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5,433</w:t>
            </w:r>
          </w:p>
        </w:tc>
        <w:tc>
          <w:tcPr>
            <w:tcW w:w="1350" w:type="dxa"/>
            <w:tcBorders>
              <w:top w:val="single" w:sz="6" w:space="0" w:color="auto"/>
              <w:left w:val="single" w:sz="6" w:space="0" w:color="auto"/>
              <w:bottom w:val="single" w:sz="6" w:space="0" w:color="auto"/>
              <w:right w:val="single" w:sz="6" w:space="0" w:color="auto"/>
            </w:tcBorders>
          </w:tcPr>
          <w:p w14:paraId="3C3D246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Community-based, middle-aged adults</w:t>
            </w:r>
          </w:p>
          <w:p w14:paraId="10AA0A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(birth cohort participants).</w:t>
            </w:r>
          </w:p>
          <w:p w14:paraId="666E8CE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46-year cohort; </w:t>
            </w:r>
          </w:p>
          <w:p w14:paraId="3A207FF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mean ≈ 46.6 years.</w:t>
            </w:r>
          </w:p>
        </w:tc>
        <w:tc>
          <w:tcPr>
            <w:tcW w:w="1440" w:type="dxa"/>
            <w:tcBorders>
              <w:top w:val="single" w:sz="6" w:space="0" w:color="auto"/>
              <w:left w:val="single" w:sz="6" w:space="0" w:color="auto"/>
              <w:bottom w:val="single" w:sz="6" w:space="0" w:color="auto"/>
              <w:right w:val="single" w:sz="6" w:space="0" w:color="auto"/>
            </w:tcBorders>
          </w:tcPr>
          <w:p w14:paraId="0BD9FED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(USGS) satellite imagery.</w:t>
            </w:r>
          </w:p>
        </w:tc>
        <w:tc>
          <w:tcPr>
            <w:tcW w:w="994" w:type="dxa"/>
            <w:tcBorders>
              <w:top w:val="single" w:sz="6" w:space="0" w:color="auto"/>
              <w:left w:val="single" w:sz="6" w:space="0" w:color="auto"/>
              <w:bottom w:val="single" w:sz="6" w:space="0" w:color="auto"/>
              <w:right w:val="single" w:sz="6" w:space="0" w:color="auto"/>
            </w:tcBorders>
          </w:tcPr>
          <w:p w14:paraId="451295A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30 m </w:t>
            </w:r>
          </w:p>
        </w:tc>
        <w:tc>
          <w:tcPr>
            <w:tcW w:w="1166" w:type="dxa"/>
            <w:tcBorders>
              <w:top w:val="single" w:sz="6" w:space="0" w:color="auto"/>
              <w:left w:val="single" w:sz="6" w:space="0" w:color="auto"/>
              <w:bottom w:val="single" w:sz="6" w:space="0" w:color="auto"/>
              <w:right w:val="single" w:sz="6" w:space="0" w:color="auto"/>
            </w:tcBorders>
          </w:tcPr>
          <w:p w14:paraId="750546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 radius around each home address.</w:t>
            </w:r>
          </w:p>
        </w:tc>
        <w:tc>
          <w:tcPr>
            <w:tcW w:w="1264" w:type="dxa"/>
            <w:tcBorders>
              <w:top w:val="single" w:sz="6" w:space="0" w:color="auto"/>
              <w:left w:val="single" w:sz="6" w:space="0" w:color="auto"/>
              <w:bottom w:val="single" w:sz="6" w:space="0" w:color="auto"/>
              <w:right w:val="single" w:sz="6" w:space="0" w:color="auto"/>
            </w:tcBorders>
          </w:tcPr>
          <w:p w14:paraId="665C19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Daily minutes of LPA, MPA, VPA, MVPA, and total PA.</w:t>
            </w:r>
          </w:p>
        </w:tc>
        <w:tc>
          <w:tcPr>
            <w:tcW w:w="1796" w:type="dxa"/>
            <w:tcBorders>
              <w:top w:val="single" w:sz="6" w:space="0" w:color="auto"/>
              <w:left w:val="single" w:sz="6" w:space="0" w:color="auto"/>
              <w:bottom w:val="single" w:sz="6" w:space="0" w:color="auto"/>
              <w:right w:val="single" w:sz="6" w:space="0" w:color="auto"/>
            </w:tcBorders>
          </w:tcPr>
          <w:p w14:paraId="76562A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Wrist-worn accelerometer for 14 days (Polar Active); </w:t>
            </w:r>
          </w:p>
          <w:p w14:paraId="62A8913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inclusion required ≥4 valid days (≥600 min/day).</w:t>
            </w:r>
          </w:p>
        </w:tc>
        <w:tc>
          <w:tcPr>
            <w:tcW w:w="1264" w:type="dxa"/>
            <w:tcBorders>
              <w:top w:val="single" w:sz="6" w:space="0" w:color="auto"/>
              <w:left w:val="single" w:sz="6" w:space="0" w:color="auto"/>
              <w:bottom w:val="single" w:sz="6" w:space="0" w:color="auto"/>
              <w:right w:val="single" w:sz="6" w:space="0" w:color="auto"/>
            </w:tcBorders>
          </w:tcPr>
          <w:p w14:paraId="77D6DC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additive models (GAM) for PA–HRV relationships;</w:t>
            </w:r>
          </w:p>
          <w:p w14:paraId="08E30E5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NDVI–PA contrasts presented as adjusted mean differences.</w:t>
            </w:r>
          </w:p>
        </w:tc>
        <w:tc>
          <w:tcPr>
            <w:tcW w:w="1339" w:type="dxa"/>
            <w:tcBorders>
              <w:top w:val="single" w:sz="6" w:space="0" w:color="auto"/>
              <w:left w:val="single" w:sz="6" w:space="0" w:color="auto"/>
              <w:bottom w:val="single" w:sz="6" w:space="0" w:color="auto"/>
              <w:right w:val="single" w:sz="6" w:space="0" w:color="auto"/>
            </w:tcBorders>
          </w:tcPr>
          <w:p w14:paraId="09AA826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6D59EF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alcohol intake, </w:t>
            </w:r>
          </w:p>
          <w:p w14:paraId="2E4CB1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sleep duration, </w:t>
            </w:r>
          </w:p>
          <w:p w14:paraId="4F42DD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(from measured weight/height), </w:t>
            </w:r>
          </w:p>
          <w:p w14:paraId="533A91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cardiorespiratory fitness (peak HR from step test),</w:t>
            </w:r>
          </w:p>
          <w:p w14:paraId="08DFC66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and sedentary time (from accelerometer); </w:t>
            </w:r>
          </w:p>
          <w:p w14:paraId="0BCB6EE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variables categorized to reduce multicollinearity.</w:t>
            </w:r>
          </w:p>
        </w:tc>
        <w:tc>
          <w:tcPr>
            <w:tcW w:w="1170" w:type="dxa"/>
            <w:tcBorders>
              <w:top w:val="single" w:sz="6" w:space="0" w:color="auto"/>
              <w:left w:val="single" w:sz="6" w:space="0" w:color="auto"/>
              <w:bottom w:val="single" w:sz="6" w:space="0" w:color="auto"/>
              <w:right w:val="single" w:sz="6" w:space="0" w:color="auto"/>
            </w:tcBorders>
          </w:tcPr>
          <w:p w14:paraId="166B70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difference (MET-min/day) between residents in green (NDVI &gt; 0.5) vs nongreen (NDVI &lt; 0.5) areas, stratified by sex</w:t>
            </w:r>
          </w:p>
        </w:tc>
        <w:tc>
          <w:tcPr>
            <w:tcW w:w="2790" w:type="dxa"/>
            <w:gridSpan w:val="2"/>
            <w:tcBorders>
              <w:top w:val="single" w:sz="6" w:space="0" w:color="auto"/>
              <w:left w:val="single" w:sz="6" w:space="0" w:color="auto"/>
              <w:bottom w:val="single" w:sz="6" w:space="0" w:color="auto"/>
              <w:right w:val="single" w:sz="6" w:space="0" w:color="auto"/>
            </w:tcBorders>
          </w:tcPr>
          <w:p w14:paraId="32C9FE7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Men (green – nongreen):</w:t>
            </w:r>
          </w:p>
          <w:p w14:paraId="0A33A6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LPA: +56.0 (95% CI 39.6, 72.4)</w:t>
            </w:r>
          </w:p>
          <w:p w14:paraId="7A890C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MPA: +18.8 (95% CI 10.4, 27.3)</w:t>
            </w:r>
          </w:p>
          <w:p w14:paraId="76BAC4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MVPA: +27.1 (95% CI 5.2, 49.0)</w:t>
            </w:r>
          </w:p>
          <w:p w14:paraId="7614C08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VPA: +8.2 (95% CI −6.7, 23.3)</w:t>
            </w:r>
          </w:p>
          <w:p w14:paraId="152AD5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Total PA: +83.2 (95% CI 50.7, 115.6) </w:t>
            </w:r>
          </w:p>
          <w:p w14:paraId="275272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1018F1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Women (green – nongreen):</w:t>
            </w:r>
          </w:p>
          <w:p w14:paraId="53DB7FE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LPA: +38.7 (95% CI 23.8, 53.6)</w:t>
            </w:r>
          </w:p>
          <w:p w14:paraId="26C7C31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Total PA: +26.6 (95% CI 3.3, 49.8)</w:t>
            </w:r>
          </w:p>
          <w:p w14:paraId="589476A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MPA: −6.9 (95% CI −11.4, −2.4)</w:t>
            </w:r>
          </w:p>
          <w:p w14:paraId="529936C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MVPA: −12.1 (95% CI −25.8, 1.4)</w:t>
            </w:r>
          </w:p>
          <w:p w14:paraId="5AD6E35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VPA: +5.1 (95% CI −16.5, 6.1)</w:t>
            </w:r>
          </w:p>
        </w:tc>
        <w:tc>
          <w:tcPr>
            <w:tcW w:w="1170" w:type="dxa"/>
            <w:tcBorders>
              <w:top w:val="single" w:sz="6" w:space="0" w:color="auto"/>
              <w:left w:val="single" w:sz="6" w:space="0" w:color="auto"/>
              <w:bottom w:val="single" w:sz="6" w:space="0" w:color="auto"/>
              <w:right w:val="single" w:sz="6" w:space="0" w:color="auto"/>
            </w:tcBorders>
          </w:tcPr>
          <w:p w14:paraId="00DBFD7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Not given explicitly for each contrast; </w:t>
            </w:r>
          </w:p>
          <w:p w14:paraId="1297599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statistical significance inferred when 95% CI excludes 0 </w:t>
            </w:r>
          </w:p>
        </w:tc>
        <w:tc>
          <w:tcPr>
            <w:tcW w:w="1620" w:type="dxa"/>
            <w:tcBorders>
              <w:top w:val="single" w:sz="6" w:space="0" w:color="auto"/>
              <w:left w:val="single" w:sz="6" w:space="0" w:color="auto"/>
              <w:bottom w:val="single" w:sz="6" w:space="0" w:color="auto"/>
              <w:right w:val="single" w:sz="6" w:space="0" w:color="auto"/>
            </w:tcBorders>
          </w:tcPr>
          <w:p w14:paraId="5354681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Overall positive association of residential greenness with PA (particularly LPA and total PA); </w:t>
            </w:r>
          </w:p>
          <w:p w14:paraId="68294FB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patterns differed by sex (men: higher PA across intensities; </w:t>
            </w:r>
          </w:p>
          <w:p w14:paraId="13E3370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women: higher LPA/total PA but lower MPA/MVPA in green areas).</w:t>
            </w:r>
          </w:p>
        </w:tc>
      </w:tr>
      <w:tr w:rsidR="004301B5" w:rsidRPr="002D669D" w14:paraId="61FDD15C" w14:textId="77777777" w:rsidTr="00A136E2">
        <w:trPr>
          <w:trHeight w:val="705"/>
        </w:trPr>
        <w:tc>
          <w:tcPr>
            <w:tcW w:w="1174" w:type="dxa"/>
            <w:tcBorders>
              <w:top w:val="single" w:sz="6" w:space="0" w:color="auto"/>
              <w:left w:val="single" w:sz="4" w:space="0" w:color="auto"/>
              <w:bottom w:val="single" w:sz="6" w:space="0" w:color="auto"/>
              <w:right w:val="single" w:sz="6" w:space="0" w:color="auto"/>
            </w:tcBorders>
          </w:tcPr>
          <w:p w14:paraId="4306CC6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 et al.,</w:t>
            </w:r>
          </w:p>
          <w:p w14:paraId="76DD64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2025</w:t>
            </w:r>
          </w:p>
        </w:tc>
        <w:tc>
          <w:tcPr>
            <w:tcW w:w="899" w:type="dxa"/>
            <w:tcBorders>
              <w:top w:val="single" w:sz="6" w:space="0" w:color="auto"/>
              <w:left w:val="single" w:sz="6" w:space="0" w:color="auto"/>
              <w:bottom w:val="single" w:sz="6" w:space="0" w:color="auto"/>
              <w:right w:val="single" w:sz="6" w:space="0" w:color="auto"/>
            </w:tcBorders>
          </w:tcPr>
          <w:p w14:paraId="26724D8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0A14B0D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 online survey with mediation analysis.</w:t>
            </w:r>
          </w:p>
        </w:tc>
        <w:tc>
          <w:tcPr>
            <w:tcW w:w="990" w:type="dxa"/>
            <w:tcBorders>
              <w:top w:val="single" w:sz="6" w:space="0" w:color="auto"/>
              <w:left w:val="single" w:sz="6" w:space="0" w:color="auto"/>
              <w:bottom w:val="single" w:sz="6" w:space="0" w:color="auto"/>
              <w:right w:val="single" w:sz="6" w:space="0" w:color="auto"/>
            </w:tcBorders>
          </w:tcPr>
          <w:p w14:paraId="56D0496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801</w:t>
            </w:r>
          </w:p>
        </w:tc>
        <w:tc>
          <w:tcPr>
            <w:tcW w:w="1350" w:type="dxa"/>
            <w:tcBorders>
              <w:top w:val="single" w:sz="6" w:space="0" w:color="auto"/>
              <w:left w:val="single" w:sz="6" w:space="0" w:color="auto"/>
              <w:bottom w:val="single" w:sz="6" w:space="0" w:color="auto"/>
              <w:right w:val="single" w:sz="6" w:space="0" w:color="auto"/>
            </w:tcBorders>
          </w:tcPr>
          <w:p w14:paraId="0F9C91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w:t>
            </w:r>
          </w:p>
          <w:p w14:paraId="0477F52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Captured in 7 categories</w:t>
            </w:r>
          </w:p>
          <w:p w14:paraId="0905B1EB" w14:textId="7E290BB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&lt;18</w:t>
            </w:r>
          </w:p>
          <w:p w14:paraId="3A872D6F" w14:textId="49F95B1C"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18–25</w:t>
            </w:r>
          </w:p>
          <w:p w14:paraId="6EE6C37A" w14:textId="0404DF5B"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26–30</w:t>
            </w:r>
          </w:p>
          <w:p w14:paraId="25E61C74" w14:textId="3E8EB6BA"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31–40</w:t>
            </w:r>
          </w:p>
          <w:p w14:paraId="07DE4ECF" w14:textId="5BB4B4F3"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41–50</w:t>
            </w:r>
          </w:p>
          <w:p w14:paraId="7682054E" w14:textId="3235F99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51–60</w:t>
            </w:r>
          </w:p>
          <w:p w14:paraId="751284A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&gt;60</w:t>
            </w:r>
          </w:p>
        </w:tc>
        <w:tc>
          <w:tcPr>
            <w:tcW w:w="1440" w:type="dxa"/>
            <w:tcBorders>
              <w:top w:val="single" w:sz="6" w:space="0" w:color="auto"/>
              <w:left w:val="single" w:sz="6" w:space="0" w:color="auto"/>
              <w:bottom w:val="single" w:sz="6" w:space="0" w:color="auto"/>
              <w:right w:val="single" w:sz="6" w:space="0" w:color="auto"/>
            </w:tcBorders>
          </w:tcPr>
          <w:p w14:paraId="6279177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MODIS (NASA) MOD13Q1 product; </w:t>
            </w:r>
          </w:p>
          <w:p w14:paraId="5A85639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maximum annual NDVI (2022) obtained via Google Earth Engine.</w:t>
            </w:r>
          </w:p>
        </w:tc>
        <w:tc>
          <w:tcPr>
            <w:tcW w:w="994" w:type="dxa"/>
            <w:tcBorders>
              <w:top w:val="single" w:sz="6" w:space="0" w:color="auto"/>
              <w:left w:val="single" w:sz="6" w:space="0" w:color="auto"/>
              <w:bottom w:val="single" w:sz="6" w:space="0" w:color="auto"/>
              <w:right w:val="single" w:sz="6" w:space="0" w:color="auto"/>
            </w:tcBorders>
          </w:tcPr>
          <w:p w14:paraId="4A4A059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p w14:paraId="14C4A5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(MOD13Q1).</w:t>
            </w:r>
          </w:p>
        </w:tc>
        <w:tc>
          <w:tcPr>
            <w:tcW w:w="1166" w:type="dxa"/>
            <w:tcBorders>
              <w:top w:val="single" w:sz="6" w:space="0" w:color="auto"/>
              <w:left w:val="single" w:sz="6" w:space="0" w:color="auto"/>
              <w:bottom w:val="single" w:sz="6" w:space="0" w:color="auto"/>
              <w:right w:val="single" w:sz="6" w:space="0" w:color="auto"/>
            </w:tcBorders>
          </w:tcPr>
          <w:p w14:paraId="571F5B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1,000 m radius around participant location; </w:t>
            </w:r>
          </w:p>
          <w:p w14:paraId="69026F7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mean NDVI within buffer.</w:t>
            </w:r>
          </w:p>
        </w:tc>
        <w:tc>
          <w:tcPr>
            <w:tcW w:w="1264" w:type="dxa"/>
            <w:tcBorders>
              <w:top w:val="single" w:sz="6" w:space="0" w:color="auto"/>
              <w:left w:val="single" w:sz="6" w:space="0" w:color="auto"/>
              <w:bottom w:val="single" w:sz="6" w:space="0" w:color="auto"/>
              <w:right w:val="single" w:sz="6" w:space="0" w:color="auto"/>
            </w:tcBorders>
          </w:tcPr>
          <w:p w14:paraId="1D7BC5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Frequency of walking,</w:t>
            </w:r>
          </w:p>
          <w:p w14:paraId="3056CC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moderate PA, </w:t>
            </w:r>
          </w:p>
          <w:p w14:paraId="0CFBA3C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vigorous PA (last month).</w:t>
            </w:r>
          </w:p>
        </w:tc>
        <w:tc>
          <w:tcPr>
            <w:tcW w:w="1796" w:type="dxa"/>
            <w:tcBorders>
              <w:top w:val="single" w:sz="6" w:space="0" w:color="auto"/>
              <w:left w:val="single" w:sz="6" w:space="0" w:color="auto"/>
              <w:bottom w:val="single" w:sz="6" w:space="0" w:color="auto"/>
              <w:right w:val="single" w:sz="6" w:space="0" w:color="auto"/>
            </w:tcBorders>
          </w:tcPr>
          <w:p w14:paraId="2CC5B6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3-item brief PA assessment (Smith et al., 2005), </w:t>
            </w:r>
          </w:p>
          <w:p w14:paraId="380927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7-point Likert scale (“once a week or less” to “almost every day”),</w:t>
            </w:r>
          </w:p>
          <w:p w14:paraId="522DF69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≥10-minute bouts; </w:t>
            </w:r>
          </w:p>
          <w:p w14:paraId="48592E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w:t>
            </w:r>
          </w:p>
        </w:tc>
        <w:tc>
          <w:tcPr>
            <w:tcW w:w="1264" w:type="dxa"/>
            <w:tcBorders>
              <w:top w:val="single" w:sz="6" w:space="0" w:color="auto"/>
              <w:left w:val="single" w:sz="6" w:space="0" w:color="auto"/>
              <w:bottom w:val="single" w:sz="6" w:space="0" w:color="auto"/>
              <w:right w:val="single" w:sz="6" w:space="0" w:color="auto"/>
            </w:tcBorders>
          </w:tcPr>
          <w:p w14:paraId="206C3B43" w14:textId="30C3F10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 with robust SEs (HC3), unadjusted and adjusted models</w:t>
            </w:r>
          </w:p>
          <w:p w14:paraId="732A3847" w14:textId="07B3AE2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39" w:type="dxa"/>
            <w:tcBorders>
              <w:top w:val="single" w:sz="6" w:space="0" w:color="auto"/>
              <w:left w:val="single" w:sz="6" w:space="0" w:color="auto"/>
              <w:bottom w:val="single" w:sz="6" w:space="0" w:color="auto"/>
              <w:right w:val="single" w:sz="6" w:space="0" w:color="auto"/>
            </w:tcBorders>
          </w:tcPr>
          <w:p w14:paraId="35BDEBD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20C535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3DE5329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education,</w:t>
            </w:r>
          </w:p>
          <w:p w14:paraId="1CD21D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income</w:t>
            </w:r>
          </w:p>
        </w:tc>
        <w:tc>
          <w:tcPr>
            <w:tcW w:w="1170" w:type="dxa"/>
            <w:tcBorders>
              <w:top w:val="single" w:sz="6" w:space="0" w:color="auto"/>
              <w:left w:val="single" w:sz="6" w:space="0" w:color="auto"/>
              <w:bottom w:val="single" w:sz="6" w:space="0" w:color="auto"/>
              <w:right w:val="single" w:sz="6" w:space="0" w:color="auto"/>
            </w:tcBorders>
          </w:tcPr>
          <w:p w14:paraId="43C93B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 (β)</w:t>
            </w:r>
          </w:p>
        </w:tc>
        <w:tc>
          <w:tcPr>
            <w:tcW w:w="3960" w:type="dxa"/>
            <w:gridSpan w:val="3"/>
            <w:tcBorders>
              <w:top w:val="single" w:sz="6" w:space="0" w:color="auto"/>
              <w:left w:val="single" w:sz="6" w:space="0" w:color="auto"/>
              <w:bottom w:val="single" w:sz="6" w:space="0" w:color="auto"/>
              <w:right w:val="single" w:sz="6" w:space="0" w:color="auto"/>
            </w:tcBorders>
          </w:tcPr>
          <w:p w14:paraId="19F7E7A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1,000 m → PA; adjusted models)</w:t>
            </w:r>
          </w:p>
          <w:p w14:paraId="567EF5B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5FA463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Walking:</w:t>
            </w:r>
            <w:r>
              <w:rPr>
                <w:rFonts w:asciiTheme="majorBidi" w:hAnsiTheme="majorBidi" w:cstheme="majorBidi"/>
                <w:color w:val="000000"/>
                <w:kern w:val="0"/>
                <w:sz w:val="18"/>
                <w:szCs w:val="18"/>
              </w:rPr>
              <w:t xml:space="preserve"> β = 0.368; 95% CI = −0.490 to 1.766; p = 0.267. </w:t>
            </w:r>
          </w:p>
          <w:p w14:paraId="407A306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A9F274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Moderate PA</w:t>
            </w:r>
            <w:r>
              <w:rPr>
                <w:rFonts w:asciiTheme="majorBidi" w:hAnsiTheme="majorBidi" w:cstheme="majorBidi"/>
                <w:color w:val="000000"/>
                <w:kern w:val="0"/>
                <w:sz w:val="18"/>
                <w:szCs w:val="18"/>
              </w:rPr>
              <w:t xml:space="preserve">: β = 1.325; 95% CI = 0.432 to 2.218; p = 0.004. </w:t>
            </w:r>
          </w:p>
          <w:p w14:paraId="36B3669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B72F8AF" w14:textId="77777777" w:rsidR="004301B5" w:rsidRPr="000F3EB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Vigorous PA</w:t>
            </w:r>
            <w:r>
              <w:rPr>
                <w:rFonts w:asciiTheme="majorBidi" w:hAnsiTheme="majorBidi" w:cstheme="majorBidi"/>
                <w:color w:val="000000"/>
                <w:kern w:val="0"/>
                <w:sz w:val="18"/>
                <w:szCs w:val="18"/>
              </w:rPr>
              <w:t>: β = 1.201; 95% CI = 0.341 to 2.060; p = 0.006.</w:t>
            </w:r>
          </w:p>
        </w:tc>
        <w:tc>
          <w:tcPr>
            <w:tcW w:w="1620" w:type="dxa"/>
            <w:tcBorders>
              <w:top w:val="single" w:sz="6" w:space="0" w:color="auto"/>
              <w:left w:val="single" w:sz="6" w:space="0" w:color="auto"/>
              <w:bottom w:val="single" w:sz="6" w:space="0" w:color="auto"/>
              <w:right w:val="single" w:sz="6" w:space="0" w:color="auto"/>
            </w:tcBorders>
          </w:tcPr>
          <w:p w14:paraId="24BB1EE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for moderate and vigorous PA (significant); </w:t>
            </w:r>
          </w:p>
          <w:p w14:paraId="399D48C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for walking.</w:t>
            </w:r>
          </w:p>
        </w:tc>
      </w:tr>
      <w:tr w:rsidR="004301B5" w:rsidRPr="002D669D" w14:paraId="5D39FA27" w14:textId="77777777" w:rsidTr="00A136E2">
        <w:trPr>
          <w:trHeight w:val="2037"/>
        </w:trPr>
        <w:tc>
          <w:tcPr>
            <w:tcW w:w="1174" w:type="dxa"/>
            <w:tcBorders>
              <w:top w:val="single" w:sz="6" w:space="0" w:color="auto"/>
              <w:left w:val="single" w:sz="4" w:space="0" w:color="auto"/>
              <w:bottom w:val="single" w:sz="6" w:space="0" w:color="auto"/>
              <w:right w:val="single" w:sz="6" w:space="0" w:color="auto"/>
            </w:tcBorders>
          </w:tcPr>
          <w:p w14:paraId="2AEDE79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Juul et al.,</w:t>
            </w:r>
          </w:p>
          <w:p w14:paraId="03DB58C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10E90BC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Norway</w:t>
            </w:r>
          </w:p>
        </w:tc>
        <w:tc>
          <w:tcPr>
            <w:tcW w:w="1079" w:type="dxa"/>
            <w:tcBorders>
              <w:top w:val="single" w:sz="6" w:space="0" w:color="auto"/>
              <w:left w:val="single" w:sz="6" w:space="0" w:color="auto"/>
              <w:bottom w:val="single" w:sz="6" w:space="0" w:color="auto"/>
              <w:right w:val="single" w:sz="6" w:space="0" w:color="auto"/>
            </w:tcBorders>
          </w:tcPr>
          <w:p w14:paraId="5776A4F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7DA299D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5,670 </w:t>
            </w:r>
          </w:p>
          <w:p w14:paraId="61F5140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50" w:type="dxa"/>
            <w:tcBorders>
              <w:top w:val="single" w:sz="6" w:space="0" w:color="auto"/>
              <w:left w:val="single" w:sz="6" w:space="0" w:color="auto"/>
              <w:bottom w:val="single" w:sz="6" w:space="0" w:color="auto"/>
              <w:right w:val="single" w:sz="6" w:space="0" w:color="auto"/>
            </w:tcBorders>
          </w:tcPr>
          <w:p w14:paraId="120EA7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living in urban areas of Stavanger.</w:t>
            </w:r>
          </w:p>
          <w:p w14:paraId="57376B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≥18 years </w:t>
            </w:r>
          </w:p>
          <w:p w14:paraId="04261F7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459131BB" w14:textId="00D9996B"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Copernicus Global Land Service</w:t>
            </w:r>
          </w:p>
          <w:p w14:paraId="6E2D9A30" w14:textId="36DF5BC3"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Sentinel-3 satellite.</w:t>
            </w:r>
          </w:p>
        </w:tc>
        <w:tc>
          <w:tcPr>
            <w:tcW w:w="994" w:type="dxa"/>
            <w:tcBorders>
              <w:top w:val="single" w:sz="6" w:space="0" w:color="auto"/>
              <w:left w:val="single" w:sz="6" w:space="0" w:color="auto"/>
              <w:bottom w:val="single" w:sz="6" w:space="0" w:color="auto"/>
              <w:right w:val="single" w:sz="6" w:space="0" w:color="auto"/>
            </w:tcBorders>
          </w:tcPr>
          <w:p w14:paraId="668119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tc>
        <w:tc>
          <w:tcPr>
            <w:tcW w:w="1166" w:type="dxa"/>
            <w:tcBorders>
              <w:top w:val="single" w:sz="6" w:space="0" w:color="auto"/>
              <w:left w:val="single" w:sz="6" w:space="0" w:color="auto"/>
              <w:bottom w:val="single" w:sz="6" w:space="0" w:color="auto"/>
              <w:right w:val="single" w:sz="6" w:space="0" w:color="auto"/>
            </w:tcBorders>
          </w:tcPr>
          <w:p w14:paraId="01C2CD9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w:t>
            </w:r>
          </w:p>
        </w:tc>
        <w:tc>
          <w:tcPr>
            <w:tcW w:w="1264" w:type="dxa"/>
            <w:tcBorders>
              <w:top w:val="single" w:sz="6" w:space="0" w:color="auto"/>
              <w:left w:val="single" w:sz="6" w:space="0" w:color="auto"/>
              <w:bottom w:val="single" w:sz="6" w:space="0" w:color="auto"/>
              <w:right w:val="single" w:sz="6" w:space="0" w:color="auto"/>
            </w:tcBorders>
          </w:tcPr>
          <w:p w14:paraId="295658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Weekly minutes of overall physical activity.</w:t>
            </w:r>
          </w:p>
        </w:tc>
        <w:tc>
          <w:tcPr>
            <w:tcW w:w="1796" w:type="dxa"/>
            <w:tcBorders>
              <w:top w:val="single" w:sz="6" w:space="0" w:color="auto"/>
              <w:left w:val="single" w:sz="6" w:space="0" w:color="auto"/>
              <w:bottom w:val="single" w:sz="6" w:space="0" w:color="auto"/>
              <w:right w:val="single" w:sz="6" w:space="0" w:color="auto"/>
            </w:tcBorders>
          </w:tcPr>
          <w:p w14:paraId="709E369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p w14:paraId="00A236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(frequency and duration combined into weekly minutes)</w:t>
            </w:r>
          </w:p>
        </w:tc>
        <w:tc>
          <w:tcPr>
            <w:tcW w:w="1264" w:type="dxa"/>
            <w:tcBorders>
              <w:top w:val="single" w:sz="6" w:space="0" w:color="auto"/>
              <w:left w:val="single" w:sz="6" w:space="0" w:color="auto"/>
              <w:bottom w:val="single" w:sz="6" w:space="0" w:color="auto"/>
              <w:right w:val="single" w:sz="6" w:space="0" w:color="auto"/>
            </w:tcBorders>
          </w:tcPr>
          <w:p w14:paraId="6A21C8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Hierarchical linear regression</w:t>
            </w:r>
          </w:p>
        </w:tc>
        <w:tc>
          <w:tcPr>
            <w:tcW w:w="1339" w:type="dxa"/>
            <w:tcBorders>
              <w:top w:val="single" w:sz="6" w:space="0" w:color="auto"/>
              <w:left w:val="single" w:sz="6" w:space="0" w:color="auto"/>
              <w:bottom w:val="single" w:sz="6" w:space="0" w:color="auto"/>
              <w:right w:val="single" w:sz="6" w:space="0" w:color="auto"/>
            </w:tcBorders>
          </w:tcPr>
          <w:p w14:paraId="2D1150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C5703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gender, </w:t>
            </w:r>
          </w:p>
          <w:p w14:paraId="011AE80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educational level, </w:t>
            </w:r>
          </w:p>
          <w:p w14:paraId="004309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financial status; </w:t>
            </w:r>
          </w:p>
          <w:p w14:paraId="26BE919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neighborhood safety added in Step 2;</w:t>
            </w:r>
          </w:p>
          <w:p w14:paraId="77E3FB5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interaction terms (e.g., NDVI×safety) in Step 3.</w:t>
            </w:r>
          </w:p>
        </w:tc>
        <w:tc>
          <w:tcPr>
            <w:tcW w:w="1170" w:type="dxa"/>
            <w:tcBorders>
              <w:top w:val="single" w:sz="6" w:space="0" w:color="auto"/>
              <w:left w:val="single" w:sz="6" w:space="0" w:color="auto"/>
              <w:bottom w:val="single" w:sz="6" w:space="0" w:color="auto"/>
              <w:right w:val="single" w:sz="6" w:space="0" w:color="auto"/>
            </w:tcBorders>
          </w:tcPr>
          <w:p w14:paraId="002F51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Regression coefficient (β)</w:t>
            </w:r>
          </w:p>
        </w:tc>
        <w:tc>
          <w:tcPr>
            <w:tcW w:w="2790" w:type="dxa"/>
            <w:gridSpan w:val="2"/>
            <w:tcBorders>
              <w:top w:val="single" w:sz="6" w:space="0" w:color="auto"/>
              <w:left w:val="single" w:sz="6" w:space="0" w:color="auto"/>
              <w:bottom w:val="single" w:sz="6" w:space="0" w:color="auto"/>
              <w:right w:val="single" w:sz="6" w:space="0" w:color="auto"/>
            </w:tcBorders>
          </w:tcPr>
          <w:p w14:paraId="74ADB27F" w14:textId="4D657A4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t>
            </w:r>
            <w:r>
              <w:rPr>
                <w:rFonts w:asciiTheme="majorBidi" w:hAnsiTheme="majorBidi" w:cstheme="majorBidi"/>
                <w:b/>
                <w:bCs/>
                <w:color w:val="000000"/>
                <w:kern w:val="0"/>
                <w:sz w:val="18"/>
                <w:szCs w:val="18"/>
              </w:rPr>
              <w:t xml:space="preserve"> Step 1</w:t>
            </w:r>
            <w:r>
              <w:rPr>
                <w:rFonts w:asciiTheme="majorBidi" w:hAnsiTheme="majorBidi" w:cstheme="majorBidi"/>
                <w:color w:val="000000"/>
                <w:kern w:val="0"/>
                <w:sz w:val="18"/>
                <w:szCs w:val="18"/>
              </w:rPr>
              <w:t xml:space="preserve"> (adjusted for core covariates): NDVI → PA, β = 26.8 minutes/week (95% CI: 2.1, 51.4), significant. </w:t>
            </w:r>
          </w:p>
          <w:p w14:paraId="5BE5DA4D" w14:textId="6802C5A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r>
              <w:rPr>
                <w:rFonts w:asciiTheme="majorBidi" w:hAnsiTheme="majorBidi" w:cstheme="majorBidi"/>
                <w:b/>
                <w:bCs/>
                <w:color w:val="000000"/>
                <w:kern w:val="0"/>
                <w:sz w:val="18"/>
                <w:szCs w:val="18"/>
              </w:rPr>
              <w:t xml:space="preserve">Step 2 </w:t>
            </w:r>
            <w:r>
              <w:rPr>
                <w:rFonts w:asciiTheme="majorBidi" w:hAnsiTheme="majorBidi" w:cstheme="majorBidi"/>
                <w:color w:val="000000"/>
                <w:kern w:val="0"/>
                <w:sz w:val="18"/>
                <w:szCs w:val="18"/>
              </w:rPr>
              <w:t xml:space="preserve">(+ perceived safety): β = 20.3 (95% CI: −4.3, 45.0), not significant. </w:t>
            </w:r>
          </w:p>
          <w:p w14:paraId="1BF4ABC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t>
            </w:r>
            <w:r>
              <w:rPr>
                <w:rFonts w:asciiTheme="majorBidi" w:hAnsiTheme="majorBidi" w:cstheme="majorBidi"/>
                <w:b/>
                <w:bCs/>
                <w:color w:val="000000"/>
                <w:kern w:val="0"/>
                <w:sz w:val="18"/>
                <w:szCs w:val="18"/>
              </w:rPr>
              <w:t xml:space="preserve"> Step 3</w:t>
            </w:r>
            <w:r>
              <w:rPr>
                <w:rFonts w:asciiTheme="majorBidi" w:hAnsiTheme="majorBidi" w:cstheme="majorBidi"/>
                <w:color w:val="000000"/>
                <w:kern w:val="0"/>
                <w:sz w:val="18"/>
                <w:szCs w:val="18"/>
              </w:rPr>
              <w:t xml:space="preserve"> (+ interaction): β = 19.9 (95% CI: −4.9, 44.8), not significant. </w:t>
            </w:r>
          </w:p>
        </w:tc>
        <w:tc>
          <w:tcPr>
            <w:tcW w:w="1170" w:type="dxa"/>
            <w:tcBorders>
              <w:top w:val="single" w:sz="6" w:space="0" w:color="auto"/>
              <w:left w:val="single" w:sz="6" w:space="0" w:color="auto"/>
              <w:bottom w:val="single" w:sz="6" w:space="0" w:color="auto"/>
              <w:right w:val="single" w:sz="6" w:space="0" w:color="auto"/>
            </w:tcBorders>
          </w:tcPr>
          <w:p w14:paraId="146E585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Step 1 p &lt; 0.05 (asterisked in Table 2);</w:t>
            </w:r>
          </w:p>
          <w:p w14:paraId="683FEF2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Steps 2–3 p ≥ 0.05 (no asterisk).</w:t>
            </w:r>
          </w:p>
        </w:tc>
        <w:tc>
          <w:tcPr>
            <w:tcW w:w="1620" w:type="dxa"/>
            <w:tcBorders>
              <w:top w:val="single" w:sz="6" w:space="0" w:color="auto"/>
              <w:left w:val="single" w:sz="6" w:space="0" w:color="auto"/>
              <w:bottom w:val="single" w:sz="6" w:space="0" w:color="auto"/>
              <w:right w:val="single" w:sz="6" w:space="0" w:color="auto"/>
            </w:tcBorders>
          </w:tcPr>
          <w:p w14:paraId="77C6741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in the minimally adjusted model</w:t>
            </w:r>
          </w:p>
          <w:p w14:paraId="135FCC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r>
      <w:tr w:rsidR="004301B5" w:rsidRPr="002D669D" w14:paraId="5EF390D0" w14:textId="77777777" w:rsidTr="00A136E2">
        <w:trPr>
          <w:trHeight w:val="2685"/>
        </w:trPr>
        <w:tc>
          <w:tcPr>
            <w:tcW w:w="1174" w:type="dxa"/>
            <w:tcBorders>
              <w:top w:val="single" w:sz="6" w:space="0" w:color="auto"/>
              <w:left w:val="single" w:sz="4" w:space="0" w:color="auto"/>
              <w:bottom w:val="single" w:sz="6" w:space="0" w:color="auto"/>
              <w:right w:val="single" w:sz="6" w:space="0" w:color="auto"/>
            </w:tcBorders>
          </w:tcPr>
          <w:p w14:paraId="402C91F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Putman et al.,</w:t>
            </w:r>
          </w:p>
          <w:p w14:paraId="08E77F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340002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1079" w:type="dxa"/>
            <w:tcBorders>
              <w:top w:val="single" w:sz="6" w:space="0" w:color="auto"/>
              <w:left w:val="single" w:sz="6" w:space="0" w:color="auto"/>
              <w:bottom w:val="single" w:sz="6" w:space="0" w:color="auto"/>
              <w:right w:val="single" w:sz="6" w:space="0" w:color="auto"/>
            </w:tcBorders>
          </w:tcPr>
          <w:p w14:paraId="7F6E0BF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Cohort analysis</w:t>
            </w:r>
          </w:p>
        </w:tc>
        <w:tc>
          <w:tcPr>
            <w:tcW w:w="990" w:type="dxa"/>
            <w:tcBorders>
              <w:top w:val="single" w:sz="6" w:space="0" w:color="auto"/>
              <w:left w:val="single" w:sz="6" w:space="0" w:color="auto"/>
              <w:bottom w:val="single" w:sz="6" w:space="0" w:color="auto"/>
              <w:right w:val="single" w:sz="6" w:space="0" w:color="auto"/>
            </w:tcBorders>
          </w:tcPr>
          <w:p w14:paraId="3BCD3C6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16,735</w:t>
            </w:r>
          </w:p>
        </w:tc>
        <w:tc>
          <w:tcPr>
            <w:tcW w:w="1350" w:type="dxa"/>
            <w:tcBorders>
              <w:top w:val="single" w:sz="6" w:space="0" w:color="auto"/>
              <w:left w:val="single" w:sz="6" w:space="0" w:color="auto"/>
              <w:bottom w:val="single" w:sz="6" w:space="0" w:color="auto"/>
              <w:right w:val="single" w:sz="6" w:space="0" w:color="auto"/>
            </w:tcBorders>
          </w:tcPr>
          <w:p w14:paraId="4B91F34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older adults (CLSA).</w:t>
            </w:r>
          </w:p>
          <w:p w14:paraId="392F0B2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≥65 years </w:t>
            </w:r>
          </w:p>
          <w:p w14:paraId="5CCB32D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7A69C52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from the Canadian Urban Environmental Health Research Consortium (CANUE).</w:t>
            </w:r>
          </w:p>
        </w:tc>
        <w:tc>
          <w:tcPr>
            <w:tcW w:w="994" w:type="dxa"/>
            <w:tcBorders>
              <w:top w:val="single" w:sz="6" w:space="0" w:color="auto"/>
              <w:left w:val="single" w:sz="6" w:space="0" w:color="auto"/>
              <w:bottom w:val="single" w:sz="6" w:space="0" w:color="auto"/>
              <w:right w:val="single" w:sz="6" w:space="0" w:color="auto"/>
            </w:tcBorders>
          </w:tcPr>
          <w:p w14:paraId="46BE719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66" w:type="dxa"/>
            <w:tcBorders>
              <w:top w:val="single" w:sz="6" w:space="0" w:color="auto"/>
              <w:left w:val="single" w:sz="6" w:space="0" w:color="auto"/>
              <w:bottom w:val="single" w:sz="6" w:space="0" w:color="auto"/>
              <w:right w:val="single" w:sz="6" w:space="0" w:color="auto"/>
            </w:tcBorders>
          </w:tcPr>
          <w:p w14:paraId="1317AB4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w:t>
            </w:r>
          </w:p>
        </w:tc>
        <w:tc>
          <w:tcPr>
            <w:tcW w:w="1264" w:type="dxa"/>
            <w:tcBorders>
              <w:top w:val="single" w:sz="6" w:space="0" w:color="auto"/>
              <w:left w:val="single" w:sz="6" w:space="0" w:color="auto"/>
              <w:bottom w:val="single" w:sz="6" w:space="0" w:color="auto"/>
              <w:right w:val="single" w:sz="6" w:space="0" w:color="auto"/>
            </w:tcBorders>
          </w:tcPr>
          <w:p w14:paraId="0E11C5D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weekly physical activity hours at baseline</w:t>
            </w:r>
          </w:p>
        </w:tc>
        <w:tc>
          <w:tcPr>
            <w:tcW w:w="1796" w:type="dxa"/>
            <w:tcBorders>
              <w:top w:val="single" w:sz="6" w:space="0" w:color="auto"/>
              <w:left w:val="single" w:sz="6" w:space="0" w:color="auto"/>
              <w:bottom w:val="single" w:sz="6" w:space="0" w:color="auto"/>
              <w:right w:val="single" w:sz="6" w:space="0" w:color="auto"/>
            </w:tcBorders>
          </w:tcPr>
          <w:p w14:paraId="5ADE97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Modified Physical Activity Scale for the Elderly (PASE); </w:t>
            </w:r>
          </w:p>
          <w:p w14:paraId="285F3D8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frequency×duration summed to weekly hours.</w:t>
            </w:r>
          </w:p>
        </w:tc>
        <w:tc>
          <w:tcPr>
            <w:tcW w:w="1264" w:type="dxa"/>
            <w:tcBorders>
              <w:top w:val="single" w:sz="6" w:space="0" w:color="auto"/>
              <w:left w:val="single" w:sz="6" w:space="0" w:color="auto"/>
              <w:bottom w:val="single" w:sz="6" w:space="0" w:color="auto"/>
              <w:right w:val="single" w:sz="6" w:space="0" w:color="auto"/>
            </w:tcBorders>
          </w:tcPr>
          <w:p w14:paraId="68C8A56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Interaction term between NDVI and PA in regression models.</w:t>
            </w:r>
          </w:p>
        </w:tc>
        <w:tc>
          <w:tcPr>
            <w:tcW w:w="1339" w:type="dxa"/>
            <w:tcBorders>
              <w:top w:val="single" w:sz="6" w:space="0" w:color="auto"/>
              <w:left w:val="single" w:sz="6" w:space="0" w:color="auto"/>
              <w:bottom w:val="single" w:sz="6" w:space="0" w:color="auto"/>
              <w:right w:val="single" w:sz="6" w:space="0" w:color="auto"/>
            </w:tcBorders>
          </w:tcPr>
          <w:p w14:paraId="747F66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67AA23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39ADF9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household income; </w:t>
            </w:r>
          </w:p>
          <w:p w14:paraId="62424A0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sex-stratified analyses also reported.</w:t>
            </w:r>
          </w:p>
        </w:tc>
        <w:tc>
          <w:tcPr>
            <w:tcW w:w="1170" w:type="dxa"/>
            <w:tcBorders>
              <w:top w:val="single" w:sz="6" w:space="0" w:color="auto"/>
              <w:left w:val="single" w:sz="6" w:space="0" w:color="auto"/>
              <w:bottom w:val="single" w:sz="6" w:space="0" w:color="auto"/>
              <w:right w:val="single" w:sz="6" w:space="0" w:color="auto"/>
            </w:tcBorders>
          </w:tcPr>
          <w:p w14:paraId="241ED1D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Interaction coefficient (β) for NDVI × PA.</w:t>
            </w:r>
          </w:p>
        </w:tc>
        <w:tc>
          <w:tcPr>
            <w:tcW w:w="3960" w:type="dxa"/>
            <w:gridSpan w:val="3"/>
            <w:tcBorders>
              <w:top w:val="single" w:sz="6" w:space="0" w:color="auto"/>
              <w:left w:val="single" w:sz="6" w:space="0" w:color="auto"/>
              <w:bottom w:val="single" w:sz="6" w:space="0" w:color="auto"/>
              <w:right w:val="single" w:sz="6" w:space="0" w:color="auto"/>
            </w:tcBorders>
          </w:tcPr>
          <w:p w14:paraId="4D6458F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NDVI moderation (total sample):</w:t>
            </w:r>
          </w:p>
          <w:p w14:paraId="1DB65A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Physical impairment: β = 0.022, p = .04 (significant). </w:t>
            </w:r>
          </w:p>
          <w:p w14:paraId="77A92F0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307F55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Daily pain: β = 0.019, p &lt; .01 (significant). </w:t>
            </w:r>
          </w:p>
          <w:p w14:paraId="1FF45E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7CC7AD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Medications: No moderation (NS). </w:t>
            </w:r>
          </w:p>
          <w:p w14:paraId="134A61A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790E4D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Depressive symptoms: β = 0.032, p = .01 (significant).</w:t>
            </w:r>
          </w:p>
        </w:tc>
        <w:tc>
          <w:tcPr>
            <w:tcW w:w="1620" w:type="dxa"/>
            <w:tcBorders>
              <w:top w:val="single" w:sz="6" w:space="0" w:color="auto"/>
              <w:left w:val="single" w:sz="6" w:space="0" w:color="auto"/>
              <w:bottom w:val="single" w:sz="6" w:space="0" w:color="auto"/>
              <w:right w:val="single" w:sz="6" w:space="0" w:color="auto"/>
            </w:tcBorders>
          </w:tcPr>
          <w:p w14:paraId="7CA8B7A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Moderation:</w:t>
            </w:r>
          </w:p>
          <w:p w14:paraId="6F9AFC9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Greenness strengthens (additively moderates) the protective PA–health associations for impairment,</w:t>
            </w:r>
          </w:p>
          <w:p w14:paraId="27D985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pain, and depressive symptoms in the total sample (pattern varies by sex).</w:t>
            </w:r>
          </w:p>
        </w:tc>
      </w:tr>
      <w:tr w:rsidR="004301B5" w:rsidRPr="002D669D" w14:paraId="436CF1D7" w14:textId="77777777" w:rsidTr="00A136E2">
        <w:trPr>
          <w:trHeight w:val="2856"/>
        </w:trPr>
        <w:tc>
          <w:tcPr>
            <w:tcW w:w="1174" w:type="dxa"/>
            <w:tcBorders>
              <w:top w:val="single" w:sz="6" w:space="0" w:color="auto"/>
              <w:left w:val="single" w:sz="4" w:space="0" w:color="auto"/>
              <w:bottom w:val="single" w:sz="6" w:space="0" w:color="auto"/>
              <w:right w:val="single" w:sz="6" w:space="0" w:color="auto"/>
            </w:tcBorders>
          </w:tcPr>
          <w:p w14:paraId="55CDCF4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Wilt et al.,</w:t>
            </w:r>
          </w:p>
          <w:p w14:paraId="539534C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1E167E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1079" w:type="dxa"/>
            <w:tcBorders>
              <w:top w:val="single" w:sz="6" w:space="0" w:color="auto"/>
              <w:left w:val="single" w:sz="6" w:space="0" w:color="auto"/>
              <w:bottom w:val="single" w:sz="6" w:space="0" w:color="auto"/>
              <w:right w:val="single" w:sz="6" w:space="0" w:color="auto"/>
            </w:tcBorders>
          </w:tcPr>
          <w:p w14:paraId="5FF818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4BDC5F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337</w:t>
            </w:r>
          </w:p>
        </w:tc>
        <w:tc>
          <w:tcPr>
            <w:tcW w:w="1350" w:type="dxa"/>
            <w:tcBorders>
              <w:top w:val="single" w:sz="6" w:space="0" w:color="auto"/>
              <w:left w:val="single" w:sz="6" w:space="0" w:color="auto"/>
              <w:bottom w:val="single" w:sz="6" w:space="0" w:color="auto"/>
              <w:right w:val="single" w:sz="6" w:space="0" w:color="auto"/>
            </w:tcBorders>
          </w:tcPr>
          <w:p w14:paraId="604C0C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 women</w:t>
            </w:r>
          </w:p>
          <w:p w14:paraId="60756E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≥21 years</w:t>
            </w:r>
          </w:p>
          <w:p w14:paraId="142228C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7D8216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Landsat-8; seasonal, </w:t>
            </w:r>
          </w:p>
          <w:p w14:paraId="02B1BA8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cloud-free rasters processed in Google Earth Engine. </w:t>
            </w:r>
          </w:p>
        </w:tc>
        <w:tc>
          <w:tcPr>
            <w:tcW w:w="994" w:type="dxa"/>
            <w:tcBorders>
              <w:top w:val="single" w:sz="6" w:space="0" w:color="auto"/>
              <w:left w:val="single" w:sz="6" w:space="0" w:color="auto"/>
              <w:bottom w:val="single" w:sz="6" w:space="0" w:color="auto"/>
              <w:right w:val="single" w:sz="6" w:space="0" w:color="auto"/>
            </w:tcBorders>
          </w:tcPr>
          <w:p w14:paraId="774C761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30 m </w:t>
            </w:r>
          </w:p>
        </w:tc>
        <w:tc>
          <w:tcPr>
            <w:tcW w:w="1166" w:type="dxa"/>
            <w:tcBorders>
              <w:top w:val="single" w:sz="6" w:space="0" w:color="auto"/>
              <w:left w:val="single" w:sz="6" w:space="0" w:color="auto"/>
              <w:bottom w:val="single" w:sz="6" w:space="0" w:color="auto"/>
              <w:right w:val="single" w:sz="6" w:space="0" w:color="auto"/>
            </w:tcBorders>
          </w:tcPr>
          <w:p w14:paraId="4B5A8BD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fixed residential buffer —</w:t>
            </w:r>
          </w:p>
          <w:p w14:paraId="6BB4DA2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NDVI was joined to GPS points recorded ~every 10 min (mobility-based exposure).</w:t>
            </w:r>
          </w:p>
        </w:tc>
        <w:tc>
          <w:tcPr>
            <w:tcW w:w="1264" w:type="dxa"/>
            <w:tcBorders>
              <w:top w:val="single" w:sz="6" w:space="0" w:color="auto"/>
              <w:left w:val="single" w:sz="6" w:space="0" w:color="auto"/>
              <w:bottom w:val="single" w:sz="6" w:space="0" w:color="auto"/>
              <w:right w:val="single" w:sz="6" w:space="0" w:color="auto"/>
            </w:tcBorders>
          </w:tcPr>
          <w:p w14:paraId="1422ED5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steps per minute</w:t>
            </w:r>
          </w:p>
          <w:p w14:paraId="1AF7887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(10-min windows).</w:t>
            </w:r>
          </w:p>
        </w:tc>
        <w:tc>
          <w:tcPr>
            <w:tcW w:w="1796" w:type="dxa"/>
            <w:tcBorders>
              <w:top w:val="single" w:sz="6" w:space="0" w:color="auto"/>
              <w:left w:val="single" w:sz="6" w:space="0" w:color="auto"/>
              <w:bottom w:val="single" w:sz="6" w:space="0" w:color="auto"/>
              <w:right w:val="single" w:sz="6" w:space="0" w:color="auto"/>
            </w:tcBorders>
          </w:tcPr>
          <w:p w14:paraId="253ABB4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Fitbit™ wearables for PA; </w:t>
            </w:r>
          </w:p>
          <w:p w14:paraId="592F9D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smartphone app for GPS (10-min intervals). </w:t>
            </w:r>
          </w:p>
        </w:tc>
        <w:tc>
          <w:tcPr>
            <w:tcW w:w="1264" w:type="dxa"/>
            <w:tcBorders>
              <w:top w:val="single" w:sz="6" w:space="0" w:color="auto"/>
              <w:left w:val="single" w:sz="6" w:space="0" w:color="auto"/>
              <w:bottom w:val="single" w:sz="6" w:space="0" w:color="auto"/>
              <w:right w:val="single" w:sz="6" w:space="0" w:color="auto"/>
            </w:tcBorders>
          </w:tcPr>
          <w:p w14:paraId="12BF3FF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Additive Mixed Models (GAMMs)</w:t>
            </w:r>
          </w:p>
        </w:tc>
        <w:tc>
          <w:tcPr>
            <w:tcW w:w="1339" w:type="dxa"/>
            <w:tcBorders>
              <w:top w:val="single" w:sz="6" w:space="0" w:color="auto"/>
              <w:left w:val="single" w:sz="6" w:space="0" w:color="auto"/>
              <w:bottom w:val="single" w:sz="6" w:space="0" w:color="auto"/>
              <w:right w:val="single" w:sz="6" w:space="0" w:color="auto"/>
            </w:tcBorders>
          </w:tcPr>
          <w:p w14:paraId="4E04F6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2F73CF6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08E7604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marital status; </w:t>
            </w:r>
          </w:p>
          <w:p w14:paraId="2F656BC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SES (z-score, quartiles); </w:t>
            </w:r>
          </w:p>
          <w:p w14:paraId="60E5291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walkability (z-score, quartiles); </w:t>
            </w:r>
          </w:p>
          <w:p w14:paraId="5265D8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season, </w:t>
            </w:r>
          </w:p>
          <w:p w14:paraId="282BD61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Census region, </w:t>
            </w:r>
          </w:p>
          <w:p w14:paraId="34C0EE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mean daily temperature, </w:t>
            </w:r>
          </w:p>
          <w:p w14:paraId="6892014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precipitation</w:t>
            </w:r>
          </w:p>
        </w:tc>
        <w:tc>
          <w:tcPr>
            <w:tcW w:w="1170" w:type="dxa"/>
            <w:tcBorders>
              <w:top w:val="single" w:sz="6" w:space="0" w:color="auto"/>
              <w:left w:val="single" w:sz="6" w:space="0" w:color="auto"/>
              <w:bottom w:val="single" w:sz="6" w:space="0" w:color="auto"/>
              <w:right w:val="single" w:sz="6" w:space="0" w:color="auto"/>
            </w:tcBorders>
          </w:tcPr>
          <w:p w14:paraId="4448AA4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Non-linear GAMM smooth; </w:t>
            </w:r>
          </w:p>
          <w:p w14:paraId="32B8842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reported as change in steps/min per 0.1 NDVI within exposure ranges. </w:t>
            </w:r>
          </w:p>
        </w:tc>
        <w:tc>
          <w:tcPr>
            <w:tcW w:w="1440" w:type="dxa"/>
            <w:tcBorders>
              <w:top w:val="single" w:sz="6" w:space="0" w:color="auto"/>
              <w:left w:val="single" w:sz="6" w:space="0" w:color="auto"/>
              <w:bottom w:val="single" w:sz="6" w:space="0" w:color="auto"/>
              <w:right w:val="single" w:sz="6" w:space="0" w:color="auto"/>
            </w:tcBorders>
          </w:tcPr>
          <w:p w14:paraId="6BB2FF1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NDVI 0–0.2: +0.8 steps/min per 0.1 NDVI (weak positive). </w:t>
            </w:r>
          </w:p>
          <w:p w14:paraId="4CF132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5C302E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NDVI 0.2–0.6: −1.0 steps/min per 0.1 NDVI (inverse). </w:t>
            </w:r>
          </w:p>
          <w:p w14:paraId="3F756A9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68757F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NDVI &gt;0.6: +0.5 steps/min per 0.1 NDVI (weak positive).</w:t>
            </w:r>
          </w:p>
        </w:tc>
        <w:tc>
          <w:tcPr>
            <w:tcW w:w="1350" w:type="dxa"/>
            <w:tcBorders>
              <w:top w:val="single" w:sz="6" w:space="0" w:color="auto"/>
              <w:left w:val="single" w:sz="6" w:space="0" w:color="auto"/>
              <w:bottom w:val="single" w:sz="6" w:space="0" w:color="auto"/>
              <w:right w:val="single" w:sz="6" w:space="0" w:color="auto"/>
            </w:tcBorders>
          </w:tcPr>
          <w:p w14:paraId="61462CD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70" w:type="dxa"/>
            <w:tcBorders>
              <w:top w:val="single" w:sz="6" w:space="0" w:color="auto"/>
              <w:left w:val="single" w:sz="6" w:space="0" w:color="auto"/>
              <w:bottom w:val="single" w:sz="6" w:space="0" w:color="auto"/>
              <w:right w:val="single" w:sz="6" w:space="0" w:color="auto"/>
            </w:tcBorders>
          </w:tcPr>
          <w:p w14:paraId="5C322D7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620" w:type="dxa"/>
            <w:tcBorders>
              <w:top w:val="single" w:sz="6" w:space="0" w:color="auto"/>
              <w:left w:val="single" w:sz="6" w:space="0" w:color="auto"/>
              <w:bottom w:val="single" w:sz="6" w:space="0" w:color="auto"/>
              <w:right w:val="single" w:sz="6" w:space="0" w:color="auto"/>
            </w:tcBorders>
          </w:tcPr>
          <w:p w14:paraId="0C06D2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Non-linear; across the most common NDVI range (≈0.2–0.6) the association was inverse </w:t>
            </w:r>
          </w:p>
          <w:p w14:paraId="7CB4E97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(higher NDVI → fewer steps/min). </w:t>
            </w:r>
          </w:p>
        </w:tc>
      </w:tr>
      <w:tr w:rsidR="004301B5" w:rsidRPr="002D669D" w14:paraId="78D940FE" w14:textId="77777777" w:rsidTr="00A136E2">
        <w:trPr>
          <w:trHeight w:val="2595"/>
        </w:trPr>
        <w:tc>
          <w:tcPr>
            <w:tcW w:w="1174" w:type="dxa"/>
            <w:tcBorders>
              <w:top w:val="single" w:sz="6" w:space="0" w:color="auto"/>
              <w:left w:val="single" w:sz="4" w:space="0" w:color="auto"/>
              <w:bottom w:val="single" w:sz="6" w:space="0" w:color="auto"/>
              <w:right w:val="single" w:sz="6" w:space="0" w:color="auto"/>
            </w:tcBorders>
          </w:tcPr>
          <w:p w14:paraId="5692925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Tao et al.,</w:t>
            </w:r>
          </w:p>
          <w:p w14:paraId="5005362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72FA42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05DB5F5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4BE4D39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sample plots across 3 parks</w:t>
            </w:r>
          </w:p>
          <w:p w14:paraId="2495F29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50" w:type="dxa"/>
            <w:tcBorders>
              <w:top w:val="single" w:sz="6" w:space="0" w:color="auto"/>
              <w:left w:val="single" w:sz="6" w:space="0" w:color="auto"/>
              <w:bottom w:val="single" w:sz="6" w:space="0" w:color="auto"/>
              <w:right w:val="single" w:sz="6" w:space="0" w:color="auto"/>
            </w:tcBorders>
          </w:tcPr>
          <w:p w14:paraId="27876CA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visitors observed in sample plots.</w:t>
            </w:r>
          </w:p>
          <w:p w14:paraId="11613E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5AA3E4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994" w:type="dxa"/>
            <w:tcBorders>
              <w:top w:val="single" w:sz="6" w:space="0" w:color="auto"/>
              <w:left w:val="single" w:sz="6" w:space="0" w:color="auto"/>
              <w:bottom w:val="single" w:sz="6" w:space="0" w:color="auto"/>
              <w:right w:val="single" w:sz="6" w:space="0" w:color="auto"/>
            </w:tcBorders>
          </w:tcPr>
          <w:p w14:paraId="5C8343E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66" w:type="dxa"/>
            <w:tcBorders>
              <w:top w:val="single" w:sz="6" w:space="0" w:color="auto"/>
              <w:left w:val="single" w:sz="6" w:space="0" w:color="auto"/>
              <w:bottom w:val="single" w:sz="6" w:space="0" w:color="auto"/>
              <w:right w:val="single" w:sz="6" w:space="0" w:color="auto"/>
            </w:tcBorders>
          </w:tcPr>
          <w:p w14:paraId="32D17A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400-m buffer around each park </w:t>
            </w:r>
          </w:p>
          <w:p w14:paraId="295AD1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(park-level NDVI).</w:t>
            </w:r>
          </w:p>
        </w:tc>
        <w:tc>
          <w:tcPr>
            <w:tcW w:w="1264" w:type="dxa"/>
            <w:tcBorders>
              <w:top w:val="single" w:sz="6" w:space="0" w:color="auto"/>
              <w:left w:val="single" w:sz="6" w:space="0" w:color="auto"/>
              <w:bottom w:val="single" w:sz="6" w:space="0" w:color="auto"/>
              <w:right w:val="single" w:sz="6" w:space="0" w:color="auto"/>
            </w:tcBorders>
          </w:tcPr>
          <w:p w14:paraId="1C22FE6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PA density (people per m²),</w:t>
            </w:r>
          </w:p>
          <w:p w14:paraId="0585868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(2) PA diversity (ratio of observed PA types to total types).</w:t>
            </w:r>
          </w:p>
        </w:tc>
        <w:tc>
          <w:tcPr>
            <w:tcW w:w="1796" w:type="dxa"/>
            <w:tcBorders>
              <w:top w:val="single" w:sz="6" w:space="0" w:color="auto"/>
              <w:left w:val="single" w:sz="6" w:space="0" w:color="auto"/>
              <w:bottom w:val="single" w:sz="6" w:space="0" w:color="auto"/>
              <w:right w:val="single" w:sz="6" w:space="0" w:color="auto"/>
            </w:tcBorders>
          </w:tcPr>
          <w:p w14:paraId="6E87118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On-site counts of individuals and their activity types at five time intervals per day on 3 days/month, Jan–Dec 2021.</w:t>
            </w:r>
          </w:p>
        </w:tc>
        <w:tc>
          <w:tcPr>
            <w:tcW w:w="1264" w:type="dxa"/>
            <w:tcBorders>
              <w:top w:val="single" w:sz="6" w:space="0" w:color="auto"/>
              <w:left w:val="single" w:sz="6" w:space="0" w:color="auto"/>
              <w:bottom w:val="single" w:sz="6" w:space="0" w:color="auto"/>
              <w:right w:val="single" w:sz="6" w:space="0" w:color="auto"/>
            </w:tcBorders>
          </w:tcPr>
          <w:p w14:paraId="4EB961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Hierarchical Linear Model (HLM); </w:t>
            </w:r>
          </w:p>
          <w:p w14:paraId="38F0BB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non-standardized coefficients with SE, t, p.</w:t>
            </w:r>
          </w:p>
        </w:tc>
        <w:tc>
          <w:tcPr>
            <w:tcW w:w="1339" w:type="dxa"/>
            <w:tcBorders>
              <w:top w:val="single" w:sz="6" w:space="0" w:color="auto"/>
              <w:left w:val="single" w:sz="6" w:space="0" w:color="auto"/>
              <w:bottom w:val="single" w:sz="6" w:space="0" w:color="auto"/>
              <w:right w:val="single" w:sz="6" w:space="0" w:color="auto"/>
            </w:tcBorders>
          </w:tcPr>
          <w:p w14:paraId="06568EE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Model includes plot-level green indicators (SHDI, GCR, GVR, CLR)</w:t>
            </w:r>
          </w:p>
          <w:p w14:paraId="41B5B0A7" w14:textId="23263354" w:rsidR="00711AB9"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and park-level indicators (400-m NDVI, 400-m GVR)</w:t>
            </w:r>
          </w:p>
          <w:p w14:paraId="1FD9D280" w14:textId="5377715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026D294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 (non-standardized β) with SE, t, and p.</w:t>
            </w:r>
          </w:p>
        </w:tc>
        <w:tc>
          <w:tcPr>
            <w:tcW w:w="2790" w:type="dxa"/>
            <w:gridSpan w:val="2"/>
            <w:tcBorders>
              <w:top w:val="single" w:sz="6" w:space="0" w:color="auto"/>
              <w:left w:val="single" w:sz="6" w:space="0" w:color="auto"/>
              <w:bottom w:val="single" w:sz="6" w:space="0" w:color="auto"/>
              <w:right w:val="single" w:sz="6" w:space="0" w:color="auto"/>
            </w:tcBorders>
          </w:tcPr>
          <w:p w14:paraId="30D56C2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Park-level model (Model 1):</w:t>
            </w:r>
            <w:r>
              <w:rPr>
                <w:rFonts w:asciiTheme="majorBidi" w:hAnsiTheme="majorBidi" w:cstheme="majorBidi"/>
                <w:color w:val="000000"/>
                <w:kern w:val="0"/>
                <w:sz w:val="18"/>
                <w:szCs w:val="18"/>
              </w:rPr>
              <w:t xml:space="preserve"> β = −42.228 (SE 8.860), p &lt; 0.001.</w:t>
            </w:r>
          </w:p>
          <w:p w14:paraId="06A2C2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r>
              <w:rPr>
                <w:rFonts w:asciiTheme="majorBidi" w:hAnsiTheme="majorBidi" w:cstheme="majorBidi"/>
                <w:b/>
                <w:bCs/>
                <w:color w:val="000000"/>
                <w:kern w:val="0"/>
                <w:sz w:val="18"/>
                <w:szCs w:val="18"/>
              </w:rPr>
              <w:t>Full model with all variables (Model 3):</w:t>
            </w:r>
            <w:r>
              <w:rPr>
                <w:rFonts w:asciiTheme="majorBidi" w:hAnsiTheme="majorBidi" w:cstheme="majorBidi"/>
                <w:color w:val="000000"/>
                <w:kern w:val="0"/>
                <w:sz w:val="18"/>
                <w:szCs w:val="18"/>
              </w:rPr>
              <w:t xml:space="preserve"> β = −41.864 (SE 8.959), p &lt; 0.001.</w:t>
            </w:r>
          </w:p>
          <w:p w14:paraId="2CFD373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093AFAD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Effect Estimate (NDVI → PA diversity):</w:t>
            </w:r>
          </w:p>
          <w:p w14:paraId="36B4D74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r>
              <w:rPr>
                <w:rFonts w:asciiTheme="majorBidi" w:hAnsiTheme="majorBidi" w:cstheme="majorBidi"/>
                <w:b/>
                <w:bCs/>
                <w:color w:val="000000"/>
                <w:kern w:val="0"/>
                <w:sz w:val="18"/>
                <w:szCs w:val="18"/>
              </w:rPr>
              <w:t>Park-level model (Model 4):</w:t>
            </w:r>
            <w:r>
              <w:rPr>
                <w:rFonts w:asciiTheme="majorBidi" w:hAnsiTheme="majorBidi" w:cstheme="majorBidi"/>
                <w:color w:val="000000"/>
                <w:kern w:val="0"/>
                <w:sz w:val="18"/>
                <w:szCs w:val="18"/>
              </w:rPr>
              <w:t xml:space="preserve"> β = −1.583 (SE 1.089), p = 0.151 (NS).</w:t>
            </w:r>
          </w:p>
          <w:p w14:paraId="52B29C5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Full model (Model 6):</w:t>
            </w:r>
            <w:r>
              <w:rPr>
                <w:rFonts w:asciiTheme="majorBidi" w:hAnsiTheme="majorBidi" w:cstheme="majorBidi"/>
                <w:color w:val="000000"/>
                <w:kern w:val="0"/>
                <w:sz w:val="18"/>
                <w:szCs w:val="18"/>
              </w:rPr>
              <w:t xml:space="preserve"> β = −0.548 (SE 1.042), p = 0.601 (NS).</w:t>
            </w:r>
          </w:p>
        </w:tc>
        <w:tc>
          <w:tcPr>
            <w:tcW w:w="1170" w:type="dxa"/>
            <w:tcBorders>
              <w:top w:val="single" w:sz="6" w:space="0" w:color="auto"/>
              <w:left w:val="single" w:sz="6" w:space="0" w:color="auto"/>
              <w:bottom w:val="single" w:sz="6" w:space="0" w:color="auto"/>
              <w:right w:val="single" w:sz="6" w:space="0" w:color="auto"/>
            </w:tcBorders>
          </w:tcPr>
          <w:p w14:paraId="2924E3F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 &lt; 0.001 for density; </w:t>
            </w:r>
          </w:p>
          <w:p w14:paraId="074A483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 = 0.151 and 0.601 for diversity</w:t>
            </w:r>
          </w:p>
        </w:tc>
        <w:tc>
          <w:tcPr>
            <w:tcW w:w="1620" w:type="dxa"/>
            <w:tcBorders>
              <w:top w:val="single" w:sz="6" w:space="0" w:color="auto"/>
              <w:left w:val="single" w:sz="6" w:space="0" w:color="auto"/>
              <w:bottom w:val="single" w:sz="6" w:space="0" w:color="auto"/>
              <w:right w:val="single" w:sz="6" w:space="0" w:color="auto"/>
            </w:tcBorders>
          </w:tcPr>
          <w:p w14:paraId="47C0EC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 within 400 m is negatively associated with PA density (statistically significant) </w:t>
            </w:r>
          </w:p>
          <w:p w14:paraId="4F2C7D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shows no significant direct association with PA diversity.</w:t>
            </w:r>
          </w:p>
        </w:tc>
      </w:tr>
      <w:tr w:rsidR="004301B5" w:rsidRPr="002D669D" w14:paraId="6E428414" w14:textId="77777777" w:rsidTr="00A136E2">
        <w:trPr>
          <w:trHeight w:val="2055"/>
        </w:trPr>
        <w:tc>
          <w:tcPr>
            <w:tcW w:w="1174" w:type="dxa"/>
            <w:tcBorders>
              <w:top w:val="single" w:sz="6" w:space="0" w:color="auto"/>
              <w:left w:val="single" w:sz="4" w:space="0" w:color="auto"/>
              <w:bottom w:val="single" w:sz="6" w:space="0" w:color="auto"/>
              <w:right w:val="single" w:sz="6" w:space="0" w:color="auto"/>
            </w:tcBorders>
          </w:tcPr>
          <w:p w14:paraId="169A58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Sun et al.,</w:t>
            </w:r>
          </w:p>
          <w:p w14:paraId="3A4BD0C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09948AD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1079" w:type="dxa"/>
            <w:tcBorders>
              <w:top w:val="single" w:sz="6" w:space="0" w:color="auto"/>
              <w:left w:val="single" w:sz="6" w:space="0" w:color="auto"/>
              <w:bottom w:val="single" w:sz="6" w:space="0" w:color="auto"/>
              <w:right w:val="single" w:sz="6" w:space="0" w:color="auto"/>
            </w:tcBorders>
          </w:tcPr>
          <w:p w14:paraId="229FA80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61FD344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415020</w:t>
            </w:r>
          </w:p>
        </w:tc>
        <w:tc>
          <w:tcPr>
            <w:tcW w:w="1350" w:type="dxa"/>
            <w:tcBorders>
              <w:top w:val="single" w:sz="6" w:space="0" w:color="auto"/>
              <w:left w:val="single" w:sz="6" w:space="0" w:color="auto"/>
              <w:bottom w:val="single" w:sz="6" w:space="0" w:color="auto"/>
              <w:right w:val="single" w:sz="6" w:space="0" w:color="auto"/>
            </w:tcBorders>
          </w:tcPr>
          <w:p w14:paraId="49CAB88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Pregnant women in urban areas </w:t>
            </w:r>
          </w:p>
          <w:p w14:paraId="0115996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age 30.2 ± 5.8 years</w:t>
            </w:r>
          </w:p>
        </w:tc>
        <w:tc>
          <w:tcPr>
            <w:tcW w:w="1440" w:type="dxa"/>
            <w:tcBorders>
              <w:top w:val="single" w:sz="6" w:space="0" w:color="auto"/>
              <w:left w:val="single" w:sz="6" w:space="0" w:color="auto"/>
              <w:bottom w:val="single" w:sz="6" w:space="0" w:color="auto"/>
              <w:right w:val="single" w:sz="6" w:space="0" w:color="auto"/>
            </w:tcBorders>
          </w:tcPr>
          <w:p w14:paraId="34AB3BD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Terra</w:t>
            </w:r>
          </w:p>
          <w:p w14:paraId="28239A2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(MOD13Q1) satellite instrument of Moderate Resolu tion Imaging Spectroradiometer products from NASA,</w:t>
            </w:r>
          </w:p>
        </w:tc>
        <w:tc>
          <w:tcPr>
            <w:tcW w:w="994" w:type="dxa"/>
            <w:tcBorders>
              <w:top w:val="single" w:sz="6" w:space="0" w:color="auto"/>
              <w:left w:val="single" w:sz="6" w:space="0" w:color="auto"/>
              <w:bottom w:val="single" w:sz="6" w:space="0" w:color="auto"/>
              <w:right w:val="single" w:sz="6" w:space="0" w:color="auto"/>
            </w:tcBorders>
          </w:tcPr>
          <w:p w14:paraId="78DC75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tc>
        <w:tc>
          <w:tcPr>
            <w:tcW w:w="1166" w:type="dxa"/>
            <w:tcBorders>
              <w:top w:val="single" w:sz="6" w:space="0" w:color="auto"/>
              <w:left w:val="single" w:sz="6" w:space="0" w:color="auto"/>
              <w:bottom w:val="single" w:sz="6" w:space="0" w:color="auto"/>
              <w:right w:val="single" w:sz="6" w:space="0" w:color="auto"/>
            </w:tcBorders>
          </w:tcPr>
          <w:p w14:paraId="3C99AC4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 m, 500 m and</w:t>
            </w:r>
          </w:p>
          <w:p w14:paraId="6E7392C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1000 m buffers (about a 5-10-min walk) around the</w:t>
            </w:r>
          </w:p>
          <w:p w14:paraId="62D3052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residential address at delivery</w:t>
            </w:r>
          </w:p>
        </w:tc>
        <w:tc>
          <w:tcPr>
            <w:tcW w:w="1264" w:type="dxa"/>
            <w:tcBorders>
              <w:top w:val="single" w:sz="6" w:space="0" w:color="auto"/>
              <w:left w:val="single" w:sz="6" w:space="0" w:color="auto"/>
              <w:bottom w:val="single" w:sz="6" w:space="0" w:color="auto"/>
              <w:right w:val="single" w:sz="6" w:space="0" w:color="auto"/>
            </w:tcBorders>
          </w:tcPr>
          <w:p w14:paraId="547A9FB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Physical activity during pregnancy (mediator), summarized across pregnancy.</w:t>
            </w:r>
          </w:p>
        </w:tc>
        <w:tc>
          <w:tcPr>
            <w:tcW w:w="1796" w:type="dxa"/>
            <w:tcBorders>
              <w:top w:val="single" w:sz="6" w:space="0" w:color="auto"/>
              <w:left w:val="single" w:sz="6" w:space="0" w:color="auto"/>
              <w:bottom w:val="single" w:sz="6" w:space="0" w:color="auto"/>
              <w:right w:val="single" w:sz="6" w:space="0" w:color="auto"/>
            </w:tcBorders>
          </w:tcPr>
          <w:p w14:paraId="7F4EC9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Self-reported at clinic visits recorded in EHRs (frequency per week and minutes per day over the prior 7 days; </w:t>
            </w:r>
          </w:p>
          <w:p w14:paraId="0CA6B3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converted to minutes/week and averaged across pregnancy).</w:t>
            </w:r>
          </w:p>
        </w:tc>
        <w:tc>
          <w:tcPr>
            <w:tcW w:w="1264" w:type="dxa"/>
            <w:tcBorders>
              <w:top w:val="single" w:sz="6" w:space="0" w:color="auto"/>
              <w:left w:val="single" w:sz="6" w:space="0" w:color="auto"/>
              <w:bottom w:val="single" w:sz="6" w:space="0" w:color="auto"/>
              <w:right w:val="single" w:sz="6" w:space="0" w:color="auto"/>
            </w:tcBorders>
          </w:tcPr>
          <w:p w14:paraId="7252DD3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 for PA (percent change in log-transformed PA);</w:t>
            </w:r>
          </w:p>
          <w:p w14:paraId="6FFDD3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multilevel logistic regression for PPD; causal mediation analysis.</w:t>
            </w:r>
          </w:p>
        </w:tc>
        <w:tc>
          <w:tcPr>
            <w:tcW w:w="1339" w:type="dxa"/>
            <w:tcBorders>
              <w:top w:val="single" w:sz="6" w:space="0" w:color="auto"/>
              <w:left w:val="single" w:sz="6" w:space="0" w:color="auto"/>
              <w:bottom w:val="single" w:sz="6" w:space="0" w:color="auto"/>
              <w:right w:val="single" w:sz="6" w:space="0" w:color="auto"/>
            </w:tcBorders>
          </w:tcPr>
          <w:p w14:paraId="77A3443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Maternal age, </w:t>
            </w:r>
          </w:p>
          <w:p w14:paraId="4D7D0E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race/ethnicity, </w:t>
            </w:r>
          </w:p>
          <w:p w14:paraId="51A815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educational level, </w:t>
            </w:r>
          </w:p>
          <w:p w14:paraId="3854751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and block-group household income; </w:t>
            </w:r>
          </w:p>
          <w:p w14:paraId="1B1D257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zip code included as a random effect.</w:t>
            </w:r>
          </w:p>
        </w:tc>
        <w:tc>
          <w:tcPr>
            <w:tcW w:w="2610" w:type="dxa"/>
            <w:gridSpan w:val="2"/>
            <w:tcBorders>
              <w:top w:val="single" w:sz="6" w:space="0" w:color="auto"/>
              <w:left w:val="single" w:sz="6" w:space="0" w:color="auto"/>
              <w:bottom w:val="single" w:sz="6" w:space="0" w:color="auto"/>
              <w:right w:val="single" w:sz="6" w:space="0" w:color="auto"/>
            </w:tcBorders>
          </w:tcPr>
          <w:p w14:paraId="4832F07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Percent change in PA per 0.1 increase in NDVI (for PA models/figure).</w:t>
            </w:r>
          </w:p>
        </w:tc>
        <w:tc>
          <w:tcPr>
            <w:tcW w:w="1350" w:type="dxa"/>
            <w:tcBorders>
              <w:top w:val="single" w:sz="6" w:space="0" w:color="auto"/>
              <w:left w:val="single" w:sz="6" w:space="0" w:color="auto"/>
              <w:bottom w:val="single" w:sz="6" w:space="0" w:color="auto"/>
              <w:right w:val="single" w:sz="6" w:space="0" w:color="auto"/>
            </w:tcBorders>
          </w:tcPr>
          <w:p w14:paraId="6540D65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036B5C7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620" w:type="dxa"/>
            <w:tcBorders>
              <w:top w:val="single" w:sz="6" w:space="0" w:color="auto"/>
              <w:left w:val="single" w:sz="6" w:space="0" w:color="auto"/>
              <w:bottom w:val="single" w:sz="6" w:space="0" w:color="auto"/>
              <w:right w:val="single" w:sz="6" w:space="0" w:color="auto"/>
            </w:tcBorders>
          </w:tcPr>
          <w:p w14:paraId="48C5FB3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r>
      <w:tr w:rsidR="004301B5" w:rsidRPr="002D669D" w14:paraId="3A2BAD08" w14:textId="77777777" w:rsidTr="00A136E2">
        <w:trPr>
          <w:trHeight w:val="2370"/>
        </w:trPr>
        <w:tc>
          <w:tcPr>
            <w:tcW w:w="1174" w:type="dxa"/>
            <w:tcBorders>
              <w:top w:val="single" w:sz="6" w:space="0" w:color="auto"/>
              <w:left w:val="single" w:sz="4" w:space="0" w:color="auto"/>
              <w:bottom w:val="single" w:sz="6" w:space="0" w:color="auto"/>
              <w:right w:val="single" w:sz="6" w:space="0" w:color="auto"/>
            </w:tcBorders>
          </w:tcPr>
          <w:p w14:paraId="77C127F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Gao et al.,</w:t>
            </w:r>
          </w:p>
          <w:p w14:paraId="48284E9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4D5B882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4B838B8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108C6C7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2,495,848 </w:t>
            </w:r>
          </w:p>
          <w:p w14:paraId="762A1AC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50" w:type="dxa"/>
            <w:tcBorders>
              <w:top w:val="single" w:sz="6" w:space="0" w:color="auto"/>
              <w:left w:val="single" w:sz="6" w:space="0" w:color="auto"/>
              <w:bottom w:val="single" w:sz="6" w:space="0" w:color="auto"/>
              <w:right w:val="single" w:sz="6" w:space="0" w:color="auto"/>
            </w:tcBorders>
          </w:tcPr>
          <w:p w14:paraId="4852F0D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Free-floating bike-sharing (FFBS) users/trips within Beijing’s Fifth Ring Road</w:t>
            </w:r>
          </w:p>
        </w:tc>
        <w:tc>
          <w:tcPr>
            <w:tcW w:w="1440" w:type="dxa"/>
            <w:tcBorders>
              <w:top w:val="single" w:sz="6" w:space="0" w:color="auto"/>
              <w:left w:val="single" w:sz="6" w:space="0" w:color="auto"/>
              <w:bottom w:val="single" w:sz="6" w:space="0" w:color="auto"/>
              <w:right w:val="single" w:sz="6" w:space="0" w:color="auto"/>
            </w:tcBorders>
          </w:tcPr>
          <w:p w14:paraId="30EDE46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Resource and Environment Science and Data Center (RESDC), May 2017</w:t>
            </w:r>
          </w:p>
        </w:tc>
        <w:tc>
          <w:tcPr>
            <w:tcW w:w="994" w:type="dxa"/>
            <w:tcBorders>
              <w:top w:val="single" w:sz="6" w:space="0" w:color="auto"/>
              <w:left w:val="single" w:sz="6" w:space="0" w:color="auto"/>
              <w:bottom w:val="single" w:sz="6" w:space="0" w:color="auto"/>
              <w:right w:val="single" w:sz="6" w:space="0" w:color="auto"/>
            </w:tcBorders>
          </w:tcPr>
          <w:p w14:paraId="316153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w:t>
            </w:r>
          </w:p>
        </w:tc>
        <w:tc>
          <w:tcPr>
            <w:tcW w:w="1166" w:type="dxa"/>
            <w:tcBorders>
              <w:top w:val="single" w:sz="6" w:space="0" w:color="auto"/>
              <w:left w:val="single" w:sz="6" w:space="0" w:color="auto"/>
              <w:bottom w:val="single" w:sz="6" w:space="0" w:color="auto"/>
              <w:right w:val="single" w:sz="6" w:space="0" w:color="auto"/>
            </w:tcBorders>
          </w:tcPr>
          <w:p w14:paraId="7DDFC65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264" w:type="dxa"/>
            <w:tcBorders>
              <w:top w:val="single" w:sz="6" w:space="0" w:color="auto"/>
              <w:left w:val="single" w:sz="6" w:space="0" w:color="auto"/>
              <w:bottom w:val="single" w:sz="6" w:space="0" w:color="auto"/>
              <w:right w:val="single" w:sz="6" w:space="0" w:color="auto"/>
            </w:tcBorders>
          </w:tcPr>
          <w:p w14:paraId="0CC8984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Cycling-related activity proxied by FFBS trip counts (DV: Trips).</w:t>
            </w:r>
          </w:p>
        </w:tc>
        <w:tc>
          <w:tcPr>
            <w:tcW w:w="1796" w:type="dxa"/>
            <w:tcBorders>
              <w:top w:val="single" w:sz="6" w:space="0" w:color="auto"/>
              <w:left w:val="single" w:sz="6" w:space="0" w:color="auto"/>
              <w:bottom w:val="single" w:sz="6" w:space="0" w:color="auto"/>
              <w:right w:val="single" w:sz="6" w:space="0" w:color="auto"/>
            </w:tcBorders>
          </w:tcPr>
          <w:p w14:paraId="068696C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FFBS trip records (IoT) from Mobike aggregated to TAZ/time-of-day;</w:t>
            </w:r>
          </w:p>
          <w:p w14:paraId="74528EC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NDVI from RESDC (1 km); </w:t>
            </w:r>
          </w:p>
          <w:p w14:paraId="1E3D58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GVI from Baidu Total View street-view images via CNN segmentation (SegNet). </w:t>
            </w:r>
          </w:p>
        </w:tc>
        <w:tc>
          <w:tcPr>
            <w:tcW w:w="1264" w:type="dxa"/>
            <w:tcBorders>
              <w:top w:val="single" w:sz="6" w:space="0" w:color="auto"/>
              <w:left w:val="single" w:sz="6" w:space="0" w:color="auto"/>
              <w:bottom w:val="single" w:sz="6" w:space="0" w:color="auto"/>
              <w:right w:val="single" w:sz="6" w:space="0" w:color="auto"/>
            </w:tcBorders>
          </w:tcPr>
          <w:p w14:paraId="326A44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Poisson regression with quasi-maximum likelihood</w:t>
            </w:r>
          </w:p>
        </w:tc>
        <w:tc>
          <w:tcPr>
            <w:tcW w:w="1339" w:type="dxa"/>
            <w:tcBorders>
              <w:top w:val="single" w:sz="6" w:space="0" w:color="auto"/>
              <w:left w:val="single" w:sz="6" w:space="0" w:color="auto"/>
              <w:bottom w:val="single" w:sz="6" w:space="0" w:color="auto"/>
              <w:right w:val="single" w:sz="6" w:space="0" w:color="auto"/>
            </w:tcBorders>
          </w:tcPr>
          <w:p w14:paraId="31CB09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ln(Population density), </w:t>
            </w:r>
          </w:p>
          <w:p w14:paraId="5543D06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FAR,</w:t>
            </w:r>
          </w:p>
          <w:p w14:paraId="259F75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Road density, </w:t>
            </w:r>
          </w:p>
          <w:p w14:paraId="71709C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Land-use-mix entropy,</w:t>
            </w:r>
          </w:p>
          <w:p w14:paraId="083A1D8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Distance to subway, </w:t>
            </w:r>
          </w:p>
          <w:p w14:paraId="388AE11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Distance to bus, </w:t>
            </w:r>
          </w:p>
          <w:p w14:paraId="42E8FE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city center.</w:t>
            </w:r>
          </w:p>
        </w:tc>
        <w:tc>
          <w:tcPr>
            <w:tcW w:w="1170" w:type="dxa"/>
            <w:tcBorders>
              <w:top w:val="single" w:sz="6" w:space="0" w:color="auto"/>
              <w:left w:val="single" w:sz="6" w:space="0" w:color="auto"/>
              <w:bottom w:val="single" w:sz="6" w:space="0" w:color="auto"/>
              <w:right w:val="single" w:sz="6" w:space="0" w:color="auto"/>
            </w:tcBorders>
          </w:tcPr>
          <w:p w14:paraId="7F7F00D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Incidence Rate Ratio (IRR).</w:t>
            </w:r>
          </w:p>
        </w:tc>
        <w:tc>
          <w:tcPr>
            <w:tcW w:w="1440" w:type="dxa"/>
            <w:tcBorders>
              <w:top w:val="single" w:sz="6" w:space="0" w:color="auto"/>
              <w:left w:val="single" w:sz="6" w:space="0" w:color="auto"/>
              <w:bottom w:val="single" w:sz="6" w:space="0" w:color="auto"/>
              <w:right w:val="single" w:sz="6" w:space="0" w:color="auto"/>
            </w:tcBorders>
          </w:tcPr>
          <w:p w14:paraId="465062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NDVI (baseline, all trips):</w:t>
            </w:r>
          </w:p>
          <w:p w14:paraId="14CE185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IRR = 0.0837, z = −165.9, ***</w:t>
            </w:r>
          </w:p>
        </w:tc>
        <w:tc>
          <w:tcPr>
            <w:tcW w:w="1350" w:type="dxa"/>
            <w:tcBorders>
              <w:top w:val="single" w:sz="6" w:space="0" w:color="auto"/>
              <w:left w:val="single" w:sz="6" w:space="0" w:color="auto"/>
              <w:bottom w:val="single" w:sz="6" w:space="0" w:color="auto"/>
              <w:right w:val="single" w:sz="6" w:space="0" w:color="auto"/>
            </w:tcBorders>
          </w:tcPr>
          <w:p w14:paraId="41887B0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2BE38E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 &lt; 0.001 for starred estimates</w:t>
            </w:r>
          </w:p>
        </w:tc>
        <w:tc>
          <w:tcPr>
            <w:tcW w:w="1620" w:type="dxa"/>
            <w:tcBorders>
              <w:top w:val="single" w:sz="6" w:space="0" w:color="auto"/>
              <w:left w:val="single" w:sz="6" w:space="0" w:color="auto"/>
              <w:bottom w:val="single" w:sz="6" w:space="0" w:color="auto"/>
              <w:right w:val="single" w:sz="6" w:space="0" w:color="auto"/>
            </w:tcBorders>
          </w:tcPr>
          <w:p w14:paraId="53CEA8B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negative</w:t>
            </w:r>
          </w:p>
        </w:tc>
      </w:tr>
      <w:tr w:rsidR="004301B5" w:rsidRPr="002D669D" w14:paraId="301267A6" w14:textId="77777777" w:rsidTr="00A136E2">
        <w:trPr>
          <w:trHeight w:val="2415"/>
        </w:trPr>
        <w:tc>
          <w:tcPr>
            <w:tcW w:w="1174" w:type="dxa"/>
            <w:tcBorders>
              <w:top w:val="single" w:sz="6" w:space="0" w:color="auto"/>
              <w:left w:val="single" w:sz="4" w:space="0" w:color="auto"/>
              <w:bottom w:val="single" w:sz="6" w:space="0" w:color="auto"/>
              <w:right w:val="single" w:sz="6" w:space="0" w:color="auto"/>
            </w:tcBorders>
          </w:tcPr>
          <w:p w14:paraId="7F806B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Li et al.,</w:t>
            </w:r>
          </w:p>
          <w:p w14:paraId="7C97D3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6799A0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0B9E08B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48C1F15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668 </w:t>
            </w:r>
          </w:p>
        </w:tc>
        <w:tc>
          <w:tcPr>
            <w:tcW w:w="1350" w:type="dxa"/>
            <w:tcBorders>
              <w:top w:val="single" w:sz="6" w:space="0" w:color="auto"/>
              <w:left w:val="single" w:sz="6" w:space="0" w:color="auto"/>
              <w:bottom w:val="single" w:sz="6" w:space="0" w:color="auto"/>
              <w:right w:val="single" w:sz="6" w:space="0" w:color="auto"/>
            </w:tcBorders>
          </w:tcPr>
          <w:p w14:paraId="535520D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residents in China recruited through online platforms</w:t>
            </w:r>
          </w:p>
          <w:p w14:paraId="03D926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Mostly 15–35 years </w:t>
            </w:r>
          </w:p>
          <w:p w14:paraId="3CACB3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485BFB2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MODIS (MOD13Q1 product, 2022) </w:t>
            </w:r>
          </w:p>
          <w:p w14:paraId="0BBE5C6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obtained via Google Earth Engine</w:t>
            </w:r>
          </w:p>
        </w:tc>
        <w:tc>
          <w:tcPr>
            <w:tcW w:w="994" w:type="dxa"/>
            <w:tcBorders>
              <w:top w:val="single" w:sz="6" w:space="0" w:color="auto"/>
              <w:left w:val="single" w:sz="6" w:space="0" w:color="auto"/>
              <w:bottom w:val="single" w:sz="6" w:space="0" w:color="auto"/>
              <w:right w:val="single" w:sz="6" w:space="0" w:color="auto"/>
            </w:tcBorders>
          </w:tcPr>
          <w:p w14:paraId="20EB00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tc>
        <w:tc>
          <w:tcPr>
            <w:tcW w:w="1166" w:type="dxa"/>
            <w:tcBorders>
              <w:top w:val="single" w:sz="6" w:space="0" w:color="auto"/>
              <w:left w:val="single" w:sz="6" w:space="0" w:color="auto"/>
              <w:bottom w:val="single" w:sz="6" w:space="0" w:color="auto"/>
              <w:right w:val="single" w:sz="6" w:space="0" w:color="auto"/>
            </w:tcBorders>
          </w:tcPr>
          <w:p w14:paraId="72778E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radius around residence</w:t>
            </w:r>
          </w:p>
        </w:tc>
        <w:tc>
          <w:tcPr>
            <w:tcW w:w="1264" w:type="dxa"/>
            <w:tcBorders>
              <w:top w:val="single" w:sz="6" w:space="0" w:color="auto"/>
              <w:left w:val="single" w:sz="6" w:space="0" w:color="auto"/>
              <w:bottom w:val="single" w:sz="6" w:space="0" w:color="auto"/>
              <w:right w:val="single" w:sz="6" w:space="0" w:color="auto"/>
            </w:tcBorders>
          </w:tcPr>
          <w:p w14:paraId="6FB4A9B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 physical activity</w:t>
            </w:r>
          </w:p>
          <w:p w14:paraId="00E0BC5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(for leisure, transportation walking, transportation cycling)</w:t>
            </w:r>
          </w:p>
        </w:tc>
        <w:tc>
          <w:tcPr>
            <w:tcW w:w="1796" w:type="dxa"/>
            <w:tcBorders>
              <w:top w:val="single" w:sz="6" w:space="0" w:color="auto"/>
              <w:left w:val="single" w:sz="6" w:space="0" w:color="auto"/>
              <w:bottom w:val="single" w:sz="6" w:space="0" w:color="auto"/>
              <w:right w:val="single" w:sz="6" w:space="0" w:color="auto"/>
            </w:tcBorders>
          </w:tcPr>
          <w:p w14:paraId="48A6E34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questionnaires;</w:t>
            </w:r>
          </w:p>
          <w:p w14:paraId="4569C3B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Likert scales for frequency and duration</w:t>
            </w:r>
          </w:p>
        </w:tc>
        <w:tc>
          <w:tcPr>
            <w:tcW w:w="1264" w:type="dxa"/>
            <w:tcBorders>
              <w:top w:val="single" w:sz="6" w:space="0" w:color="auto"/>
              <w:left w:val="single" w:sz="6" w:space="0" w:color="auto"/>
              <w:bottom w:val="single" w:sz="6" w:space="0" w:color="auto"/>
              <w:right w:val="single" w:sz="6" w:space="0" w:color="auto"/>
            </w:tcBorders>
          </w:tcPr>
          <w:p w14:paraId="0585BC7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Structural Equation Modeling (SEM) with Maximum Likelihood,</w:t>
            </w:r>
          </w:p>
          <w:p w14:paraId="769AEB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bias-corrected bootstrapping (10,000 reps)</w:t>
            </w:r>
          </w:p>
        </w:tc>
        <w:tc>
          <w:tcPr>
            <w:tcW w:w="1339" w:type="dxa"/>
            <w:tcBorders>
              <w:top w:val="single" w:sz="6" w:space="0" w:color="auto"/>
              <w:left w:val="single" w:sz="6" w:space="0" w:color="auto"/>
              <w:bottom w:val="single" w:sz="6" w:space="0" w:color="auto"/>
              <w:right w:val="single" w:sz="6" w:space="0" w:color="auto"/>
            </w:tcBorders>
          </w:tcPr>
          <w:p w14:paraId="305047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12D8C80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age,</w:t>
            </w:r>
          </w:p>
          <w:p w14:paraId="217E74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household income,</w:t>
            </w:r>
          </w:p>
          <w:p w14:paraId="0B4963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education status, </w:t>
            </w:r>
          </w:p>
          <w:p w14:paraId="1989FD8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marital status, </w:t>
            </w:r>
          </w:p>
          <w:p w14:paraId="5DD07D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student status</w:t>
            </w:r>
          </w:p>
        </w:tc>
        <w:tc>
          <w:tcPr>
            <w:tcW w:w="1170" w:type="dxa"/>
            <w:tcBorders>
              <w:top w:val="single" w:sz="6" w:space="0" w:color="auto"/>
              <w:left w:val="single" w:sz="6" w:space="0" w:color="auto"/>
              <w:bottom w:val="single" w:sz="6" w:space="0" w:color="auto"/>
              <w:right w:val="single" w:sz="6" w:space="0" w:color="auto"/>
            </w:tcBorders>
          </w:tcPr>
          <w:p w14:paraId="226DBC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 (β)</w:t>
            </w:r>
          </w:p>
        </w:tc>
        <w:tc>
          <w:tcPr>
            <w:tcW w:w="5580" w:type="dxa"/>
            <w:gridSpan w:val="4"/>
            <w:tcBorders>
              <w:top w:val="single" w:sz="6" w:space="0" w:color="auto"/>
              <w:left w:val="single" w:sz="6" w:space="0" w:color="auto"/>
              <w:bottom w:val="single" w:sz="6" w:space="0" w:color="auto"/>
              <w:right w:val="single" w:sz="6" w:space="0" w:color="auto"/>
            </w:tcBorders>
          </w:tcPr>
          <w:p w14:paraId="66E1930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the mediation effect of physical activity (PA) between NDVI and mental well-being:</w:t>
            </w:r>
          </w:p>
          <w:p w14:paraId="76D19A8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62220E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500 m → Green leisure PA → Mental well-being:</w:t>
            </w:r>
          </w:p>
          <w:p w14:paraId="4FA54FE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−0.283 (95% CI −1.304, 0.634), p = 0.521 → not significant</w:t>
            </w:r>
          </w:p>
          <w:p w14:paraId="13F65A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6CF62D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500 m → Green walking (transportation) → Mental well-being:</w:t>
            </w:r>
          </w:p>
          <w:p w14:paraId="3B4807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−0.056 (95% CI −0.454, 0.066), p = 0.279 → not significant</w:t>
            </w:r>
          </w:p>
          <w:p w14:paraId="554B5D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474EA7E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500 m → Green cycling (transportation) → Mental well-being:</w:t>
            </w:r>
          </w:p>
          <w:p w14:paraId="2F8C2FC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0.213 (95% CI −0.055, 0.746), p = 0.117 → not significant</w:t>
            </w:r>
          </w:p>
        </w:tc>
      </w:tr>
      <w:tr w:rsidR="004301B5" w:rsidRPr="002D669D" w14:paraId="1C3E5CF8" w14:textId="77777777" w:rsidTr="00A136E2">
        <w:trPr>
          <w:trHeight w:val="3405"/>
        </w:trPr>
        <w:tc>
          <w:tcPr>
            <w:tcW w:w="1174" w:type="dxa"/>
            <w:tcBorders>
              <w:top w:val="single" w:sz="6" w:space="0" w:color="auto"/>
              <w:left w:val="single" w:sz="4" w:space="0" w:color="auto"/>
              <w:bottom w:val="single" w:sz="6" w:space="0" w:color="auto"/>
              <w:right w:val="single" w:sz="6" w:space="0" w:color="auto"/>
            </w:tcBorders>
          </w:tcPr>
          <w:p w14:paraId="3AD5FC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 et al.,</w:t>
            </w:r>
          </w:p>
          <w:p w14:paraId="3E4B1F4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9" w:type="dxa"/>
            <w:tcBorders>
              <w:top w:val="single" w:sz="6" w:space="0" w:color="auto"/>
              <w:left w:val="single" w:sz="6" w:space="0" w:color="auto"/>
              <w:bottom w:val="single" w:sz="6" w:space="0" w:color="auto"/>
              <w:right w:val="single" w:sz="6" w:space="0" w:color="auto"/>
            </w:tcBorders>
          </w:tcPr>
          <w:p w14:paraId="62FC145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7BA4A81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76D06DF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3,785 </w:t>
            </w:r>
          </w:p>
        </w:tc>
        <w:tc>
          <w:tcPr>
            <w:tcW w:w="1350" w:type="dxa"/>
            <w:tcBorders>
              <w:top w:val="single" w:sz="6" w:space="0" w:color="auto"/>
              <w:left w:val="single" w:sz="6" w:space="0" w:color="auto"/>
              <w:bottom w:val="single" w:sz="6" w:space="0" w:color="auto"/>
              <w:right w:val="single" w:sz="6" w:space="0" w:color="auto"/>
            </w:tcBorders>
          </w:tcPr>
          <w:p w14:paraId="351681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Users of the “DuoRui” sports/health app </w:t>
            </w:r>
          </w:p>
          <w:p w14:paraId="3B6F37F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(mainly young and middle-aged). </w:t>
            </w:r>
          </w:p>
          <w:p w14:paraId="34C1E52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0D7FEE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(USGS) satellite imagery.</w:t>
            </w:r>
          </w:p>
        </w:tc>
        <w:tc>
          <w:tcPr>
            <w:tcW w:w="994" w:type="dxa"/>
            <w:tcBorders>
              <w:top w:val="single" w:sz="6" w:space="0" w:color="auto"/>
              <w:left w:val="single" w:sz="6" w:space="0" w:color="auto"/>
              <w:bottom w:val="single" w:sz="6" w:space="0" w:color="auto"/>
              <w:right w:val="single" w:sz="6" w:space="0" w:color="auto"/>
            </w:tcBorders>
          </w:tcPr>
          <w:p w14:paraId="7FFC7AB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13FDA3A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Not applicable (grid-based analysis). </w:t>
            </w:r>
          </w:p>
          <w:p w14:paraId="047C86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Grid scale 800×800 m; </w:t>
            </w:r>
          </w:p>
          <w:p w14:paraId="3831690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moving window 100×100 m.</w:t>
            </w:r>
          </w:p>
        </w:tc>
        <w:tc>
          <w:tcPr>
            <w:tcW w:w="1264" w:type="dxa"/>
            <w:tcBorders>
              <w:top w:val="single" w:sz="6" w:space="0" w:color="auto"/>
              <w:left w:val="single" w:sz="6" w:space="0" w:color="auto"/>
              <w:bottom w:val="single" w:sz="6" w:space="0" w:color="auto"/>
              <w:right w:val="single" w:sz="6" w:space="0" w:color="auto"/>
            </w:tcBorders>
          </w:tcPr>
          <w:p w14:paraId="5A9682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Frequency of walking physical activity </w:t>
            </w:r>
          </w:p>
          <w:p w14:paraId="5B1BAC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(count of walking trajectories per grid); </w:t>
            </w:r>
          </w:p>
          <w:p w14:paraId="4FB28A7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Intensity of walking physical activity </w:t>
            </w:r>
          </w:p>
          <w:p w14:paraId="0F76F24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length of walking trajectories per grid, km).</w:t>
            </w:r>
          </w:p>
        </w:tc>
        <w:tc>
          <w:tcPr>
            <w:tcW w:w="1796" w:type="dxa"/>
            <w:tcBorders>
              <w:top w:val="single" w:sz="6" w:space="0" w:color="auto"/>
              <w:left w:val="single" w:sz="6" w:space="0" w:color="auto"/>
              <w:bottom w:val="single" w:sz="6" w:space="0" w:color="auto"/>
              <w:right w:val="single" w:sz="6" w:space="0" w:color="auto"/>
            </w:tcBorders>
          </w:tcPr>
          <w:p w14:paraId="6138D7E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App-derived GPS trajectories from DuoRui </w:t>
            </w:r>
          </w:p>
          <w:p w14:paraId="5CC03B9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(spatial position, type, duration, distance, date, frequency)</w:t>
            </w:r>
          </w:p>
        </w:tc>
        <w:tc>
          <w:tcPr>
            <w:tcW w:w="1264" w:type="dxa"/>
            <w:tcBorders>
              <w:top w:val="single" w:sz="6" w:space="0" w:color="auto"/>
              <w:left w:val="single" w:sz="6" w:space="0" w:color="auto"/>
              <w:bottom w:val="single" w:sz="6" w:space="0" w:color="auto"/>
              <w:right w:val="single" w:sz="6" w:space="0" w:color="auto"/>
            </w:tcBorders>
          </w:tcPr>
          <w:p w14:paraId="55BA2AC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 with Z-score-standardized predictors</w:t>
            </w:r>
          </w:p>
        </w:tc>
        <w:tc>
          <w:tcPr>
            <w:tcW w:w="1339" w:type="dxa"/>
            <w:tcBorders>
              <w:top w:val="single" w:sz="6" w:space="0" w:color="auto"/>
              <w:left w:val="single" w:sz="6" w:space="0" w:color="auto"/>
              <w:bottom w:val="single" w:sz="6" w:space="0" w:color="auto"/>
              <w:right w:val="single" w:sz="6" w:space="0" w:color="auto"/>
            </w:tcBorders>
          </w:tcPr>
          <w:p w14:paraId="6207ECDB" w14:textId="63D5A458"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 density</w:t>
            </w:r>
          </w:p>
          <w:p w14:paraId="65168238" w14:textId="160EC260"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housing density </w:t>
            </w:r>
          </w:p>
          <w:p w14:paraId="2B8E976E" w14:textId="4F43A0C2"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housing price</w:t>
            </w:r>
          </w:p>
          <w:p w14:paraId="6E2F192E" w14:textId="2A8F3881"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land-use mix temperature </w:t>
            </w:r>
          </w:p>
          <w:p w14:paraId="1FE5F113" w14:textId="59699BFC"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average daily precipitation </w:t>
            </w:r>
          </w:p>
          <w:p w14:paraId="535E2704" w14:textId="4391ECD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toilet density</w:t>
            </w:r>
          </w:p>
          <w:p w14:paraId="5E0B985F" w14:textId="5037A2DC"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parking lot density </w:t>
            </w:r>
          </w:p>
          <w:p w14:paraId="7DE15F22" w14:textId="016FB8F4"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plaza density</w:t>
            </w:r>
          </w:p>
          <w:p w14:paraId="4A0B8766" w14:textId="361712C0"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bus stop density</w:t>
            </w:r>
          </w:p>
          <w:p w14:paraId="37562B32" w14:textId="2E372CBD"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number of path crossings </w:t>
            </w:r>
          </w:p>
          <w:p w14:paraId="553FB50E" w14:textId="77777777" w:rsidR="00711AB9"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path density</w:t>
            </w:r>
          </w:p>
          <w:p w14:paraId="7FC40084" w14:textId="1B84EB33"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 water body area; </w:t>
            </w:r>
          </w:p>
          <w:p w14:paraId="1D54C29D" w14:textId="0811B66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water body</w:t>
            </w:r>
          </w:p>
        </w:tc>
        <w:tc>
          <w:tcPr>
            <w:tcW w:w="1170" w:type="dxa"/>
            <w:tcBorders>
              <w:top w:val="single" w:sz="6" w:space="0" w:color="auto"/>
              <w:left w:val="single" w:sz="6" w:space="0" w:color="auto"/>
              <w:bottom w:val="single" w:sz="6" w:space="0" w:color="auto"/>
              <w:right w:val="single" w:sz="6" w:space="0" w:color="auto"/>
            </w:tcBorders>
          </w:tcPr>
          <w:p w14:paraId="57BAC1D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regression coefficients (β)</w:t>
            </w:r>
          </w:p>
        </w:tc>
        <w:tc>
          <w:tcPr>
            <w:tcW w:w="1440" w:type="dxa"/>
            <w:tcBorders>
              <w:top w:val="single" w:sz="6" w:space="0" w:color="auto"/>
              <w:left w:val="single" w:sz="6" w:space="0" w:color="auto"/>
              <w:bottom w:val="single" w:sz="6" w:space="0" w:color="auto"/>
              <w:right w:val="single" w:sz="6" w:space="0" w:color="auto"/>
            </w:tcBorders>
          </w:tcPr>
          <w:p w14:paraId="32AB803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Frequency: β = –0.001, P = 0.955 (ns) </w:t>
            </w:r>
          </w:p>
          <w:p w14:paraId="78639F4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20E1DE4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418227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Intensity: β = 0.007, P = 0.724 (ns) </w:t>
            </w:r>
          </w:p>
        </w:tc>
        <w:tc>
          <w:tcPr>
            <w:tcW w:w="1350" w:type="dxa"/>
            <w:tcBorders>
              <w:top w:val="single" w:sz="6" w:space="0" w:color="auto"/>
              <w:left w:val="single" w:sz="6" w:space="0" w:color="auto"/>
              <w:bottom w:val="single" w:sz="6" w:space="0" w:color="auto"/>
              <w:right w:val="single" w:sz="6" w:space="0" w:color="auto"/>
            </w:tcBorders>
          </w:tcPr>
          <w:p w14:paraId="7CEF8B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70" w:type="dxa"/>
            <w:tcBorders>
              <w:top w:val="single" w:sz="6" w:space="0" w:color="auto"/>
              <w:left w:val="single" w:sz="6" w:space="0" w:color="auto"/>
              <w:bottom w:val="single" w:sz="6" w:space="0" w:color="auto"/>
              <w:right w:val="single" w:sz="6" w:space="0" w:color="auto"/>
            </w:tcBorders>
          </w:tcPr>
          <w:p w14:paraId="0CC2885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0.955 for frequency;</w:t>
            </w:r>
          </w:p>
          <w:p w14:paraId="1DF445F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0.724 for intensity</w:t>
            </w:r>
          </w:p>
        </w:tc>
        <w:tc>
          <w:tcPr>
            <w:tcW w:w="1620" w:type="dxa"/>
            <w:tcBorders>
              <w:top w:val="single" w:sz="6" w:space="0" w:color="auto"/>
              <w:left w:val="single" w:sz="6" w:space="0" w:color="auto"/>
              <w:bottom w:val="single" w:sz="6" w:space="0" w:color="auto"/>
              <w:right w:val="single" w:sz="6" w:space="0" w:color="auto"/>
            </w:tcBorders>
          </w:tcPr>
          <w:p w14:paraId="3F2C296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significant</w:t>
            </w:r>
          </w:p>
        </w:tc>
      </w:tr>
      <w:tr w:rsidR="004301B5" w:rsidRPr="002D669D" w14:paraId="526B2FE5" w14:textId="77777777" w:rsidTr="00A136E2">
        <w:trPr>
          <w:trHeight w:val="1875"/>
        </w:trPr>
        <w:tc>
          <w:tcPr>
            <w:tcW w:w="1174" w:type="dxa"/>
            <w:tcBorders>
              <w:top w:val="single" w:sz="6" w:space="0" w:color="auto"/>
              <w:left w:val="single" w:sz="4" w:space="0" w:color="auto"/>
              <w:bottom w:val="single" w:sz="6" w:space="0" w:color="auto"/>
              <w:right w:val="single" w:sz="6" w:space="0" w:color="auto"/>
            </w:tcBorders>
          </w:tcPr>
          <w:p w14:paraId="4179AE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Squillacioti et al.,</w:t>
            </w:r>
          </w:p>
          <w:p w14:paraId="743A661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2022</w:t>
            </w:r>
          </w:p>
        </w:tc>
        <w:tc>
          <w:tcPr>
            <w:tcW w:w="899" w:type="dxa"/>
            <w:tcBorders>
              <w:top w:val="single" w:sz="6" w:space="0" w:color="auto"/>
              <w:left w:val="single" w:sz="6" w:space="0" w:color="auto"/>
              <w:bottom w:val="single" w:sz="6" w:space="0" w:color="auto"/>
              <w:right w:val="single" w:sz="6" w:space="0" w:color="auto"/>
            </w:tcBorders>
          </w:tcPr>
          <w:p w14:paraId="7F6A6B5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Italy</w:t>
            </w:r>
          </w:p>
        </w:tc>
        <w:tc>
          <w:tcPr>
            <w:tcW w:w="1079" w:type="dxa"/>
            <w:tcBorders>
              <w:top w:val="single" w:sz="6" w:space="0" w:color="auto"/>
              <w:left w:val="single" w:sz="6" w:space="0" w:color="auto"/>
              <w:bottom w:val="single" w:sz="6" w:space="0" w:color="auto"/>
              <w:right w:val="single" w:sz="6" w:space="0" w:color="auto"/>
            </w:tcBorders>
          </w:tcPr>
          <w:p w14:paraId="30A41E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23277C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323 </w:t>
            </w:r>
          </w:p>
        </w:tc>
        <w:tc>
          <w:tcPr>
            <w:tcW w:w="1350" w:type="dxa"/>
            <w:tcBorders>
              <w:top w:val="single" w:sz="6" w:space="0" w:color="auto"/>
              <w:left w:val="single" w:sz="6" w:space="0" w:color="auto"/>
              <w:bottom w:val="single" w:sz="6" w:space="0" w:color="auto"/>
              <w:right w:val="single" w:sz="6" w:space="0" w:color="auto"/>
            </w:tcBorders>
          </w:tcPr>
          <w:p w14:paraId="3CE591E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Healthy primary schoolchildren recruited through schools.</w:t>
            </w:r>
          </w:p>
          <w:p w14:paraId="4E1BC54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8–11 years</w:t>
            </w:r>
          </w:p>
          <w:p w14:paraId="1A6B232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1B2FA4F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Sentinel-2</w:t>
            </w:r>
          </w:p>
          <w:p w14:paraId="0DD995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(cloud-free image acquired July 6, 2017) </w:t>
            </w:r>
          </w:p>
          <w:p w14:paraId="6F51677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from Theia platform.</w:t>
            </w:r>
          </w:p>
        </w:tc>
        <w:tc>
          <w:tcPr>
            <w:tcW w:w="994" w:type="dxa"/>
            <w:tcBorders>
              <w:top w:val="single" w:sz="6" w:space="0" w:color="auto"/>
              <w:left w:val="single" w:sz="6" w:space="0" w:color="auto"/>
              <w:bottom w:val="single" w:sz="6" w:space="0" w:color="auto"/>
              <w:right w:val="single" w:sz="6" w:space="0" w:color="auto"/>
            </w:tcBorders>
          </w:tcPr>
          <w:p w14:paraId="20FB46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 m</w:t>
            </w:r>
          </w:p>
        </w:tc>
        <w:tc>
          <w:tcPr>
            <w:tcW w:w="1166" w:type="dxa"/>
            <w:tcBorders>
              <w:top w:val="single" w:sz="6" w:space="0" w:color="auto"/>
              <w:left w:val="single" w:sz="6" w:space="0" w:color="auto"/>
              <w:bottom w:val="single" w:sz="6" w:space="0" w:color="auto"/>
              <w:right w:val="single" w:sz="6" w:space="0" w:color="auto"/>
            </w:tcBorders>
          </w:tcPr>
          <w:p w14:paraId="62C10A0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 m, </w:t>
            </w:r>
          </w:p>
          <w:p w14:paraId="22AAF09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p w14:paraId="12DD55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300 m, </w:t>
            </w:r>
          </w:p>
          <w:p w14:paraId="502159B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m, </w:t>
            </w:r>
          </w:p>
          <w:p w14:paraId="2A7C3F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and 1000 m </w:t>
            </w:r>
          </w:p>
          <w:p w14:paraId="7B9F4EF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around home and school</w:t>
            </w:r>
          </w:p>
        </w:tc>
        <w:tc>
          <w:tcPr>
            <w:tcW w:w="1264" w:type="dxa"/>
            <w:tcBorders>
              <w:top w:val="single" w:sz="6" w:space="0" w:color="auto"/>
              <w:left w:val="single" w:sz="6" w:space="0" w:color="auto"/>
              <w:bottom w:val="single" w:sz="6" w:space="0" w:color="auto"/>
              <w:right w:val="single" w:sz="6" w:space="0" w:color="auto"/>
            </w:tcBorders>
          </w:tcPr>
          <w:p w14:paraId="29A5BA9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Physical activity frequency (days/week with ≥60 minutes), </w:t>
            </w:r>
          </w:p>
          <w:p w14:paraId="55F410B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four categories (≤1, 2, 3, ≥4).</w:t>
            </w:r>
          </w:p>
        </w:tc>
        <w:tc>
          <w:tcPr>
            <w:tcW w:w="1796" w:type="dxa"/>
            <w:tcBorders>
              <w:top w:val="single" w:sz="6" w:space="0" w:color="auto"/>
              <w:left w:val="single" w:sz="6" w:space="0" w:color="auto"/>
              <w:bottom w:val="single" w:sz="6" w:space="0" w:color="auto"/>
              <w:right w:val="single" w:sz="6" w:space="0" w:color="auto"/>
            </w:tcBorders>
          </w:tcPr>
          <w:p w14:paraId="0F33135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 questionnaire (SIDRIA) for PA and demographics</w:t>
            </w:r>
          </w:p>
        </w:tc>
        <w:tc>
          <w:tcPr>
            <w:tcW w:w="1264" w:type="dxa"/>
            <w:tcBorders>
              <w:top w:val="single" w:sz="6" w:space="0" w:color="auto"/>
              <w:left w:val="single" w:sz="6" w:space="0" w:color="auto"/>
              <w:bottom w:val="single" w:sz="6" w:space="0" w:color="auto"/>
              <w:right w:val="single" w:sz="6" w:space="0" w:color="auto"/>
            </w:tcBorders>
          </w:tcPr>
          <w:p w14:paraId="357A44B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ordinal logistic regression</w:t>
            </w:r>
          </w:p>
        </w:tc>
        <w:tc>
          <w:tcPr>
            <w:tcW w:w="1339" w:type="dxa"/>
            <w:tcBorders>
              <w:top w:val="single" w:sz="6" w:space="0" w:color="auto"/>
              <w:left w:val="single" w:sz="6" w:space="0" w:color="auto"/>
              <w:bottom w:val="single" w:sz="6" w:space="0" w:color="auto"/>
              <w:right w:val="single" w:sz="6" w:space="0" w:color="auto"/>
            </w:tcBorders>
          </w:tcPr>
          <w:p w14:paraId="2EAB760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02DBB7F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422C8A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41D36D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urinary cotinine, </w:t>
            </w:r>
          </w:p>
          <w:p w14:paraId="672EB6D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mother’s and father’s education.</w:t>
            </w:r>
          </w:p>
        </w:tc>
        <w:tc>
          <w:tcPr>
            <w:tcW w:w="1170" w:type="dxa"/>
            <w:tcBorders>
              <w:top w:val="single" w:sz="6" w:space="0" w:color="auto"/>
              <w:left w:val="single" w:sz="6" w:space="0" w:color="auto"/>
              <w:bottom w:val="single" w:sz="6" w:space="0" w:color="auto"/>
              <w:right w:val="single" w:sz="6" w:space="0" w:color="auto"/>
            </w:tcBorders>
          </w:tcPr>
          <w:p w14:paraId="0629E1C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 (β)</w:t>
            </w:r>
          </w:p>
        </w:tc>
        <w:tc>
          <w:tcPr>
            <w:tcW w:w="3960" w:type="dxa"/>
            <w:gridSpan w:val="3"/>
            <w:tcBorders>
              <w:top w:val="single" w:sz="6" w:space="0" w:color="auto"/>
              <w:left w:val="single" w:sz="6" w:space="0" w:color="auto"/>
              <w:bottom w:val="single" w:sz="6" w:space="0" w:color="auto"/>
              <w:right w:val="single" w:sz="6" w:space="0" w:color="auto"/>
            </w:tcBorders>
          </w:tcPr>
          <w:p w14:paraId="0FC655B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(500 m, multisite) → PA:</w:t>
            </w:r>
          </w:p>
          <w:p w14:paraId="46D26A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 1.02 per IQR increase in NDVI, 95% CI: 0.73–1.43, p = 0.91 → not significant.</w:t>
            </w:r>
          </w:p>
        </w:tc>
        <w:tc>
          <w:tcPr>
            <w:tcW w:w="1620" w:type="dxa"/>
            <w:tcBorders>
              <w:top w:val="single" w:sz="6" w:space="0" w:color="auto"/>
              <w:left w:val="single" w:sz="6" w:space="0" w:color="auto"/>
              <w:bottom w:val="single" w:sz="6" w:space="0" w:color="auto"/>
              <w:right w:val="single" w:sz="6" w:space="0" w:color="auto"/>
            </w:tcBorders>
          </w:tcPr>
          <w:p w14:paraId="1149AC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was not significant</w:t>
            </w:r>
          </w:p>
        </w:tc>
      </w:tr>
      <w:tr w:rsidR="004301B5" w:rsidRPr="002D669D" w14:paraId="65DB2FA5" w14:textId="77777777" w:rsidTr="00A136E2">
        <w:trPr>
          <w:trHeight w:val="5556"/>
        </w:trPr>
        <w:tc>
          <w:tcPr>
            <w:tcW w:w="1174" w:type="dxa"/>
            <w:tcBorders>
              <w:top w:val="single" w:sz="6" w:space="0" w:color="auto"/>
              <w:left w:val="single" w:sz="4" w:space="0" w:color="auto"/>
              <w:bottom w:val="single" w:sz="6" w:space="0" w:color="auto"/>
              <w:right w:val="single" w:sz="6" w:space="0" w:color="auto"/>
            </w:tcBorders>
          </w:tcPr>
          <w:p w14:paraId="64E085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Sun et al.,</w:t>
            </w:r>
          </w:p>
          <w:p w14:paraId="146AB4E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2022</w:t>
            </w:r>
          </w:p>
        </w:tc>
        <w:tc>
          <w:tcPr>
            <w:tcW w:w="899" w:type="dxa"/>
            <w:tcBorders>
              <w:top w:val="single" w:sz="6" w:space="0" w:color="auto"/>
              <w:left w:val="single" w:sz="6" w:space="0" w:color="auto"/>
              <w:bottom w:val="single" w:sz="6" w:space="0" w:color="auto"/>
              <w:right w:val="single" w:sz="6" w:space="0" w:color="auto"/>
            </w:tcBorders>
          </w:tcPr>
          <w:p w14:paraId="5CABF99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4C93A5C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574B571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411</w:t>
            </w:r>
          </w:p>
        </w:tc>
        <w:tc>
          <w:tcPr>
            <w:tcW w:w="1350" w:type="dxa"/>
            <w:tcBorders>
              <w:top w:val="single" w:sz="6" w:space="0" w:color="auto"/>
              <w:left w:val="single" w:sz="6" w:space="0" w:color="auto"/>
              <w:bottom w:val="single" w:sz="6" w:space="0" w:color="auto"/>
              <w:right w:val="single" w:sz="6" w:space="0" w:color="auto"/>
            </w:tcBorders>
          </w:tcPr>
          <w:p w14:paraId="00584BF3" w14:textId="77777777" w:rsidR="004301B5"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adult residents of central Dalian; lived in area ≥1 year</w:t>
            </w:r>
          </w:p>
          <w:p w14:paraId="566646C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22–64 years</w:t>
            </w:r>
          </w:p>
        </w:tc>
        <w:tc>
          <w:tcPr>
            <w:tcW w:w="1440" w:type="dxa"/>
            <w:tcBorders>
              <w:top w:val="single" w:sz="6" w:space="0" w:color="auto"/>
              <w:left w:val="single" w:sz="6" w:space="0" w:color="auto"/>
              <w:bottom w:val="single" w:sz="6" w:space="0" w:color="auto"/>
              <w:right w:val="single" w:sz="6" w:space="0" w:color="auto"/>
            </w:tcBorders>
          </w:tcPr>
          <w:p w14:paraId="2CB6EFA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USGS Earth Explorer</w:t>
            </w:r>
          </w:p>
        </w:tc>
        <w:tc>
          <w:tcPr>
            <w:tcW w:w="994" w:type="dxa"/>
            <w:tcBorders>
              <w:top w:val="single" w:sz="6" w:space="0" w:color="auto"/>
              <w:left w:val="single" w:sz="6" w:space="0" w:color="auto"/>
              <w:bottom w:val="single" w:sz="6" w:space="0" w:color="auto"/>
              <w:right w:val="single" w:sz="6" w:space="0" w:color="auto"/>
            </w:tcBorders>
          </w:tcPr>
          <w:p w14:paraId="0115B9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3986EF2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400 m, </w:t>
            </w:r>
          </w:p>
          <w:p w14:paraId="08909B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800 m, </w:t>
            </w:r>
          </w:p>
          <w:p w14:paraId="2E9D2E7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1200 m, </w:t>
            </w:r>
          </w:p>
          <w:p w14:paraId="5F0D4C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1600 m </w:t>
            </w:r>
          </w:p>
          <w:p w14:paraId="1C4BE51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around home address.</w:t>
            </w:r>
          </w:p>
        </w:tc>
        <w:tc>
          <w:tcPr>
            <w:tcW w:w="1264" w:type="dxa"/>
            <w:tcBorders>
              <w:top w:val="single" w:sz="6" w:space="0" w:color="auto"/>
              <w:left w:val="single" w:sz="6" w:space="0" w:color="auto"/>
              <w:bottom w:val="single" w:sz="6" w:space="0" w:color="auto"/>
              <w:right w:val="single" w:sz="6" w:space="0" w:color="auto"/>
            </w:tcBorders>
          </w:tcPr>
          <w:p w14:paraId="269FFB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Walking, </w:t>
            </w:r>
          </w:p>
          <w:p w14:paraId="628898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Moderate PA (MPA),</w:t>
            </w:r>
          </w:p>
          <w:p w14:paraId="2D48001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Vigorous PA (VPA); </w:t>
            </w:r>
          </w:p>
          <w:p w14:paraId="3E375F3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minutes/week.</w:t>
            </w:r>
          </w:p>
        </w:tc>
        <w:tc>
          <w:tcPr>
            <w:tcW w:w="3060" w:type="dxa"/>
            <w:gridSpan w:val="2"/>
            <w:tcBorders>
              <w:top w:val="single" w:sz="6" w:space="0" w:color="auto"/>
              <w:left w:val="single" w:sz="6" w:space="0" w:color="auto"/>
              <w:bottom w:val="single" w:sz="6" w:space="0" w:color="auto"/>
              <w:right w:val="single" w:sz="6" w:space="0" w:color="auto"/>
            </w:tcBorders>
          </w:tcPr>
          <w:p w14:paraId="6D4BE4E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Short, modified IPAQ (7-day recall); </w:t>
            </w:r>
          </w:p>
          <w:p w14:paraId="1398F5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time log-transformed for analysis.</w:t>
            </w:r>
          </w:p>
        </w:tc>
        <w:tc>
          <w:tcPr>
            <w:tcW w:w="1339" w:type="dxa"/>
            <w:tcBorders>
              <w:top w:val="single" w:sz="6" w:space="0" w:color="auto"/>
              <w:left w:val="single" w:sz="6" w:space="0" w:color="auto"/>
              <w:bottom w:val="single" w:sz="6" w:space="0" w:color="auto"/>
              <w:right w:val="single" w:sz="6" w:space="0" w:color="auto"/>
            </w:tcBorders>
          </w:tcPr>
          <w:p w14:paraId="6E20D76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CF3651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207B622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education, </w:t>
            </w:r>
          </w:p>
          <w:p w14:paraId="387150C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level, </w:t>
            </w:r>
          </w:p>
          <w:p w14:paraId="6E35B2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car ownership.</w:t>
            </w:r>
          </w:p>
        </w:tc>
        <w:tc>
          <w:tcPr>
            <w:tcW w:w="1170" w:type="dxa"/>
            <w:tcBorders>
              <w:top w:val="single" w:sz="6" w:space="0" w:color="auto"/>
              <w:left w:val="single" w:sz="6" w:space="0" w:color="auto"/>
              <w:bottom w:val="single" w:sz="6" w:space="0" w:color="auto"/>
              <w:right w:val="single" w:sz="6" w:space="0" w:color="auto"/>
            </w:tcBorders>
          </w:tcPr>
          <w:p w14:paraId="1CFF2D7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 (β)</w:t>
            </w:r>
          </w:p>
        </w:tc>
        <w:tc>
          <w:tcPr>
            <w:tcW w:w="3960" w:type="dxa"/>
            <w:gridSpan w:val="3"/>
            <w:tcBorders>
              <w:top w:val="single" w:sz="6" w:space="0" w:color="auto"/>
              <w:left w:val="single" w:sz="6" w:space="0" w:color="auto"/>
              <w:bottom w:val="single" w:sz="6" w:space="0" w:color="auto"/>
              <w:right w:val="single" w:sz="6" w:space="0" w:color="auto"/>
            </w:tcBorders>
          </w:tcPr>
          <w:p w14:paraId="047F54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400 m buffer:</w:t>
            </w:r>
          </w:p>
          <w:p w14:paraId="23E0E1D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VPA: −0.049 (95% CI: −0.003, 0.001)</w:t>
            </w:r>
          </w:p>
          <w:p w14:paraId="0543EEC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MPA: 0.067 (95% CI: −0.001, 0.008)</w:t>
            </w:r>
          </w:p>
          <w:p w14:paraId="1A2B6E8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Walking: −0.076 (95% CI: −0.005, 0.001)</w:t>
            </w:r>
          </w:p>
          <w:p w14:paraId="0F3C1A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0FBEF7A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800 m buffer:</w:t>
            </w:r>
          </w:p>
          <w:p w14:paraId="2C2F803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VPA: −0.072 (95% CI: −0.001, 0.000)</w:t>
            </w:r>
          </w:p>
          <w:p w14:paraId="35574A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MPA: 0.034 (95% CI: −0.001, 0.002)</w:t>
            </w:r>
          </w:p>
          <w:p w14:paraId="70E40FB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Walking: −0.091 (95% CI: −0.002, 0.000)</w:t>
            </w:r>
          </w:p>
          <w:p w14:paraId="783CCB5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4F5157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1200 m buffer:</w:t>
            </w:r>
          </w:p>
          <w:p w14:paraId="7E97427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VPA: −0.007 (95% CI: 0.000, 0.000)</w:t>
            </w:r>
          </w:p>
          <w:p w14:paraId="0BDE7F9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MPA: −0.007 (95% CI: −0.001, 0.001)</w:t>
            </w:r>
          </w:p>
          <w:p w14:paraId="71D1971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Walking: −0.050 (95% CI: −0.001, 0.000)</w:t>
            </w:r>
          </w:p>
          <w:p w14:paraId="109E92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E6F61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1600 m buffer:</w:t>
            </w:r>
          </w:p>
          <w:p w14:paraId="01F88D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VPA: −0.072 (95% CI: 0.000, 0.000)</w:t>
            </w:r>
          </w:p>
          <w:p w14:paraId="376B765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MPA: −0.034 (95% CI: −0.001, 0.000)</w:t>
            </w:r>
          </w:p>
          <w:p w14:paraId="30A74B7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Walking: −0.043 (95% CI: 0.000, 0.000)</w:t>
            </w:r>
          </w:p>
        </w:tc>
        <w:tc>
          <w:tcPr>
            <w:tcW w:w="1620" w:type="dxa"/>
            <w:tcBorders>
              <w:top w:val="single" w:sz="6" w:space="0" w:color="auto"/>
              <w:left w:val="single" w:sz="6" w:space="0" w:color="auto"/>
              <w:bottom w:val="single" w:sz="6" w:space="0" w:color="auto"/>
              <w:right w:val="single" w:sz="6" w:space="0" w:color="auto"/>
            </w:tcBorders>
          </w:tcPr>
          <w:p w14:paraId="1D05C6C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Overall sample (without slope stratification):</w:t>
            </w:r>
          </w:p>
          <w:p w14:paraId="01A797E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 (30 m, 400–1600 m buffers) was not significantly associated with total PA time, walking, MPA, or VPA at the 95% CI level. </w:t>
            </w:r>
          </w:p>
          <w:p w14:paraId="157A9FE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C5542D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Slope-stratified results:</w:t>
            </w:r>
          </w:p>
          <w:p w14:paraId="0DF273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94CD1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Steep slopes (400 m buffer): NDVI was negatively associated with VPA.</w:t>
            </w:r>
          </w:p>
          <w:p w14:paraId="030F458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7BEA480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Gentle slopes (800 m buffer): NDVI was negatively correlated with VPA.</w:t>
            </w:r>
          </w:p>
        </w:tc>
      </w:tr>
      <w:tr w:rsidR="004301B5" w:rsidRPr="002D669D" w14:paraId="1EF88FE2" w14:textId="77777777" w:rsidTr="00A136E2">
        <w:trPr>
          <w:trHeight w:val="3216"/>
        </w:trPr>
        <w:tc>
          <w:tcPr>
            <w:tcW w:w="1174" w:type="dxa"/>
            <w:tcBorders>
              <w:top w:val="single" w:sz="6" w:space="0" w:color="auto"/>
              <w:left w:val="single" w:sz="4" w:space="0" w:color="auto"/>
              <w:bottom w:val="single" w:sz="6" w:space="0" w:color="auto"/>
              <w:right w:val="single" w:sz="6" w:space="0" w:color="auto"/>
            </w:tcBorders>
          </w:tcPr>
          <w:p w14:paraId="6814D0D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Xiao et al.,</w:t>
            </w:r>
          </w:p>
          <w:p w14:paraId="019C259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2022</w:t>
            </w:r>
          </w:p>
        </w:tc>
        <w:tc>
          <w:tcPr>
            <w:tcW w:w="899" w:type="dxa"/>
            <w:tcBorders>
              <w:top w:val="single" w:sz="6" w:space="0" w:color="auto"/>
              <w:left w:val="single" w:sz="6" w:space="0" w:color="auto"/>
              <w:bottom w:val="single" w:sz="6" w:space="0" w:color="auto"/>
              <w:right w:val="single" w:sz="6" w:space="0" w:color="auto"/>
            </w:tcBorders>
          </w:tcPr>
          <w:p w14:paraId="5E59E94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3A56BB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2C5F70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4,555 individuals from 23 neighborhoods</w:t>
            </w:r>
          </w:p>
        </w:tc>
        <w:tc>
          <w:tcPr>
            <w:tcW w:w="1350" w:type="dxa"/>
            <w:tcBorders>
              <w:top w:val="single" w:sz="6" w:space="0" w:color="auto"/>
              <w:left w:val="single" w:sz="6" w:space="0" w:color="auto"/>
              <w:bottom w:val="single" w:sz="6" w:space="0" w:color="auto"/>
              <w:right w:val="single" w:sz="6" w:space="0" w:color="auto"/>
            </w:tcBorders>
          </w:tcPr>
          <w:p w14:paraId="646026F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adults</w:t>
            </w:r>
          </w:p>
          <w:p w14:paraId="57C30A9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50–95 years </w:t>
            </w:r>
          </w:p>
          <w:p w14:paraId="707B678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493E8F5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7 satellite</w:t>
            </w:r>
          </w:p>
        </w:tc>
        <w:tc>
          <w:tcPr>
            <w:tcW w:w="994" w:type="dxa"/>
            <w:tcBorders>
              <w:top w:val="single" w:sz="6" w:space="0" w:color="auto"/>
              <w:left w:val="single" w:sz="6" w:space="0" w:color="auto"/>
              <w:bottom w:val="single" w:sz="6" w:space="0" w:color="auto"/>
              <w:right w:val="single" w:sz="6" w:space="0" w:color="auto"/>
            </w:tcBorders>
          </w:tcPr>
          <w:p w14:paraId="000EB1F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4ECEEA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w:t>
            </w:r>
          </w:p>
        </w:tc>
        <w:tc>
          <w:tcPr>
            <w:tcW w:w="1264" w:type="dxa"/>
            <w:tcBorders>
              <w:top w:val="single" w:sz="6" w:space="0" w:color="auto"/>
              <w:left w:val="single" w:sz="6" w:space="0" w:color="auto"/>
              <w:bottom w:val="single" w:sz="6" w:space="0" w:color="auto"/>
              <w:right w:val="single" w:sz="6" w:space="0" w:color="auto"/>
            </w:tcBorders>
          </w:tcPr>
          <w:p w14:paraId="72FA0A0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physical activity (sum of recreational + active transport),</w:t>
            </w:r>
          </w:p>
          <w:p w14:paraId="7D5F7B9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recreational activity, </w:t>
            </w:r>
          </w:p>
          <w:p w14:paraId="53145F6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active transportation (all as energy expenditure).</w:t>
            </w:r>
          </w:p>
        </w:tc>
        <w:tc>
          <w:tcPr>
            <w:tcW w:w="1796" w:type="dxa"/>
            <w:tcBorders>
              <w:top w:val="single" w:sz="6" w:space="0" w:color="auto"/>
              <w:left w:val="single" w:sz="6" w:space="0" w:color="auto"/>
              <w:bottom w:val="single" w:sz="6" w:space="0" w:color="auto"/>
              <w:right w:val="single" w:sz="6" w:space="0" w:color="auto"/>
            </w:tcBorders>
          </w:tcPr>
          <w:p w14:paraId="4F9C40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WHO Global Physical Activity Questionnaire (GPAQ); </w:t>
            </w:r>
          </w:p>
          <w:p w14:paraId="3866C2B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conversion to MET-minutes (4 METs for moderate, 8 METs for vigorous).</w:t>
            </w:r>
          </w:p>
        </w:tc>
        <w:tc>
          <w:tcPr>
            <w:tcW w:w="1264" w:type="dxa"/>
            <w:tcBorders>
              <w:top w:val="single" w:sz="6" w:space="0" w:color="auto"/>
              <w:left w:val="single" w:sz="6" w:space="0" w:color="auto"/>
              <w:bottom w:val="single" w:sz="6" w:space="0" w:color="auto"/>
              <w:right w:val="single" w:sz="6" w:space="0" w:color="auto"/>
            </w:tcBorders>
          </w:tcPr>
          <w:p w14:paraId="5948A2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Multivariate linear regression</w:t>
            </w:r>
          </w:p>
        </w:tc>
        <w:tc>
          <w:tcPr>
            <w:tcW w:w="1339" w:type="dxa"/>
            <w:tcBorders>
              <w:top w:val="single" w:sz="6" w:space="0" w:color="auto"/>
              <w:left w:val="single" w:sz="6" w:space="0" w:color="auto"/>
              <w:bottom w:val="single" w:sz="6" w:space="0" w:color="auto"/>
              <w:right w:val="single" w:sz="6" w:space="0" w:color="auto"/>
            </w:tcBorders>
          </w:tcPr>
          <w:p w14:paraId="528ECEEF" w14:textId="3EA17668"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Self-rated health </w:t>
            </w:r>
          </w:p>
          <w:p w14:paraId="4BA576C6" w14:textId="53484381"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25CA5C81" w14:textId="16528FE5"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5F4B7AC8" w14:textId="78670A7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6DB23427" w14:textId="2409AC5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job</w:t>
            </w:r>
          </w:p>
          <w:p w14:paraId="6887B2C7" w14:textId="222513C5"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income</w:t>
            </w:r>
          </w:p>
          <w:p w14:paraId="38E26AD0" w14:textId="03742CB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age </w:t>
            </w:r>
          </w:p>
          <w:p w14:paraId="61288454" w14:textId="1AE3E1D0"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road density</w:t>
            </w:r>
          </w:p>
          <w:p w14:paraId="6A697164" w14:textId="2342E72D"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public transportation proximity </w:t>
            </w:r>
          </w:p>
          <w:p w14:paraId="6A2FF23A" w14:textId="58AB7E64"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 area,</w:t>
            </w:r>
          </w:p>
          <w:p w14:paraId="7982CCA8" w14:textId="1210720F"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land-use mix </w:t>
            </w:r>
          </w:p>
        </w:tc>
        <w:tc>
          <w:tcPr>
            <w:tcW w:w="1170" w:type="dxa"/>
            <w:tcBorders>
              <w:top w:val="single" w:sz="6" w:space="0" w:color="auto"/>
              <w:left w:val="single" w:sz="6" w:space="0" w:color="auto"/>
              <w:bottom w:val="single" w:sz="6" w:space="0" w:color="auto"/>
              <w:right w:val="single" w:sz="6" w:space="0" w:color="auto"/>
            </w:tcBorders>
          </w:tcPr>
          <w:p w14:paraId="29F23C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OLS coefficients with t-values</w:t>
            </w:r>
          </w:p>
        </w:tc>
        <w:tc>
          <w:tcPr>
            <w:tcW w:w="1440" w:type="dxa"/>
            <w:tcBorders>
              <w:top w:val="single" w:sz="6" w:space="0" w:color="auto"/>
              <w:left w:val="single" w:sz="6" w:space="0" w:color="auto"/>
              <w:bottom w:val="single" w:sz="6" w:space="0" w:color="auto"/>
              <w:right w:val="single" w:sz="6" w:space="0" w:color="auto"/>
            </w:tcBorders>
          </w:tcPr>
          <w:p w14:paraId="4CFC2B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OLS (Table 2):</w:t>
            </w:r>
          </w:p>
          <w:p w14:paraId="010C3FE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PA: 450.784 (t=2.83) **; Recreation: 249.148 (t=2.24) *; Active transportation: 202.747 (t=1.94) (ns). </w:t>
            </w:r>
          </w:p>
          <w:p w14:paraId="4DFB706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7EC3436" w14:textId="63B7F46E"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2520" w:type="dxa"/>
            <w:gridSpan w:val="2"/>
            <w:tcBorders>
              <w:top w:val="single" w:sz="6" w:space="0" w:color="auto"/>
              <w:left w:val="single" w:sz="6" w:space="0" w:color="auto"/>
              <w:bottom w:val="single" w:sz="6" w:space="0" w:color="auto"/>
              <w:right w:val="single" w:sz="6" w:space="0" w:color="auto"/>
            </w:tcBorders>
          </w:tcPr>
          <w:p w14:paraId="2B9BBE2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OLS: t-values only; CIs/SEs not reported in Table 2. </w:t>
            </w:r>
          </w:p>
          <w:p w14:paraId="10DAC36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3386E2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Two-part (logit): Total PA 0.974 (CI −11.07, 13.02), SE 6.146; Recreation 3.801 (CI −4.56, 12.16), SE 4.267; Active transportation −3.301 (CI −17.72, 11.12), SE 7.358. </w:t>
            </w:r>
          </w:p>
          <w:p w14:paraId="58B55FD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412A027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Two-part (gamma): Total PA −0.010 (CI −0.02, 0), SE 0.007; Recreation −0.001 (CI −0.02, 0.02), SE 0.008; Active transportation −0.020 (CI −0.04, 0), SE 0.010.</w:t>
            </w:r>
          </w:p>
        </w:tc>
        <w:tc>
          <w:tcPr>
            <w:tcW w:w="1620" w:type="dxa"/>
            <w:tcBorders>
              <w:top w:val="single" w:sz="6" w:space="0" w:color="auto"/>
              <w:left w:val="single" w:sz="6" w:space="0" w:color="auto"/>
              <w:bottom w:val="single" w:sz="6" w:space="0" w:color="auto"/>
              <w:right w:val="single" w:sz="6" w:space="0" w:color="auto"/>
            </w:tcBorders>
          </w:tcPr>
          <w:p w14:paraId="03AD36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OLS: Positive for total and recreation; positive but non-significant for active transportation. </w:t>
            </w:r>
          </w:p>
          <w:p w14:paraId="270D80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4C0CB7E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Two-part: No significant association; gamma part estimates are small and negative (CIs cross 0).</w:t>
            </w:r>
          </w:p>
        </w:tc>
      </w:tr>
      <w:tr w:rsidR="004301B5" w:rsidRPr="002D669D" w14:paraId="11AC0A30" w14:textId="77777777" w:rsidTr="00711AB9">
        <w:trPr>
          <w:trHeight w:val="2685"/>
        </w:trPr>
        <w:tc>
          <w:tcPr>
            <w:tcW w:w="1174" w:type="dxa"/>
            <w:tcBorders>
              <w:top w:val="single" w:sz="6" w:space="0" w:color="auto"/>
              <w:left w:val="single" w:sz="4" w:space="0" w:color="auto"/>
              <w:bottom w:val="single" w:sz="6" w:space="0" w:color="auto"/>
              <w:right w:val="single" w:sz="6" w:space="0" w:color="auto"/>
            </w:tcBorders>
          </w:tcPr>
          <w:p w14:paraId="6C42C5E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Pasanen et al.,</w:t>
            </w:r>
          </w:p>
          <w:p w14:paraId="58AF82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2022</w:t>
            </w:r>
          </w:p>
        </w:tc>
        <w:tc>
          <w:tcPr>
            <w:tcW w:w="899" w:type="dxa"/>
            <w:tcBorders>
              <w:top w:val="single" w:sz="6" w:space="0" w:color="auto"/>
              <w:left w:val="single" w:sz="6" w:space="0" w:color="auto"/>
              <w:bottom w:val="single" w:sz="6" w:space="0" w:color="auto"/>
              <w:right w:val="single" w:sz="6" w:space="0" w:color="auto"/>
            </w:tcBorders>
          </w:tcPr>
          <w:p w14:paraId="6031B9F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Finland.</w:t>
            </w:r>
          </w:p>
        </w:tc>
        <w:tc>
          <w:tcPr>
            <w:tcW w:w="1079" w:type="dxa"/>
            <w:tcBorders>
              <w:top w:val="single" w:sz="6" w:space="0" w:color="auto"/>
              <w:left w:val="single" w:sz="6" w:space="0" w:color="auto"/>
              <w:bottom w:val="single" w:sz="6" w:space="0" w:color="auto"/>
              <w:right w:val="single" w:sz="6" w:space="0" w:color="auto"/>
            </w:tcBorders>
          </w:tcPr>
          <w:p w14:paraId="6EB7194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w:t>
            </w:r>
          </w:p>
        </w:tc>
        <w:tc>
          <w:tcPr>
            <w:tcW w:w="990" w:type="dxa"/>
            <w:tcBorders>
              <w:top w:val="single" w:sz="6" w:space="0" w:color="auto"/>
              <w:left w:val="single" w:sz="6" w:space="0" w:color="auto"/>
              <w:bottom w:val="single" w:sz="6" w:space="0" w:color="auto"/>
              <w:right w:val="single" w:sz="6" w:space="0" w:color="auto"/>
            </w:tcBorders>
          </w:tcPr>
          <w:p w14:paraId="0151CA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 = 45 participants.</w:t>
            </w:r>
          </w:p>
          <w:p w14:paraId="39E4C15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537 valid measurement days.</w:t>
            </w:r>
          </w:p>
        </w:tc>
        <w:tc>
          <w:tcPr>
            <w:tcW w:w="1350" w:type="dxa"/>
            <w:tcBorders>
              <w:top w:val="single" w:sz="6" w:space="0" w:color="auto"/>
              <w:left w:val="single" w:sz="6" w:space="0" w:color="auto"/>
              <w:bottom w:val="single" w:sz="6" w:space="0" w:color="auto"/>
              <w:right w:val="single" w:sz="6" w:space="0" w:color="auto"/>
            </w:tcBorders>
          </w:tcPr>
          <w:p w14:paraId="17DA35B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Recent retirees</w:t>
            </w:r>
          </w:p>
          <w:p w14:paraId="294BB69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age 64.8 years</w:t>
            </w:r>
          </w:p>
        </w:tc>
        <w:tc>
          <w:tcPr>
            <w:tcW w:w="1440" w:type="dxa"/>
            <w:tcBorders>
              <w:top w:val="single" w:sz="6" w:space="0" w:color="auto"/>
              <w:left w:val="single" w:sz="6" w:space="0" w:color="auto"/>
              <w:bottom w:val="single" w:sz="6" w:space="0" w:color="auto"/>
              <w:right w:val="single" w:sz="6" w:space="0" w:color="auto"/>
            </w:tcBorders>
          </w:tcPr>
          <w:p w14:paraId="58A8F4D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OLI satellite images</w:t>
            </w:r>
          </w:p>
        </w:tc>
        <w:tc>
          <w:tcPr>
            <w:tcW w:w="994" w:type="dxa"/>
            <w:tcBorders>
              <w:top w:val="single" w:sz="6" w:space="0" w:color="auto"/>
              <w:left w:val="single" w:sz="6" w:space="0" w:color="auto"/>
              <w:bottom w:val="single" w:sz="6" w:space="0" w:color="auto"/>
              <w:right w:val="single" w:sz="6" w:space="0" w:color="auto"/>
            </w:tcBorders>
          </w:tcPr>
          <w:p w14:paraId="64C657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66" w:type="dxa"/>
            <w:tcBorders>
              <w:top w:val="single" w:sz="6" w:space="0" w:color="auto"/>
              <w:left w:val="single" w:sz="6" w:space="0" w:color="auto"/>
              <w:bottom w:val="single" w:sz="6" w:space="0" w:color="auto"/>
              <w:right w:val="single" w:sz="6" w:space="0" w:color="auto"/>
            </w:tcBorders>
          </w:tcPr>
          <w:p w14:paraId="280EA02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1250 m</w:t>
            </w:r>
          </w:p>
        </w:tc>
        <w:tc>
          <w:tcPr>
            <w:tcW w:w="1264" w:type="dxa"/>
            <w:tcBorders>
              <w:top w:val="single" w:sz="6" w:space="0" w:color="auto"/>
              <w:left w:val="single" w:sz="6" w:space="0" w:color="auto"/>
              <w:bottom w:val="single" w:sz="6" w:space="0" w:color="auto"/>
              <w:right w:val="single" w:sz="6" w:space="0" w:color="auto"/>
            </w:tcBorders>
          </w:tcPr>
          <w:p w14:paraId="5422A0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Minutes/day of total PA,</w:t>
            </w:r>
          </w:p>
          <w:p w14:paraId="4F735DE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light PA, </w:t>
            </w:r>
          </w:p>
          <w:p w14:paraId="17E580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and MVPA; </w:t>
            </w:r>
          </w:p>
          <w:p w14:paraId="5A87CF9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also by context (home vs. non-home; active vs. passive travel).</w:t>
            </w:r>
          </w:p>
        </w:tc>
        <w:tc>
          <w:tcPr>
            <w:tcW w:w="1796" w:type="dxa"/>
            <w:tcBorders>
              <w:top w:val="single" w:sz="6" w:space="0" w:color="auto"/>
              <w:left w:val="single" w:sz="6" w:space="0" w:color="auto"/>
              <w:bottom w:val="single" w:sz="6" w:space="0" w:color="auto"/>
              <w:right w:val="single" w:sz="6" w:space="0" w:color="auto"/>
            </w:tcBorders>
          </w:tcPr>
          <w:p w14:paraId="273479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Waist-worn SenseDoc 2.0 (accelerometer 80 Hz; GPS 1 Hz);</w:t>
            </w:r>
          </w:p>
        </w:tc>
        <w:tc>
          <w:tcPr>
            <w:tcW w:w="1264" w:type="dxa"/>
            <w:tcBorders>
              <w:top w:val="single" w:sz="6" w:space="0" w:color="auto"/>
              <w:left w:val="single" w:sz="6" w:space="0" w:color="auto"/>
              <w:bottom w:val="single" w:sz="6" w:space="0" w:color="auto"/>
              <w:right w:val="single" w:sz="6" w:space="0" w:color="auto"/>
            </w:tcBorders>
          </w:tcPr>
          <w:p w14:paraId="232317B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w:t>
            </w:r>
          </w:p>
        </w:tc>
        <w:tc>
          <w:tcPr>
            <w:tcW w:w="2509" w:type="dxa"/>
            <w:gridSpan w:val="2"/>
            <w:tcBorders>
              <w:top w:val="single" w:sz="6" w:space="0" w:color="auto"/>
              <w:left w:val="single" w:sz="6" w:space="0" w:color="auto"/>
              <w:bottom w:val="single" w:sz="6" w:space="0" w:color="auto"/>
              <w:right w:val="single" w:sz="6" w:space="0" w:color="auto"/>
            </w:tcBorders>
          </w:tcPr>
          <w:p w14:paraId="1451045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032087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11F72F5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wear time, </w:t>
            </w:r>
          </w:p>
          <w:p w14:paraId="52DF19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measurement season </w:t>
            </w:r>
          </w:p>
          <w:p w14:paraId="53DE999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occupational status, </w:t>
            </w:r>
          </w:p>
          <w:p w14:paraId="1DB7753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socioeconomic disadvantage</w:t>
            </w:r>
          </w:p>
          <w:p w14:paraId="2218E21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2FA6C37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mobility limitations </w:t>
            </w:r>
          </w:p>
        </w:tc>
        <w:tc>
          <w:tcPr>
            <w:tcW w:w="2790" w:type="dxa"/>
            <w:gridSpan w:val="2"/>
            <w:tcBorders>
              <w:top w:val="single" w:sz="6" w:space="0" w:color="auto"/>
              <w:left w:val="single" w:sz="6" w:space="0" w:color="auto"/>
              <w:bottom w:val="single" w:sz="6" w:space="0" w:color="auto"/>
              <w:right w:val="single" w:sz="6" w:space="0" w:color="auto"/>
            </w:tcBorders>
          </w:tcPr>
          <w:p w14:paraId="2BA61CD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By residential greenness (Model 3 mean change over 1-year):</w:t>
            </w:r>
          </w:p>
          <w:p w14:paraId="1EACAE0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Low greenness: +3.6 min/day MVPA (95% CL −4.4, 11.6)</w:t>
            </w:r>
          </w:p>
          <w:p w14:paraId="619C57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Moderate greenness: +14.4 (7.4, 21.3)</w:t>
            </w:r>
          </w:p>
          <w:p w14:paraId="45C341E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High greenness: +28.1 (14.0, 42.3)</w:t>
            </w:r>
          </w:p>
          <w:p w14:paraId="6EC4ABC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 for Time×Greenness interaction = 0.04. (Table 3)</w:t>
            </w:r>
          </w:p>
        </w:tc>
        <w:tc>
          <w:tcPr>
            <w:tcW w:w="1170" w:type="dxa"/>
            <w:tcBorders>
              <w:top w:val="single" w:sz="6" w:space="0" w:color="auto"/>
              <w:left w:val="single" w:sz="6" w:space="0" w:color="auto"/>
              <w:bottom w:val="single" w:sz="6" w:space="0" w:color="auto"/>
              <w:right w:val="single" w:sz="6" w:space="0" w:color="auto"/>
            </w:tcBorders>
          </w:tcPr>
          <w:p w14:paraId="0A00236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MVPA increase overall P&lt;0.001; </w:t>
            </w:r>
          </w:p>
          <w:p w14:paraId="425BF6E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active-travel MVPA P=0.03; </w:t>
            </w:r>
          </w:p>
          <w:p w14:paraId="5D1C8BE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active-travel light PA P=0.01; </w:t>
            </w:r>
          </w:p>
          <w:p w14:paraId="2B302A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Time×Greenness interaction for MVPA P=0.04.</w:t>
            </w:r>
          </w:p>
        </w:tc>
        <w:tc>
          <w:tcPr>
            <w:tcW w:w="1620" w:type="dxa"/>
            <w:tcBorders>
              <w:top w:val="single" w:sz="6" w:space="0" w:color="auto"/>
              <w:left w:val="single" w:sz="6" w:space="0" w:color="auto"/>
              <w:bottom w:val="single" w:sz="6" w:space="0" w:color="auto"/>
              <w:right w:val="single" w:sz="6" w:space="0" w:color="auto"/>
            </w:tcBorders>
          </w:tcPr>
          <w:p w14:paraId="71E5286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p w14:paraId="7F4B95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—participants in greener areas had higher PA at baseline and greater MVPA increases over 1 year, with the largest gain in the highest-greenness group.</w:t>
            </w:r>
          </w:p>
        </w:tc>
      </w:tr>
      <w:tr w:rsidR="004301B5" w:rsidRPr="002D669D" w14:paraId="2138FAB1" w14:textId="77777777" w:rsidTr="00711AB9">
        <w:trPr>
          <w:trHeight w:val="3045"/>
        </w:trPr>
        <w:tc>
          <w:tcPr>
            <w:tcW w:w="1174" w:type="dxa"/>
            <w:tcBorders>
              <w:top w:val="single" w:sz="6" w:space="0" w:color="auto"/>
              <w:left w:val="single" w:sz="4" w:space="0" w:color="auto"/>
              <w:bottom w:val="single" w:sz="6" w:space="0" w:color="auto"/>
              <w:right w:val="single" w:sz="6" w:space="0" w:color="auto"/>
            </w:tcBorders>
          </w:tcPr>
          <w:p w14:paraId="3F58897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 xml:space="preserve"> Mueller et al.,</w:t>
            </w:r>
          </w:p>
          <w:p w14:paraId="429D66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9" w:type="dxa"/>
            <w:tcBorders>
              <w:top w:val="single" w:sz="6" w:space="0" w:color="auto"/>
              <w:left w:val="single" w:sz="6" w:space="0" w:color="auto"/>
              <w:bottom w:val="single" w:sz="6" w:space="0" w:color="auto"/>
              <w:right w:val="single" w:sz="6" w:space="0" w:color="auto"/>
            </w:tcBorders>
          </w:tcPr>
          <w:p w14:paraId="2B71398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p w14:paraId="31B8B6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Netherlands</w:t>
            </w:r>
          </w:p>
          <w:p w14:paraId="163A56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Greece</w:t>
            </w:r>
          </w:p>
        </w:tc>
        <w:tc>
          <w:tcPr>
            <w:tcW w:w="1079" w:type="dxa"/>
            <w:tcBorders>
              <w:top w:val="single" w:sz="6" w:space="0" w:color="auto"/>
              <w:left w:val="single" w:sz="6" w:space="0" w:color="auto"/>
              <w:bottom w:val="single" w:sz="6" w:space="0" w:color="auto"/>
              <w:right w:val="single" w:sz="6" w:space="0" w:color="auto"/>
            </w:tcBorders>
          </w:tcPr>
          <w:p w14:paraId="57115DB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5046484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118 individuals. </w:t>
            </w:r>
          </w:p>
          <w:p w14:paraId="3350524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50" w:type="dxa"/>
            <w:tcBorders>
              <w:top w:val="single" w:sz="6" w:space="0" w:color="auto"/>
              <w:left w:val="single" w:sz="6" w:space="0" w:color="auto"/>
              <w:bottom w:val="single" w:sz="6" w:space="0" w:color="auto"/>
              <w:right w:val="single" w:sz="6" w:space="0" w:color="auto"/>
            </w:tcBorders>
          </w:tcPr>
          <w:p w14:paraId="2B70DF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(≥18) living in households with a child &lt;3 years</w:t>
            </w:r>
          </w:p>
          <w:p w14:paraId="243D37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5B79DAF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Sentinel-2 satellite imagery</w:t>
            </w:r>
          </w:p>
        </w:tc>
        <w:tc>
          <w:tcPr>
            <w:tcW w:w="994" w:type="dxa"/>
            <w:tcBorders>
              <w:top w:val="single" w:sz="6" w:space="0" w:color="auto"/>
              <w:left w:val="single" w:sz="6" w:space="0" w:color="auto"/>
              <w:bottom w:val="single" w:sz="6" w:space="0" w:color="auto"/>
              <w:right w:val="single" w:sz="6" w:space="0" w:color="auto"/>
            </w:tcBorders>
          </w:tcPr>
          <w:p w14:paraId="6CD1081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 m</w:t>
            </w:r>
          </w:p>
        </w:tc>
        <w:tc>
          <w:tcPr>
            <w:tcW w:w="1166" w:type="dxa"/>
            <w:tcBorders>
              <w:top w:val="single" w:sz="6" w:space="0" w:color="auto"/>
              <w:left w:val="single" w:sz="6" w:space="0" w:color="auto"/>
              <w:bottom w:val="single" w:sz="6" w:space="0" w:color="auto"/>
              <w:right w:val="single" w:sz="6" w:space="0" w:color="auto"/>
            </w:tcBorders>
          </w:tcPr>
          <w:p w14:paraId="2A316C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Residential buffers: </w:t>
            </w:r>
          </w:p>
          <w:p w14:paraId="451939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300 m and 1,000 m around home. </w:t>
            </w:r>
          </w:p>
          <w:p w14:paraId="73AFD0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Trip-route buffers: </w:t>
            </w:r>
          </w:p>
          <w:p w14:paraId="3AD5A14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 m along walking/cycling routes.</w:t>
            </w:r>
          </w:p>
        </w:tc>
        <w:tc>
          <w:tcPr>
            <w:tcW w:w="1264" w:type="dxa"/>
            <w:tcBorders>
              <w:top w:val="single" w:sz="6" w:space="0" w:color="auto"/>
              <w:left w:val="single" w:sz="6" w:space="0" w:color="auto"/>
              <w:bottom w:val="single" w:sz="6" w:space="0" w:color="auto"/>
              <w:right w:val="single" w:sz="6" w:space="0" w:color="auto"/>
            </w:tcBorders>
          </w:tcPr>
          <w:p w14:paraId="30994C9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Daily minutes of MVPA (Fitbit-derived).</w:t>
            </w:r>
          </w:p>
          <w:p w14:paraId="041C9D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(2) Trip-level MET-minutes (Moves app) for walking/cycling trips.</w:t>
            </w:r>
          </w:p>
        </w:tc>
        <w:tc>
          <w:tcPr>
            <w:tcW w:w="1796" w:type="dxa"/>
            <w:tcBorders>
              <w:top w:val="single" w:sz="6" w:space="0" w:color="auto"/>
              <w:left w:val="single" w:sz="6" w:space="0" w:color="auto"/>
              <w:bottom w:val="single" w:sz="6" w:space="0" w:color="auto"/>
              <w:right w:val="single" w:sz="6" w:space="0" w:color="auto"/>
            </w:tcBorders>
          </w:tcPr>
          <w:p w14:paraId="58C1747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Fitbit Flex minutes with ≥100 steps as MVPA; </w:t>
            </w:r>
          </w:p>
          <w:p w14:paraId="109D6E9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Moves app trips with GPS-derived duration/speed and grade;</w:t>
            </w:r>
          </w:p>
          <w:p w14:paraId="02A878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METs assigned using Ainsworth compendium;</w:t>
            </w:r>
          </w:p>
          <w:p w14:paraId="1428E0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MET-minutes = MET×duration.</w:t>
            </w:r>
          </w:p>
        </w:tc>
        <w:tc>
          <w:tcPr>
            <w:tcW w:w="1264" w:type="dxa"/>
            <w:tcBorders>
              <w:top w:val="single" w:sz="6" w:space="0" w:color="auto"/>
              <w:left w:val="single" w:sz="6" w:space="0" w:color="auto"/>
              <w:bottom w:val="single" w:sz="6" w:space="0" w:color="auto"/>
              <w:right w:val="single" w:sz="6" w:space="0" w:color="auto"/>
            </w:tcBorders>
          </w:tcPr>
          <w:p w14:paraId="7F3E4B0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mixed-effects models</w:t>
            </w:r>
          </w:p>
        </w:tc>
        <w:tc>
          <w:tcPr>
            <w:tcW w:w="2509" w:type="dxa"/>
            <w:gridSpan w:val="2"/>
            <w:tcBorders>
              <w:top w:val="single" w:sz="6" w:space="0" w:color="auto"/>
              <w:left w:val="single" w:sz="6" w:space="0" w:color="auto"/>
              <w:bottom w:val="single" w:sz="6" w:space="0" w:color="auto"/>
              <w:right w:val="single" w:sz="6" w:space="0" w:color="auto"/>
            </w:tcBorders>
          </w:tcPr>
          <w:p w14:paraId="13D1CB9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27B938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09D6922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season, </w:t>
            </w:r>
          </w:p>
          <w:p w14:paraId="07B2D2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bluespace; </w:t>
            </w:r>
          </w:p>
          <w:p w14:paraId="72348A5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plus education, </w:t>
            </w:r>
          </w:p>
          <w:p w14:paraId="64AC0E9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employment, </w:t>
            </w:r>
          </w:p>
          <w:p w14:paraId="37B868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 score (walkability), </w:t>
            </w:r>
          </w:p>
          <w:p w14:paraId="388953E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car ownership, </w:t>
            </w:r>
          </w:p>
          <w:p w14:paraId="0765097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dog ownership;</w:t>
            </w:r>
          </w:p>
          <w:p w14:paraId="4A2891F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for trips also weekday and local weather; </w:t>
            </w:r>
          </w:p>
          <w:p w14:paraId="1175718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models additionally accounted for residential greenspace.</w:t>
            </w:r>
          </w:p>
        </w:tc>
        <w:tc>
          <w:tcPr>
            <w:tcW w:w="2790" w:type="dxa"/>
            <w:gridSpan w:val="2"/>
            <w:tcBorders>
              <w:top w:val="single" w:sz="6" w:space="0" w:color="auto"/>
              <w:left w:val="single" w:sz="6" w:space="0" w:color="auto"/>
              <w:bottom w:val="single" w:sz="6" w:space="0" w:color="auto"/>
              <w:right w:val="single" w:sz="6" w:space="0" w:color="auto"/>
            </w:tcBorders>
          </w:tcPr>
          <w:p w14:paraId="6190062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Residential NDVI → daily MVPA (minutes/day):</w:t>
            </w:r>
          </w:p>
          <w:p w14:paraId="6D47F687" w14:textId="6AD5886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300 m: +1.14 (95% CI −0.41, 2.70)</w:t>
            </w:r>
          </w:p>
          <w:p w14:paraId="5BDB0549" w14:textId="0341AE4B"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1,000 m: +0.39 (95% CI −1.09, 1.86) </w:t>
            </w:r>
          </w:p>
          <w:p w14:paraId="7C66B3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Trip-route NDVI → MET-minutes per trip (overall and by mode):</w:t>
            </w:r>
          </w:p>
          <w:p w14:paraId="0B064032" w14:textId="5F45D016"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Overall: +10.41 (95% CI 4.43, 16.39)</w:t>
            </w:r>
          </w:p>
          <w:p w14:paraId="09D978D6" w14:textId="5F88EF4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+7.81 (95% CI 4.12, 11.50)</w:t>
            </w:r>
          </w:p>
          <w:p w14:paraId="76FD65D5" w14:textId="68BFAC6D"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Cycling: +15.53 (95% CI 8.60, 22.45)</w:t>
            </w:r>
          </w:p>
        </w:tc>
        <w:tc>
          <w:tcPr>
            <w:tcW w:w="1170" w:type="dxa"/>
            <w:tcBorders>
              <w:top w:val="single" w:sz="6" w:space="0" w:color="auto"/>
              <w:left w:val="single" w:sz="6" w:space="0" w:color="auto"/>
              <w:bottom w:val="single" w:sz="6" w:space="0" w:color="auto"/>
              <w:right w:val="single" w:sz="6" w:space="0" w:color="auto"/>
            </w:tcBorders>
          </w:tcPr>
          <w:p w14:paraId="7238902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620" w:type="dxa"/>
            <w:tcBorders>
              <w:top w:val="single" w:sz="6" w:space="0" w:color="auto"/>
              <w:left w:val="single" w:sz="6" w:space="0" w:color="auto"/>
              <w:bottom w:val="single" w:sz="6" w:space="0" w:color="auto"/>
              <w:right w:val="single" w:sz="6" w:space="0" w:color="auto"/>
            </w:tcBorders>
          </w:tcPr>
          <w:p w14:paraId="7EFEA75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Residential NDVI: null (CIs cross 0).</w:t>
            </w:r>
          </w:p>
          <w:p w14:paraId="0A66B4F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Trip-route NDVI: positive associations with trip MET-minutes (stronger for cycling than walking).</w:t>
            </w:r>
          </w:p>
        </w:tc>
      </w:tr>
      <w:tr w:rsidR="004301B5" w:rsidRPr="002D669D" w14:paraId="6C432B16" w14:textId="77777777" w:rsidTr="00A136E2">
        <w:trPr>
          <w:trHeight w:val="2775"/>
        </w:trPr>
        <w:tc>
          <w:tcPr>
            <w:tcW w:w="1174" w:type="dxa"/>
            <w:tcBorders>
              <w:top w:val="single" w:sz="6" w:space="0" w:color="auto"/>
              <w:left w:val="single" w:sz="4" w:space="0" w:color="auto"/>
              <w:bottom w:val="single" w:sz="6" w:space="0" w:color="auto"/>
              <w:right w:val="single" w:sz="6" w:space="0" w:color="auto"/>
            </w:tcBorders>
          </w:tcPr>
          <w:p w14:paraId="76EC85F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García de Jalón et al.,</w:t>
            </w:r>
          </w:p>
          <w:p w14:paraId="6ADB33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9" w:type="dxa"/>
            <w:tcBorders>
              <w:top w:val="single" w:sz="6" w:space="0" w:color="auto"/>
              <w:left w:val="single" w:sz="6" w:space="0" w:color="auto"/>
              <w:bottom w:val="single" w:sz="6" w:space="0" w:color="auto"/>
              <w:right w:val="single" w:sz="6" w:space="0" w:color="auto"/>
            </w:tcBorders>
          </w:tcPr>
          <w:p w14:paraId="7658B9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Spain </w:t>
            </w:r>
          </w:p>
        </w:tc>
        <w:tc>
          <w:tcPr>
            <w:tcW w:w="1079" w:type="dxa"/>
            <w:tcBorders>
              <w:top w:val="single" w:sz="6" w:space="0" w:color="auto"/>
              <w:left w:val="single" w:sz="6" w:space="0" w:color="auto"/>
              <w:bottom w:val="single" w:sz="6" w:space="0" w:color="auto"/>
              <w:right w:val="single" w:sz="6" w:space="0" w:color="auto"/>
            </w:tcBorders>
          </w:tcPr>
          <w:p w14:paraId="44E3637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626CB11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2,063.00</w:t>
            </w:r>
          </w:p>
        </w:tc>
        <w:tc>
          <w:tcPr>
            <w:tcW w:w="1350" w:type="dxa"/>
            <w:tcBorders>
              <w:top w:val="single" w:sz="6" w:space="0" w:color="auto"/>
              <w:left w:val="single" w:sz="6" w:space="0" w:color="auto"/>
              <w:bottom w:val="single" w:sz="6" w:space="0" w:color="auto"/>
              <w:right w:val="single" w:sz="6" w:space="0" w:color="auto"/>
            </w:tcBorders>
          </w:tcPr>
          <w:p w14:paraId="7ED3854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13AD6D5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18–65 years.</w:t>
            </w:r>
          </w:p>
        </w:tc>
        <w:tc>
          <w:tcPr>
            <w:tcW w:w="1440" w:type="dxa"/>
            <w:tcBorders>
              <w:top w:val="single" w:sz="6" w:space="0" w:color="auto"/>
              <w:left w:val="single" w:sz="6" w:space="0" w:color="auto"/>
              <w:bottom w:val="single" w:sz="6" w:space="0" w:color="auto"/>
              <w:right w:val="single" w:sz="6" w:space="0" w:color="auto"/>
            </w:tcBorders>
          </w:tcPr>
          <w:p w14:paraId="7F481CA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Sentinel-2, Landsat 8</w:t>
            </w:r>
          </w:p>
        </w:tc>
        <w:tc>
          <w:tcPr>
            <w:tcW w:w="994" w:type="dxa"/>
            <w:tcBorders>
              <w:top w:val="single" w:sz="6" w:space="0" w:color="auto"/>
              <w:left w:val="single" w:sz="6" w:space="0" w:color="auto"/>
              <w:bottom w:val="single" w:sz="6" w:space="0" w:color="auto"/>
              <w:right w:val="single" w:sz="6" w:space="0" w:color="auto"/>
            </w:tcBorders>
          </w:tcPr>
          <w:p w14:paraId="0C8158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66" w:type="dxa"/>
            <w:tcBorders>
              <w:top w:val="single" w:sz="6" w:space="0" w:color="auto"/>
              <w:left w:val="single" w:sz="6" w:space="0" w:color="auto"/>
              <w:bottom w:val="single" w:sz="6" w:space="0" w:color="auto"/>
              <w:right w:val="single" w:sz="6" w:space="0" w:color="auto"/>
            </w:tcBorders>
          </w:tcPr>
          <w:p w14:paraId="5927CC1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Not applicable; </w:t>
            </w:r>
          </w:p>
          <w:p w14:paraId="66CE56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greenspace indicators were averaged across zip code areas within urban areas and linked to respondents</w:t>
            </w:r>
          </w:p>
        </w:tc>
        <w:tc>
          <w:tcPr>
            <w:tcW w:w="1264" w:type="dxa"/>
            <w:tcBorders>
              <w:top w:val="single" w:sz="6" w:space="0" w:color="auto"/>
              <w:left w:val="single" w:sz="6" w:space="0" w:color="auto"/>
              <w:bottom w:val="single" w:sz="6" w:space="0" w:color="auto"/>
              <w:right w:val="single" w:sz="6" w:space="0" w:color="auto"/>
            </w:tcBorders>
          </w:tcPr>
          <w:p w14:paraId="14E09C3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Days per week of walking,</w:t>
            </w:r>
          </w:p>
          <w:p w14:paraId="07D4E0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moderate, </w:t>
            </w:r>
          </w:p>
          <w:p w14:paraId="0CA689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vigorous activity (IPAQ-SF).</w:t>
            </w:r>
          </w:p>
        </w:tc>
        <w:tc>
          <w:tcPr>
            <w:tcW w:w="1796" w:type="dxa"/>
            <w:tcBorders>
              <w:top w:val="single" w:sz="6" w:space="0" w:color="auto"/>
              <w:left w:val="single" w:sz="6" w:space="0" w:color="auto"/>
              <w:bottom w:val="single" w:sz="6" w:space="0" w:color="auto"/>
              <w:right w:val="single" w:sz="6" w:space="0" w:color="auto"/>
            </w:tcBorders>
          </w:tcPr>
          <w:p w14:paraId="6C084D0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Web-based survey using the IPAQ-SF (short form)</w:t>
            </w:r>
          </w:p>
        </w:tc>
        <w:tc>
          <w:tcPr>
            <w:tcW w:w="1264" w:type="dxa"/>
            <w:tcBorders>
              <w:top w:val="single" w:sz="6" w:space="0" w:color="auto"/>
              <w:left w:val="single" w:sz="6" w:space="0" w:color="auto"/>
              <w:bottom w:val="single" w:sz="6" w:space="0" w:color="auto"/>
              <w:right w:val="single" w:sz="6" w:space="0" w:color="auto"/>
            </w:tcBorders>
          </w:tcPr>
          <w:p w14:paraId="158006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linear mixed modelling</w:t>
            </w:r>
          </w:p>
        </w:tc>
        <w:tc>
          <w:tcPr>
            <w:tcW w:w="1339" w:type="dxa"/>
            <w:tcBorders>
              <w:top w:val="single" w:sz="6" w:space="0" w:color="auto"/>
              <w:left w:val="single" w:sz="6" w:space="0" w:color="auto"/>
              <w:bottom w:val="single" w:sz="6" w:space="0" w:color="auto"/>
              <w:right w:val="single" w:sz="6" w:space="0" w:color="auto"/>
            </w:tcBorders>
          </w:tcPr>
          <w:p w14:paraId="6B8600D7" w14:textId="4733EF25"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 group</w:t>
            </w:r>
          </w:p>
          <w:p w14:paraId="0EDB159F" w14:textId="3C14F2CB"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05D91C41" w14:textId="0AB3348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environmental personal norms </w:t>
            </w:r>
          </w:p>
          <w:p w14:paraId="751D928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household income; </w:t>
            </w:r>
          </w:p>
          <w:p w14:paraId="0A8AFF44" w14:textId="17F316A2"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thermal comfort preference</w:t>
            </w:r>
          </w:p>
          <w:p w14:paraId="116F8C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car use to go hiking; </w:t>
            </w:r>
          </w:p>
          <w:p w14:paraId="7F6AF85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importance of being healthy;</w:t>
            </w:r>
          </w:p>
          <w:p w14:paraId="45C59A5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rural vs. urban residence;</w:t>
            </w:r>
          </w:p>
          <w:p w14:paraId="48BEBDC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children in household</w:t>
            </w:r>
          </w:p>
        </w:tc>
        <w:tc>
          <w:tcPr>
            <w:tcW w:w="1170" w:type="dxa"/>
            <w:tcBorders>
              <w:top w:val="single" w:sz="6" w:space="0" w:color="auto"/>
              <w:left w:val="single" w:sz="6" w:space="0" w:color="auto"/>
              <w:bottom w:val="single" w:sz="6" w:space="0" w:color="auto"/>
              <w:right w:val="single" w:sz="6" w:space="0" w:color="auto"/>
            </w:tcBorders>
          </w:tcPr>
          <w:p w14:paraId="5882F0F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Binomial regression coefficient</w:t>
            </w:r>
          </w:p>
        </w:tc>
        <w:tc>
          <w:tcPr>
            <w:tcW w:w="1440" w:type="dxa"/>
            <w:tcBorders>
              <w:top w:val="single" w:sz="6" w:space="0" w:color="auto"/>
              <w:left w:val="single" w:sz="6" w:space="0" w:color="auto"/>
              <w:bottom w:val="single" w:sz="6" w:space="0" w:color="auto"/>
              <w:right w:val="single" w:sz="6" w:space="0" w:color="auto"/>
            </w:tcBorders>
          </w:tcPr>
          <w:p w14:paraId="326297E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β = 0.45 for NDVI (walking); </w:t>
            </w:r>
          </w:p>
          <w:p w14:paraId="0B6B76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 surface and tree cover not significant for walking at p&lt;0.01;</w:t>
            </w:r>
          </w:p>
          <w:p w14:paraId="34B796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no significant NDVI effects for moderate/vigorous days.</w:t>
            </w:r>
          </w:p>
        </w:tc>
        <w:tc>
          <w:tcPr>
            <w:tcW w:w="1350" w:type="dxa"/>
            <w:tcBorders>
              <w:top w:val="single" w:sz="6" w:space="0" w:color="auto"/>
              <w:left w:val="single" w:sz="6" w:space="0" w:color="auto"/>
              <w:bottom w:val="single" w:sz="6" w:space="0" w:color="auto"/>
              <w:right w:val="single" w:sz="6" w:space="0" w:color="auto"/>
            </w:tcBorders>
          </w:tcPr>
          <w:p w14:paraId="0208B11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70" w:type="dxa"/>
            <w:tcBorders>
              <w:top w:val="single" w:sz="6" w:space="0" w:color="auto"/>
              <w:left w:val="single" w:sz="6" w:space="0" w:color="auto"/>
              <w:bottom w:val="single" w:sz="6" w:space="0" w:color="auto"/>
              <w:right w:val="single" w:sz="6" w:space="0" w:color="auto"/>
            </w:tcBorders>
          </w:tcPr>
          <w:p w14:paraId="227F4F9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 &lt; 0.01 </w:t>
            </w:r>
          </w:p>
          <w:p w14:paraId="091C6A1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(for NDVI → walking).</w:t>
            </w:r>
          </w:p>
        </w:tc>
        <w:tc>
          <w:tcPr>
            <w:tcW w:w="1620" w:type="dxa"/>
            <w:tcBorders>
              <w:top w:val="single" w:sz="6" w:space="0" w:color="auto"/>
              <w:left w:val="single" w:sz="6" w:space="0" w:color="auto"/>
              <w:bottom w:val="single" w:sz="6" w:space="0" w:color="auto"/>
              <w:right w:val="single" w:sz="6" w:space="0" w:color="auto"/>
            </w:tcBorders>
          </w:tcPr>
          <w:p w14:paraId="221DA00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for NDVI with days of walking; </w:t>
            </w:r>
          </w:p>
          <w:p w14:paraId="65904F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non-significant for moderate and vigorous activity.</w:t>
            </w:r>
          </w:p>
        </w:tc>
      </w:tr>
      <w:tr w:rsidR="004301B5" w:rsidRPr="002D669D" w14:paraId="3EA4CEDD" w14:textId="77777777" w:rsidTr="00A136E2">
        <w:trPr>
          <w:trHeight w:val="5016"/>
        </w:trPr>
        <w:tc>
          <w:tcPr>
            <w:tcW w:w="1174" w:type="dxa"/>
            <w:tcBorders>
              <w:top w:val="single" w:sz="6" w:space="0" w:color="auto"/>
              <w:left w:val="single" w:sz="4" w:space="0" w:color="auto"/>
              <w:bottom w:val="single" w:sz="6" w:space="0" w:color="auto"/>
              <w:right w:val="single" w:sz="6" w:space="0" w:color="auto"/>
            </w:tcBorders>
          </w:tcPr>
          <w:p w14:paraId="03CFDC7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Melo et al.,</w:t>
            </w:r>
          </w:p>
          <w:p w14:paraId="5848677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9" w:type="dxa"/>
            <w:tcBorders>
              <w:top w:val="single" w:sz="6" w:space="0" w:color="auto"/>
              <w:left w:val="single" w:sz="6" w:space="0" w:color="auto"/>
              <w:bottom w:val="single" w:sz="6" w:space="0" w:color="auto"/>
              <w:right w:val="single" w:sz="6" w:space="0" w:color="auto"/>
            </w:tcBorders>
          </w:tcPr>
          <w:p w14:paraId="6CB7061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Portugal</w:t>
            </w:r>
          </w:p>
        </w:tc>
        <w:tc>
          <w:tcPr>
            <w:tcW w:w="1079" w:type="dxa"/>
            <w:tcBorders>
              <w:top w:val="single" w:sz="6" w:space="0" w:color="auto"/>
              <w:left w:val="single" w:sz="6" w:space="0" w:color="auto"/>
              <w:bottom w:val="single" w:sz="6" w:space="0" w:color="auto"/>
              <w:right w:val="single" w:sz="6" w:space="0" w:color="auto"/>
            </w:tcBorders>
          </w:tcPr>
          <w:p w14:paraId="44719E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55E7429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62 </w:t>
            </w:r>
          </w:p>
        </w:tc>
        <w:tc>
          <w:tcPr>
            <w:tcW w:w="1350" w:type="dxa"/>
            <w:tcBorders>
              <w:top w:val="single" w:sz="6" w:space="0" w:color="auto"/>
              <w:left w:val="single" w:sz="6" w:space="0" w:color="auto"/>
              <w:bottom w:val="single" w:sz="6" w:space="0" w:color="auto"/>
              <w:right w:val="single" w:sz="6" w:space="0" w:color="auto"/>
            </w:tcBorders>
          </w:tcPr>
          <w:p w14:paraId="23F2ACA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Adolescents enrolled in public high schools.</w:t>
            </w:r>
          </w:p>
          <w:p w14:paraId="2FD6E1B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12–18 years</w:t>
            </w:r>
          </w:p>
        </w:tc>
        <w:tc>
          <w:tcPr>
            <w:tcW w:w="1440" w:type="dxa"/>
            <w:tcBorders>
              <w:top w:val="single" w:sz="6" w:space="0" w:color="auto"/>
              <w:left w:val="single" w:sz="6" w:space="0" w:color="auto"/>
              <w:bottom w:val="single" w:sz="6" w:space="0" w:color="auto"/>
              <w:right w:val="single" w:sz="6" w:space="0" w:color="auto"/>
            </w:tcBorders>
          </w:tcPr>
          <w:p w14:paraId="619E92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imagery</w:t>
            </w:r>
          </w:p>
        </w:tc>
        <w:tc>
          <w:tcPr>
            <w:tcW w:w="994" w:type="dxa"/>
            <w:tcBorders>
              <w:top w:val="single" w:sz="6" w:space="0" w:color="auto"/>
              <w:left w:val="single" w:sz="6" w:space="0" w:color="auto"/>
              <w:bottom w:val="single" w:sz="6" w:space="0" w:color="auto"/>
              <w:right w:val="single" w:sz="6" w:space="0" w:color="auto"/>
            </w:tcBorders>
          </w:tcPr>
          <w:p w14:paraId="1B789A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7CCDA2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300, </w:t>
            </w:r>
          </w:p>
          <w:p w14:paraId="77E5F0E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w:t>
            </w:r>
          </w:p>
          <w:p w14:paraId="4B57C11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1000 </w:t>
            </w:r>
          </w:p>
          <w:p w14:paraId="009723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1500 m from each participant’s</w:t>
            </w:r>
          </w:p>
          <w:p w14:paraId="413A2D1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residence. </w:t>
            </w:r>
          </w:p>
        </w:tc>
        <w:tc>
          <w:tcPr>
            <w:tcW w:w="1264" w:type="dxa"/>
            <w:tcBorders>
              <w:top w:val="single" w:sz="6" w:space="0" w:color="auto"/>
              <w:left w:val="single" w:sz="6" w:space="0" w:color="auto"/>
              <w:bottom w:val="single" w:sz="6" w:space="0" w:color="auto"/>
              <w:right w:val="single" w:sz="6" w:space="0" w:color="auto"/>
            </w:tcBorders>
          </w:tcPr>
          <w:p w14:paraId="6FE160D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Moderate-to-vigorous physical activity (MVPA), </w:t>
            </w:r>
          </w:p>
          <w:p w14:paraId="344C087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summarized as daily minutes.</w:t>
            </w:r>
          </w:p>
        </w:tc>
        <w:tc>
          <w:tcPr>
            <w:tcW w:w="1796" w:type="dxa"/>
            <w:tcBorders>
              <w:top w:val="single" w:sz="6" w:space="0" w:color="auto"/>
              <w:left w:val="single" w:sz="6" w:space="0" w:color="auto"/>
              <w:bottom w:val="single" w:sz="6" w:space="0" w:color="auto"/>
              <w:right w:val="single" w:sz="6" w:space="0" w:color="auto"/>
            </w:tcBorders>
          </w:tcPr>
          <w:p w14:paraId="63EDB5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GT3X+ accelerometers worn for 7 consecutive days</w:t>
            </w:r>
          </w:p>
        </w:tc>
        <w:tc>
          <w:tcPr>
            <w:tcW w:w="1264" w:type="dxa"/>
            <w:tcBorders>
              <w:top w:val="single" w:sz="6" w:space="0" w:color="auto"/>
              <w:left w:val="single" w:sz="6" w:space="0" w:color="auto"/>
              <w:bottom w:val="single" w:sz="6" w:space="0" w:color="auto"/>
              <w:right w:val="single" w:sz="6" w:space="0" w:color="auto"/>
            </w:tcBorders>
          </w:tcPr>
          <w:p w14:paraId="315E2A7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linear regression models</w:t>
            </w:r>
          </w:p>
        </w:tc>
        <w:tc>
          <w:tcPr>
            <w:tcW w:w="1339" w:type="dxa"/>
            <w:tcBorders>
              <w:top w:val="single" w:sz="6" w:space="0" w:color="auto"/>
              <w:left w:val="single" w:sz="6" w:space="0" w:color="auto"/>
              <w:bottom w:val="single" w:sz="6" w:space="0" w:color="auto"/>
              <w:right w:val="single" w:sz="6" w:space="0" w:color="auto"/>
            </w:tcBorders>
          </w:tcPr>
          <w:p w14:paraId="048F37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European Deprivation Index for Portugal (EDI-PT) of the residential neighborhood;</w:t>
            </w:r>
          </w:p>
          <w:p w14:paraId="054D11A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analyses also stratified by gender.</w:t>
            </w:r>
          </w:p>
        </w:tc>
        <w:tc>
          <w:tcPr>
            <w:tcW w:w="1170" w:type="dxa"/>
            <w:tcBorders>
              <w:top w:val="single" w:sz="6" w:space="0" w:color="auto"/>
              <w:left w:val="single" w:sz="6" w:space="0" w:color="auto"/>
              <w:bottom w:val="single" w:sz="6" w:space="0" w:color="auto"/>
              <w:right w:val="single" w:sz="6" w:space="0" w:color="auto"/>
            </w:tcBorders>
          </w:tcPr>
          <w:p w14:paraId="78AC20F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linear regression coefficient (β)</w:t>
            </w:r>
          </w:p>
        </w:tc>
        <w:tc>
          <w:tcPr>
            <w:tcW w:w="5580" w:type="dxa"/>
            <w:gridSpan w:val="4"/>
            <w:tcBorders>
              <w:top w:val="single" w:sz="6" w:space="0" w:color="auto"/>
              <w:left w:val="single" w:sz="6" w:space="0" w:color="auto"/>
              <w:bottom w:val="single" w:sz="6" w:space="0" w:color="auto"/>
              <w:right w:val="single" w:sz="6" w:space="0" w:color="auto"/>
            </w:tcBorders>
          </w:tcPr>
          <w:p w14:paraId="7E78AA7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300 m buffer</w:t>
            </w:r>
          </w:p>
          <w:p w14:paraId="7631A8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0.484</w:t>
            </w:r>
          </w:p>
          <w:p w14:paraId="6A0D785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 = 4.585</w:t>
            </w:r>
          </w:p>
          <w:p w14:paraId="21CDE7F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0.014</w:t>
            </w:r>
          </w:p>
          <w:p w14:paraId="7349949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–8.687 to 9.655</w:t>
            </w:r>
          </w:p>
          <w:p w14:paraId="0BF425DC" w14:textId="5A0EFF14"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 = 0.106, p = 0.916</w:t>
            </w:r>
          </w:p>
          <w:p w14:paraId="305D2E7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500 m buffer</w:t>
            </w:r>
          </w:p>
          <w:p w14:paraId="01CC07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2.274</w:t>
            </w:r>
          </w:p>
          <w:p w14:paraId="0B4AD69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 = 2.295</w:t>
            </w:r>
          </w:p>
          <w:p w14:paraId="5117FA7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0.099</w:t>
            </w:r>
          </w:p>
          <w:p w14:paraId="1FF05E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–3.616 to 8.165</w:t>
            </w:r>
          </w:p>
          <w:p w14:paraId="242BAEAE" w14:textId="6A870D1D"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 = 0.772, p = 0.443</w:t>
            </w:r>
          </w:p>
          <w:p w14:paraId="3AD902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1000 m buffer</w:t>
            </w:r>
          </w:p>
          <w:p w14:paraId="324B932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1.516</w:t>
            </w:r>
          </w:p>
          <w:p w14:paraId="185864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 = 1.102</w:t>
            </w:r>
          </w:p>
          <w:p w14:paraId="12090B7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0.176</w:t>
            </w:r>
          </w:p>
          <w:p w14:paraId="00098F4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–0.690 to 3.722</w:t>
            </w:r>
          </w:p>
          <w:p w14:paraId="315381F2" w14:textId="69AE9B41"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 = 1.375, p = 0.174</w:t>
            </w:r>
          </w:p>
          <w:p w14:paraId="6BACFC4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1500 m buffer</w:t>
            </w:r>
          </w:p>
          <w:p w14:paraId="6656C5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0.955</w:t>
            </w:r>
          </w:p>
          <w:p w14:paraId="29D613C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 = 0.725</w:t>
            </w:r>
          </w:p>
          <w:p w14:paraId="14C286E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0.168</w:t>
            </w:r>
          </w:p>
          <w:p w14:paraId="05BD0C5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–0.495 to 2.406</w:t>
            </w:r>
          </w:p>
          <w:p w14:paraId="408EBA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 = 1.318, p = 0.193</w:t>
            </w:r>
          </w:p>
        </w:tc>
      </w:tr>
      <w:tr w:rsidR="004301B5" w:rsidRPr="002D669D" w14:paraId="0E245233" w14:textId="77777777" w:rsidTr="00A136E2">
        <w:trPr>
          <w:trHeight w:val="1829"/>
        </w:trPr>
        <w:tc>
          <w:tcPr>
            <w:tcW w:w="1174" w:type="dxa"/>
            <w:tcBorders>
              <w:top w:val="single" w:sz="6" w:space="0" w:color="auto"/>
              <w:left w:val="single" w:sz="4" w:space="0" w:color="auto"/>
              <w:bottom w:val="single" w:sz="6" w:space="0" w:color="auto"/>
              <w:right w:val="single" w:sz="6" w:space="0" w:color="auto"/>
            </w:tcBorders>
          </w:tcPr>
          <w:p w14:paraId="5B2A522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Shuvo et al.,</w:t>
            </w:r>
          </w:p>
          <w:p w14:paraId="019DBD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9" w:type="dxa"/>
            <w:tcBorders>
              <w:top w:val="single" w:sz="6" w:space="0" w:color="auto"/>
              <w:left w:val="single" w:sz="6" w:space="0" w:color="auto"/>
              <w:bottom w:val="single" w:sz="6" w:space="0" w:color="auto"/>
              <w:right w:val="single" w:sz="6" w:space="0" w:color="auto"/>
            </w:tcBorders>
          </w:tcPr>
          <w:p w14:paraId="1B6914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1079" w:type="dxa"/>
            <w:tcBorders>
              <w:top w:val="single" w:sz="6" w:space="0" w:color="auto"/>
              <w:left w:val="single" w:sz="6" w:space="0" w:color="auto"/>
              <w:bottom w:val="single" w:sz="6" w:space="0" w:color="auto"/>
              <w:right w:val="single" w:sz="6" w:space="0" w:color="auto"/>
            </w:tcBorders>
          </w:tcPr>
          <w:p w14:paraId="2933092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25F2AE4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589 </w:t>
            </w:r>
          </w:p>
        </w:tc>
        <w:tc>
          <w:tcPr>
            <w:tcW w:w="1350" w:type="dxa"/>
            <w:tcBorders>
              <w:top w:val="single" w:sz="6" w:space="0" w:color="auto"/>
              <w:left w:val="single" w:sz="6" w:space="0" w:color="auto"/>
              <w:bottom w:val="single" w:sz="6" w:space="0" w:color="auto"/>
              <w:right w:val="single" w:sz="6" w:space="0" w:color="auto"/>
            </w:tcBorders>
          </w:tcPr>
          <w:p w14:paraId="6A1526E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Areal units (suburbs); </w:t>
            </w:r>
          </w:p>
          <w:p w14:paraId="4882888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individual participants.</w:t>
            </w:r>
          </w:p>
          <w:p w14:paraId="52BD91E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4D92BD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Sentinel-2 imagery</w:t>
            </w:r>
          </w:p>
        </w:tc>
        <w:tc>
          <w:tcPr>
            <w:tcW w:w="994" w:type="dxa"/>
            <w:tcBorders>
              <w:top w:val="single" w:sz="6" w:space="0" w:color="auto"/>
              <w:left w:val="single" w:sz="6" w:space="0" w:color="auto"/>
              <w:bottom w:val="single" w:sz="6" w:space="0" w:color="auto"/>
              <w:right w:val="single" w:sz="6" w:space="0" w:color="auto"/>
            </w:tcBorders>
          </w:tcPr>
          <w:p w14:paraId="1182AA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 m</w:t>
            </w:r>
          </w:p>
        </w:tc>
        <w:tc>
          <w:tcPr>
            <w:tcW w:w="1166" w:type="dxa"/>
            <w:tcBorders>
              <w:top w:val="single" w:sz="6" w:space="0" w:color="auto"/>
              <w:left w:val="single" w:sz="6" w:space="0" w:color="auto"/>
              <w:bottom w:val="single" w:sz="6" w:space="0" w:color="auto"/>
              <w:right w:val="single" w:sz="6" w:space="0" w:color="auto"/>
            </w:tcBorders>
          </w:tcPr>
          <w:p w14:paraId="5CC479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Not applicable; </w:t>
            </w:r>
          </w:p>
          <w:p w14:paraId="787B6C6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mean NDVI aggregated by suburb via zonal statistics (no buffers).</w:t>
            </w:r>
          </w:p>
        </w:tc>
        <w:tc>
          <w:tcPr>
            <w:tcW w:w="1264" w:type="dxa"/>
            <w:tcBorders>
              <w:top w:val="single" w:sz="6" w:space="0" w:color="auto"/>
              <w:left w:val="single" w:sz="6" w:space="0" w:color="auto"/>
              <w:bottom w:val="single" w:sz="6" w:space="0" w:color="auto"/>
              <w:right w:val="single" w:sz="6" w:space="0" w:color="auto"/>
            </w:tcBorders>
          </w:tcPr>
          <w:p w14:paraId="31F9C35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walkability</w:t>
            </w:r>
          </w:p>
        </w:tc>
        <w:tc>
          <w:tcPr>
            <w:tcW w:w="1796" w:type="dxa"/>
            <w:tcBorders>
              <w:top w:val="single" w:sz="6" w:space="0" w:color="auto"/>
              <w:left w:val="single" w:sz="6" w:space="0" w:color="auto"/>
              <w:bottom w:val="single" w:sz="6" w:space="0" w:color="auto"/>
              <w:right w:val="single" w:sz="6" w:space="0" w:color="auto"/>
            </w:tcBorders>
          </w:tcPr>
          <w:p w14:paraId="55C7D56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Walkability via Walk Score</w:t>
            </w:r>
          </w:p>
        </w:tc>
        <w:tc>
          <w:tcPr>
            <w:tcW w:w="1264" w:type="dxa"/>
            <w:tcBorders>
              <w:top w:val="single" w:sz="6" w:space="0" w:color="auto"/>
              <w:left w:val="single" w:sz="6" w:space="0" w:color="auto"/>
              <w:bottom w:val="single" w:sz="6" w:space="0" w:color="auto"/>
              <w:right w:val="single" w:sz="6" w:space="0" w:color="auto"/>
            </w:tcBorders>
          </w:tcPr>
          <w:p w14:paraId="6E534A8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OLS; </w:t>
            </w:r>
          </w:p>
          <w:p w14:paraId="0C5F030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Spatial Lag Model (SLM);</w:t>
            </w:r>
          </w:p>
          <w:p w14:paraId="3403B8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Spatial Error Model (SEM);</w:t>
            </w:r>
          </w:p>
          <w:p w14:paraId="0DD9207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Moran’s I</w:t>
            </w:r>
          </w:p>
        </w:tc>
        <w:tc>
          <w:tcPr>
            <w:tcW w:w="1339" w:type="dxa"/>
            <w:tcBorders>
              <w:top w:val="single" w:sz="6" w:space="0" w:color="auto"/>
              <w:left w:val="single" w:sz="6" w:space="0" w:color="auto"/>
              <w:bottom w:val="single" w:sz="6" w:space="0" w:color="auto"/>
              <w:right w:val="single" w:sz="6" w:space="0" w:color="auto"/>
            </w:tcBorders>
          </w:tcPr>
          <w:p w14:paraId="5DBFC8C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Percent urban green space (parkland), </w:t>
            </w:r>
          </w:p>
          <w:p w14:paraId="2185653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SES (IRSAD), </w:t>
            </w:r>
          </w:p>
          <w:p w14:paraId="1587AA7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population density, </w:t>
            </w:r>
          </w:p>
          <w:p w14:paraId="10A2A03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suburb size.</w:t>
            </w:r>
          </w:p>
        </w:tc>
        <w:tc>
          <w:tcPr>
            <w:tcW w:w="1170" w:type="dxa"/>
            <w:tcBorders>
              <w:top w:val="single" w:sz="6" w:space="0" w:color="auto"/>
              <w:left w:val="single" w:sz="6" w:space="0" w:color="auto"/>
              <w:bottom w:val="single" w:sz="6" w:space="0" w:color="auto"/>
              <w:right w:val="single" w:sz="6" w:space="0" w:color="auto"/>
            </w:tcBorders>
          </w:tcPr>
          <w:p w14:paraId="49EA59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coefficients β</w:t>
            </w:r>
          </w:p>
        </w:tc>
        <w:tc>
          <w:tcPr>
            <w:tcW w:w="2790" w:type="dxa"/>
            <w:gridSpan w:val="2"/>
            <w:tcBorders>
              <w:top w:val="single" w:sz="6" w:space="0" w:color="auto"/>
              <w:left w:val="single" w:sz="6" w:space="0" w:color="auto"/>
              <w:bottom w:val="single" w:sz="6" w:space="0" w:color="auto"/>
              <w:right w:val="single" w:sz="6" w:space="0" w:color="auto"/>
            </w:tcBorders>
          </w:tcPr>
          <w:p w14:paraId="3E7DD0B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OLS: NDVI β ≈ −81.15 (p&lt;0.001); </w:t>
            </w:r>
          </w:p>
          <w:p w14:paraId="7BBD5B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SLM: NDVI β ≈ −44.60 (p&lt;0.001); </w:t>
            </w:r>
          </w:p>
          <w:p w14:paraId="2A7933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SEM: NDVI β ≈ −71.76 (p&lt;0.001).</w:t>
            </w:r>
          </w:p>
        </w:tc>
        <w:tc>
          <w:tcPr>
            <w:tcW w:w="1170" w:type="dxa"/>
            <w:tcBorders>
              <w:top w:val="single" w:sz="6" w:space="0" w:color="auto"/>
              <w:left w:val="single" w:sz="6" w:space="0" w:color="auto"/>
              <w:bottom w:val="single" w:sz="6" w:space="0" w:color="auto"/>
              <w:right w:val="single" w:sz="6" w:space="0" w:color="auto"/>
            </w:tcBorders>
          </w:tcPr>
          <w:p w14:paraId="06A676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 &lt; 0.001</w:t>
            </w:r>
          </w:p>
        </w:tc>
        <w:tc>
          <w:tcPr>
            <w:tcW w:w="1620" w:type="dxa"/>
            <w:tcBorders>
              <w:top w:val="single" w:sz="6" w:space="0" w:color="auto"/>
              <w:left w:val="single" w:sz="6" w:space="0" w:color="auto"/>
              <w:bottom w:val="single" w:sz="6" w:space="0" w:color="auto"/>
              <w:right w:val="single" w:sz="6" w:space="0" w:color="auto"/>
            </w:tcBorders>
          </w:tcPr>
          <w:p w14:paraId="3B19C48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association between NDVI and Walk Scorer</w:t>
            </w:r>
          </w:p>
          <w:p w14:paraId="6695713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r>
      <w:tr w:rsidR="004301B5" w:rsidRPr="002D669D" w14:paraId="2FDE4D40" w14:textId="77777777" w:rsidTr="00A136E2">
        <w:trPr>
          <w:trHeight w:val="2955"/>
        </w:trPr>
        <w:tc>
          <w:tcPr>
            <w:tcW w:w="1174" w:type="dxa"/>
            <w:tcBorders>
              <w:top w:val="single" w:sz="6" w:space="0" w:color="auto"/>
              <w:left w:val="single" w:sz="4" w:space="0" w:color="auto"/>
              <w:bottom w:val="single" w:sz="6" w:space="0" w:color="auto"/>
              <w:right w:val="single" w:sz="6" w:space="0" w:color="auto"/>
            </w:tcBorders>
          </w:tcPr>
          <w:p w14:paraId="10AEC51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Gao et al.,</w:t>
            </w:r>
          </w:p>
          <w:p w14:paraId="1BCC59B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9" w:type="dxa"/>
            <w:tcBorders>
              <w:top w:val="single" w:sz="6" w:space="0" w:color="auto"/>
              <w:left w:val="single" w:sz="6" w:space="0" w:color="auto"/>
              <w:bottom w:val="single" w:sz="6" w:space="0" w:color="auto"/>
              <w:right w:val="single" w:sz="6" w:space="0" w:color="auto"/>
            </w:tcBorders>
          </w:tcPr>
          <w:p w14:paraId="099B01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1AA4996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379E4E9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40,272 street view images from 10,068 sampling points</w:t>
            </w:r>
          </w:p>
        </w:tc>
        <w:tc>
          <w:tcPr>
            <w:tcW w:w="1350" w:type="dxa"/>
            <w:tcBorders>
              <w:top w:val="single" w:sz="6" w:space="0" w:color="auto"/>
              <w:left w:val="single" w:sz="6" w:space="0" w:color="auto"/>
              <w:bottom w:val="single" w:sz="6" w:space="0" w:color="auto"/>
              <w:right w:val="single" w:sz="6" w:space="0" w:color="auto"/>
            </w:tcBorders>
          </w:tcPr>
          <w:p w14:paraId="4F3939C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commuters and residents</w:t>
            </w:r>
          </w:p>
          <w:p w14:paraId="616AD2C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5A25C2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images</w:t>
            </w:r>
          </w:p>
        </w:tc>
        <w:tc>
          <w:tcPr>
            <w:tcW w:w="994" w:type="dxa"/>
            <w:tcBorders>
              <w:top w:val="single" w:sz="6" w:space="0" w:color="auto"/>
              <w:left w:val="single" w:sz="6" w:space="0" w:color="auto"/>
              <w:bottom w:val="single" w:sz="6" w:space="0" w:color="auto"/>
              <w:right w:val="single" w:sz="6" w:space="0" w:color="auto"/>
            </w:tcBorders>
          </w:tcPr>
          <w:p w14:paraId="75B066B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0B60F4D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 buffer around 101 metro stations</w:t>
            </w:r>
          </w:p>
        </w:tc>
        <w:tc>
          <w:tcPr>
            <w:tcW w:w="1264" w:type="dxa"/>
            <w:tcBorders>
              <w:top w:val="single" w:sz="6" w:space="0" w:color="auto"/>
              <w:left w:val="single" w:sz="6" w:space="0" w:color="auto"/>
              <w:bottom w:val="single" w:sz="6" w:space="0" w:color="auto"/>
              <w:right w:val="single" w:sz="6" w:space="0" w:color="auto"/>
            </w:tcBorders>
          </w:tcPr>
          <w:p w14:paraId="219E84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Cycling activity measured via dockless bike sharing trip records</w:t>
            </w:r>
          </w:p>
        </w:tc>
        <w:tc>
          <w:tcPr>
            <w:tcW w:w="1796" w:type="dxa"/>
            <w:tcBorders>
              <w:top w:val="single" w:sz="6" w:space="0" w:color="auto"/>
              <w:left w:val="single" w:sz="6" w:space="0" w:color="auto"/>
              <w:bottom w:val="single" w:sz="6" w:space="0" w:color="auto"/>
              <w:right w:val="single" w:sz="6" w:space="0" w:color="auto"/>
            </w:tcBorders>
          </w:tcPr>
          <w:p w14:paraId="594632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Hourly usage counts aggregated from trip origins and destinations </w:t>
            </w:r>
          </w:p>
          <w:p w14:paraId="750938C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(weekdays, weekends, holidays)</w:t>
            </w:r>
          </w:p>
        </w:tc>
        <w:tc>
          <w:tcPr>
            <w:tcW w:w="1264" w:type="dxa"/>
            <w:tcBorders>
              <w:top w:val="single" w:sz="6" w:space="0" w:color="auto"/>
              <w:left w:val="single" w:sz="6" w:space="0" w:color="auto"/>
              <w:bottom w:val="single" w:sz="6" w:space="0" w:color="auto"/>
              <w:right w:val="single" w:sz="6" w:space="0" w:color="auto"/>
            </w:tcBorders>
          </w:tcPr>
          <w:p w14:paraId="7DD3A7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Backward Stepwise Linear Regression </w:t>
            </w:r>
          </w:p>
          <w:p w14:paraId="3BD71D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4698A2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Geographically Weighted Regression (GWR) </w:t>
            </w:r>
          </w:p>
        </w:tc>
        <w:tc>
          <w:tcPr>
            <w:tcW w:w="1339" w:type="dxa"/>
            <w:tcBorders>
              <w:top w:val="single" w:sz="6" w:space="0" w:color="auto"/>
              <w:left w:val="single" w:sz="6" w:space="0" w:color="auto"/>
              <w:bottom w:val="single" w:sz="6" w:space="0" w:color="auto"/>
              <w:right w:val="single" w:sz="6" w:space="0" w:color="auto"/>
            </w:tcBorders>
          </w:tcPr>
          <w:p w14:paraId="18B5530D" w14:textId="77777777" w:rsidR="00711AB9"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road intersection density</w:t>
            </w:r>
          </w:p>
          <w:p w14:paraId="758718C7" w14:textId="11F2550B" w:rsidR="004301B5" w:rsidRPr="002D669D" w:rsidRDefault="004301B5" w:rsidP="00711AB9">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secondary road density</w:t>
            </w:r>
          </w:p>
          <w:p w14:paraId="18868B63" w14:textId="77777777" w:rsidR="00711AB9"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building density</w:t>
            </w:r>
          </w:p>
          <w:p w14:paraId="5BDE12DB" w14:textId="77777777" w:rsidR="00711AB9"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floor area ratio</w:t>
            </w:r>
          </w:p>
          <w:p w14:paraId="5ACE7FC7" w14:textId="718649A0"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 use entropy retail/scenic spot density.</w:t>
            </w:r>
          </w:p>
          <w:p w14:paraId="54AAE739" w14:textId="16C99081"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Tencent real-time population density</w:t>
            </w:r>
          </w:p>
        </w:tc>
        <w:tc>
          <w:tcPr>
            <w:tcW w:w="1170" w:type="dxa"/>
            <w:tcBorders>
              <w:top w:val="single" w:sz="6" w:space="0" w:color="auto"/>
              <w:left w:val="single" w:sz="6" w:space="0" w:color="auto"/>
              <w:bottom w:val="single" w:sz="6" w:space="0" w:color="auto"/>
              <w:right w:val="single" w:sz="6" w:space="0" w:color="auto"/>
            </w:tcBorders>
          </w:tcPr>
          <w:p w14:paraId="3B755B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Regression coefficients </w:t>
            </w:r>
          </w:p>
          <w:p w14:paraId="20342B9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(local coefficients in GWR).</w:t>
            </w:r>
          </w:p>
        </w:tc>
        <w:tc>
          <w:tcPr>
            <w:tcW w:w="1440" w:type="dxa"/>
            <w:tcBorders>
              <w:top w:val="single" w:sz="6" w:space="0" w:color="auto"/>
              <w:left w:val="single" w:sz="6" w:space="0" w:color="auto"/>
              <w:bottom w:val="single" w:sz="6" w:space="0" w:color="auto"/>
              <w:right w:val="single" w:sz="6" w:space="0" w:color="auto"/>
            </w:tcBorders>
          </w:tcPr>
          <w:p w14:paraId="0C7A10F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Do not report a regression coefficient (β)</w:t>
            </w:r>
          </w:p>
          <w:p w14:paraId="41E968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with a standard error (SE) or 95% CI for NDVI.</w:t>
            </w:r>
          </w:p>
        </w:tc>
        <w:tc>
          <w:tcPr>
            <w:tcW w:w="1350" w:type="dxa"/>
            <w:tcBorders>
              <w:top w:val="single" w:sz="6" w:space="0" w:color="auto"/>
              <w:left w:val="single" w:sz="6" w:space="0" w:color="auto"/>
              <w:bottom w:val="single" w:sz="6" w:space="0" w:color="auto"/>
              <w:right w:val="single" w:sz="6" w:space="0" w:color="auto"/>
            </w:tcBorders>
          </w:tcPr>
          <w:p w14:paraId="325D22D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70" w:type="dxa"/>
            <w:tcBorders>
              <w:top w:val="single" w:sz="6" w:space="0" w:color="auto"/>
              <w:left w:val="single" w:sz="6" w:space="0" w:color="auto"/>
              <w:bottom w:val="single" w:sz="6" w:space="0" w:color="auto"/>
              <w:right w:val="single" w:sz="6" w:space="0" w:color="auto"/>
            </w:tcBorders>
          </w:tcPr>
          <w:p w14:paraId="3A0DA9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 ≤ 0.01 (weekends, holidays), </w:t>
            </w:r>
          </w:p>
          <w:p w14:paraId="392124B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NS (weekdays).</w:t>
            </w:r>
          </w:p>
        </w:tc>
        <w:tc>
          <w:tcPr>
            <w:tcW w:w="1620" w:type="dxa"/>
            <w:tcBorders>
              <w:top w:val="single" w:sz="6" w:space="0" w:color="auto"/>
              <w:left w:val="single" w:sz="6" w:space="0" w:color="auto"/>
              <w:bottom w:val="single" w:sz="6" w:space="0" w:color="auto"/>
              <w:right w:val="single" w:sz="6" w:space="0" w:color="auto"/>
            </w:tcBorders>
          </w:tcPr>
          <w:p w14:paraId="4789EE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Negative (weekends, holidays), </w:t>
            </w:r>
          </w:p>
          <w:p w14:paraId="117E285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(weekdays).</w:t>
            </w:r>
          </w:p>
        </w:tc>
      </w:tr>
      <w:tr w:rsidR="004301B5" w:rsidRPr="002D669D" w14:paraId="0E9DF7DA" w14:textId="77777777" w:rsidTr="00A136E2">
        <w:trPr>
          <w:trHeight w:val="3585"/>
        </w:trPr>
        <w:tc>
          <w:tcPr>
            <w:tcW w:w="1174" w:type="dxa"/>
            <w:tcBorders>
              <w:top w:val="single" w:sz="6" w:space="0" w:color="auto"/>
              <w:left w:val="single" w:sz="4" w:space="0" w:color="auto"/>
              <w:bottom w:val="single" w:sz="6" w:space="0" w:color="auto"/>
              <w:right w:val="single" w:sz="6" w:space="0" w:color="auto"/>
            </w:tcBorders>
          </w:tcPr>
          <w:p w14:paraId="6BFF617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Puhakka et al.,</w:t>
            </w:r>
          </w:p>
          <w:p w14:paraId="3F4A23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2020</w:t>
            </w:r>
          </w:p>
        </w:tc>
        <w:tc>
          <w:tcPr>
            <w:tcW w:w="899" w:type="dxa"/>
            <w:tcBorders>
              <w:top w:val="single" w:sz="6" w:space="0" w:color="auto"/>
              <w:left w:val="single" w:sz="6" w:space="0" w:color="auto"/>
              <w:bottom w:val="single" w:sz="6" w:space="0" w:color="auto"/>
              <w:right w:val="single" w:sz="6" w:space="0" w:color="auto"/>
            </w:tcBorders>
          </w:tcPr>
          <w:p w14:paraId="1A379AE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Finland</w:t>
            </w:r>
          </w:p>
        </w:tc>
        <w:tc>
          <w:tcPr>
            <w:tcW w:w="1079" w:type="dxa"/>
            <w:tcBorders>
              <w:top w:val="single" w:sz="6" w:space="0" w:color="auto"/>
              <w:left w:val="single" w:sz="6" w:space="0" w:color="auto"/>
              <w:bottom w:val="single" w:sz="6" w:space="0" w:color="auto"/>
              <w:right w:val="single" w:sz="6" w:space="0" w:color="auto"/>
            </w:tcBorders>
          </w:tcPr>
          <w:p w14:paraId="623D85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6D46B2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5433</w:t>
            </w:r>
          </w:p>
        </w:tc>
        <w:tc>
          <w:tcPr>
            <w:tcW w:w="1350" w:type="dxa"/>
            <w:tcBorders>
              <w:top w:val="single" w:sz="6" w:space="0" w:color="auto"/>
              <w:left w:val="single" w:sz="6" w:space="0" w:color="auto"/>
              <w:bottom w:val="single" w:sz="6" w:space="0" w:color="auto"/>
              <w:right w:val="single" w:sz="6" w:space="0" w:color="auto"/>
            </w:tcBorders>
          </w:tcPr>
          <w:p w14:paraId="4C37F2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Midlife adults 46 years</w:t>
            </w:r>
          </w:p>
        </w:tc>
        <w:tc>
          <w:tcPr>
            <w:tcW w:w="1440" w:type="dxa"/>
            <w:tcBorders>
              <w:top w:val="single" w:sz="6" w:space="0" w:color="auto"/>
              <w:left w:val="single" w:sz="6" w:space="0" w:color="auto"/>
              <w:bottom w:val="single" w:sz="6" w:space="0" w:color="auto"/>
              <w:right w:val="single" w:sz="6" w:space="0" w:color="auto"/>
            </w:tcBorders>
          </w:tcPr>
          <w:p w14:paraId="196623C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8 images</w:t>
            </w:r>
          </w:p>
        </w:tc>
        <w:tc>
          <w:tcPr>
            <w:tcW w:w="994" w:type="dxa"/>
            <w:tcBorders>
              <w:top w:val="single" w:sz="6" w:space="0" w:color="auto"/>
              <w:left w:val="single" w:sz="6" w:space="0" w:color="auto"/>
              <w:bottom w:val="single" w:sz="6" w:space="0" w:color="auto"/>
              <w:right w:val="single" w:sz="6" w:space="0" w:color="auto"/>
            </w:tcBorders>
          </w:tcPr>
          <w:p w14:paraId="7E775AF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43E98F1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 radius circular buffer around residence</w:t>
            </w:r>
          </w:p>
          <w:p w14:paraId="722466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(residences ≥3 months)</w:t>
            </w:r>
          </w:p>
        </w:tc>
        <w:tc>
          <w:tcPr>
            <w:tcW w:w="1264" w:type="dxa"/>
            <w:tcBorders>
              <w:top w:val="single" w:sz="6" w:space="0" w:color="auto"/>
              <w:left w:val="single" w:sz="6" w:space="0" w:color="auto"/>
              <w:bottom w:val="single" w:sz="6" w:space="0" w:color="auto"/>
              <w:right w:val="single" w:sz="6" w:space="0" w:color="auto"/>
            </w:tcBorders>
          </w:tcPr>
          <w:p w14:paraId="797F750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Daily average MET-minutes for </w:t>
            </w:r>
          </w:p>
          <w:p w14:paraId="29B9A22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LPA, </w:t>
            </w:r>
          </w:p>
          <w:p w14:paraId="518D86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MPA, </w:t>
            </w:r>
          </w:p>
          <w:p w14:paraId="3D7F3C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VPA/VVPA, </w:t>
            </w:r>
          </w:p>
          <w:p w14:paraId="5552D95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MVPA</w:t>
            </w:r>
          </w:p>
        </w:tc>
        <w:tc>
          <w:tcPr>
            <w:tcW w:w="1796" w:type="dxa"/>
            <w:tcBorders>
              <w:top w:val="single" w:sz="6" w:space="0" w:color="auto"/>
              <w:left w:val="single" w:sz="6" w:space="0" w:color="auto"/>
              <w:bottom w:val="single" w:sz="6" w:space="0" w:color="auto"/>
              <w:right w:val="single" w:sz="6" w:space="0" w:color="auto"/>
            </w:tcBorders>
          </w:tcPr>
          <w:p w14:paraId="666A05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Wrist-worn Polar Active accelerometer, </w:t>
            </w:r>
          </w:p>
          <w:p w14:paraId="0C5660C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24 h/day for ~14 days; MET value every 30 s; </w:t>
            </w:r>
          </w:p>
          <w:p w14:paraId="68CA7CD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valid if ≥4 days with ≥600 min/day; </w:t>
            </w:r>
          </w:p>
          <w:p w14:paraId="3B233A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intensity bands: </w:t>
            </w:r>
          </w:p>
          <w:p w14:paraId="5180E7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LPA 2–3.49 MET, </w:t>
            </w:r>
          </w:p>
          <w:p w14:paraId="593D1A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MPA 3.5–4.99, V</w:t>
            </w:r>
          </w:p>
          <w:p w14:paraId="181D195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 5–7.99, </w:t>
            </w:r>
          </w:p>
          <w:p w14:paraId="2F614C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VVPA ≥8</w:t>
            </w:r>
          </w:p>
        </w:tc>
        <w:tc>
          <w:tcPr>
            <w:tcW w:w="1264" w:type="dxa"/>
            <w:tcBorders>
              <w:top w:val="single" w:sz="6" w:space="0" w:color="auto"/>
              <w:left w:val="single" w:sz="6" w:space="0" w:color="auto"/>
              <w:bottom w:val="single" w:sz="6" w:space="0" w:color="auto"/>
              <w:right w:val="single" w:sz="6" w:space="0" w:color="auto"/>
            </w:tcBorders>
          </w:tcPr>
          <w:p w14:paraId="42B7684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339" w:type="dxa"/>
            <w:tcBorders>
              <w:top w:val="single" w:sz="6" w:space="0" w:color="auto"/>
              <w:left w:val="single" w:sz="6" w:space="0" w:color="auto"/>
              <w:bottom w:val="single" w:sz="6" w:space="0" w:color="auto"/>
              <w:right w:val="single" w:sz="6" w:space="0" w:color="auto"/>
            </w:tcBorders>
          </w:tcPr>
          <w:p w14:paraId="11283F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(in all-participant models), </w:t>
            </w:r>
          </w:p>
          <w:p w14:paraId="501E33D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31B8BBD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physically strenuous work, </w:t>
            </w:r>
          </w:p>
          <w:p w14:paraId="170A17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children &lt;18 in family, </w:t>
            </w:r>
          </w:p>
          <w:p w14:paraId="7936086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level, </w:t>
            </w:r>
          </w:p>
          <w:p w14:paraId="28EE7B7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daily alcohol intake, </w:t>
            </w:r>
          </w:p>
          <w:p w14:paraId="600368D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health (excellent/good),</w:t>
            </w:r>
          </w:p>
          <w:p w14:paraId="7DDA979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number of sports facilities</w:t>
            </w:r>
          </w:p>
          <w:p w14:paraId="45F643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(sex-stratified models omit gender)</w:t>
            </w:r>
          </w:p>
        </w:tc>
        <w:tc>
          <w:tcPr>
            <w:tcW w:w="1170" w:type="dxa"/>
            <w:tcBorders>
              <w:top w:val="single" w:sz="6" w:space="0" w:color="auto"/>
              <w:left w:val="single" w:sz="6" w:space="0" w:color="auto"/>
              <w:bottom w:val="single" w:sz="6" w:space="0" w:color="auto"/>
              <w:right w:val="single" w:sz="6" w:space="0" w:color="auto"/>
            </w:tcBorders>
          </w:tcPr>
          <w:p w14:paraId="137F3F3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 beta (β)</w:t>
            </w:r>
          </w:p>
        </w:tc>
        <w:tc>
          <w:tcPr>
            <w:tcW w:w="5580" w:type="dxa"/>
            <w:gridSpan w:val="4"/>
            <w:tcBorders>
              <w:top w:val="single" w:sz="6" w:space="0" w:color="auto"/>
              <w:left w:val="single" w:sz="6" w:space="0" w:color="auto"/>
              <w:bottom w:val="single" w:sz="6" w:space="0" w:color="auto"/>
              <w:right w:val="single" w:sz="6" w:space="0" w:color="auto"/>
            </w:tcBorders>
          </w:tcPr>
          <w:p w14:paraId="13A95E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All participants</w:t>
            </w:r>
          </w:p>
          <w:p w14:paraId="639750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LPA: B = 70 (95% CI: 26, 114), p &lt; 0.001 → Positive</w:t>
            </w:r>
          </w:p>
          <w:p w14:paraId="3EE83E7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MPA: B = 5 (−14, 24), ns → Null</w:t>
            </w:r>
          </w:p>
          <w:p w14:paraId="6EB08F2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VPA/VVPA: B = −16 (−56, 23), ns → Null/negative, not significant</w:t>
            </w:r>
          </w:p>
          <w:p w14:paraId="0671A38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B = −11 (−61, 39), ns → Null</w:t>
            </w:r>
          </w:p>
          <w:p w14:paraId="509BB81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00F1B40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Men</w:t>
            </w:r>
          </w:p>
          <w:p w14:paraId="5394457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LPA: B = 140 (75, 204), p &lt; 0.001 → Positive</w:t>
            </w:r>
          </w:p>
          <w:p w14:paraId="7A38ABC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MPA: B = 23 (−12, 60), ns → Null</w:t>
            </w:r>
          </w:p>
          <w:p w14:paraId="6B240C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VPA/VVPA: B = 15 (−49, 80), ns → Null</w:t>
            </w:r>
          </w:p>
          <w:p w14:paraId="61005E5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B = 39 (−46, 125), ns → Null</w:t>
            </w:r>
          </w:p>
          <w:p w14:paraId="663039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632258C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Women</w:t>
            </w:r>
          </w:p>
          <w:p w14:paraId="37B582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LPA: B = 17 (−42, 76), ns → Null</w:t>
            </w:r>
          </w:p>
          <w:p w14:paraId="496E3D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MPA: B = −12 (−32, 7), ns → Null/negative</w:t>
            </w:r>
          </w:p>
          <w:p w14:paraId="2536AC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VPA/VVPA: B = −36 (−86, 13), ns → Null/negative</w:t>
            </w:r>
          </w:p>
          <w:p w14:paraId="3D80BB4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B = −48 (−108, 10), ns → Null/negative</w:t>
            </w:r>
          </w:p>
        </w:tc>
      </w:tr>
      <w:tr w:rsidR="004301B5" w:rsidRPr="002D669D" w14:paraId="2DF00A8D" w14:textId="77777777" w:rsidTr="00A136E2">
        <w:trPr>
          <w:trHeight w:val="3225"/>
        </w:trPr>
        <w:tc>
          <w:tcPr>
            <w:tcW w:w="1174" w:type="dxa"/>
            <w:tcBorders>
              <w:top w:val="single" w:sz="6" w:space="0" w:color="auto"/>
              <w:left w:val="single" w:sz="4" w:space="0" w:color="auto"/>
              <w:bottom w:val="single" w:sz="6" w:space="0" w:color="auto"/>
              <w:right w:val="single" w:sz="6" w:space="0" w:color="auto"/>
            </w:tcBorders>
          </w:tcPr>
          <w:p w14:paraId="1A8CFAE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Lu et al.,</w:t>
            </w:r>
          </w:p>
          <w:p w14:paraId="2D83038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2019</w:t>
            </w:r>
          </w:p>
        </w:tc>
        <w:tc>
          <w:tcPr>
            <w:tcW w:w="899" w:type="dxa"/>
            <w:tcBorders>
              <w:top w:val="single" w:sz="6" w:space="0" w:color="auto"/>
              <w:left w:val="single" w:sz="6" w:space="0" w:color="auto"/>
              <w:bottom w:val="single" w:sz="6" w:space="0" w:color="auto"/>
              <w:right w:val="single" w:sz="6" w:space="0" w:color="auto"/>
            </w:tcBorders>
          </w:tcPr>
          <w:p w14:paraId="162A488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Hong Kong</w:t>
            </w:r>
          </w:p>
        </w:tc>
        <w:tc>
          <w:tcPr>
            <w:tcW w:w="1079" w:type="dxa"/>
            <w:tcBorders>
              <w:top w:val="single" w:sz="6" w:space="0" w:color="auto"/>
              <w:left w:val="single" w:sz="6" w:space="0" w:color="auto"/>
              <w:bottom w:val="single" w:sz="6" w:space="0" w:color="auto"/>
              <w:right w:val="single" w:sz="6" w:space="0" w:color="auto"/>
            </w:tcBorders>
          </w:tcPr>
          <w:p w14:paraId="6F2E17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563AE3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5701</w:t>
            </w:r>
          </w:p>
        </w:tc>
        <w:tc>
          <w:tcPr>
            <w:tcW w:w="1350" w:type="dxa"/>
            <w:tcBorders>
              <w:top w:val="single" w:sz="6" w:space="0" w:color="auto"/>
              <w:left w:val="single" w:sz="6" w:space="0" w:color="auto"/>
              <w:bottom w:val="single" w:sz="6" w:space="0" w:color="auto"/>
              <w:right w:val="single" w:sz="6" w:space="0" w:color="auto"/>
            </w:tcBorders>
          </w:tcPr>
          <w:p w14:paraId="2C251F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residents</w:t>
            </w:r>
          </w:p>
          <w:p w14:paraId="27457A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 years</w:t>
            </w:r>
          </w:p>
        </w:tc>
        <w:tc>
          <w:tcPr>
            <w:tcW w:w="1440" w:type="dxa"/>
            <w:tcBorders>
              <w:top w:val="single" w:sz="6" w:space="0" w:color="auto"/>
              <w:left w:val="single" w:sz="6" w:space="0" w:color="auto"/>
              <w:bottom w:val="single" w:sz="6" w:space="0" w:color="auto"/>
              <w:right w:val="single" w:sz="6" w:space="0" w:color="auto"/>
            </w:tcBorders>
          </w:tcPr>
          <w:p w14:paraId="2F7B04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994" w:type="dxa"/>
            <w:tcBorders>
              <w:top w:val="single" w:sz="6" w:space="0" w:color="auto"/>
              <w:left w:val="single" w:sz="6" w:space="0" w:color="auto"/>
              <w:bottom w:val="single" w:sz="6" w:space="0" w:color="auto"/>
              <w:right w:val="single" w:sz="6" w:space="0" w:color="auto"/>
            </w:tcBorders>
          </w:tcPr>
          <w:p w14:paraId="1D7AEC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66" w:type="dxa"/>
            <w:tcBorders>
              <w:top w:val="single" w:sz="6" w:space="0" w:color="auto"/>
              <w:left w:val="single" w:sz="6" w:space="0" w:color="auto"/>
              <w:bottom w:val="single" w:sz="6" w:space="0" w:color="auto"/>
              <w:right w:val="single" w:sz="6" w:space="0" w:color="auto"/>
            </w:tcBorders>
          </w:tcPr>
          <w:p w14:paraId="0FDEF39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400 m, </w:t>
            </w:r>
          </w:p>
          <w:p w14:paraId="7734D9D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800 m </w:t>
            </w:r>
          </w:p>
          <w:p w14:paraId="419657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1600 m</w:t>
            </w:r>
          </w:p>
          <w:p w14:paraId="3FB2A0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around each dwelling.</w:t>
            </w:r>
          </w:p>
        </w:tc>
        <w:tc>
          <w:tcPr>
            <w:tcW w:w="1264" w:type="dxa"/>
            <w:tcBorders>
              <w:top w:val="single" w:sz="6" w:space="0" w:color="auto"/>
              <w:left w:val="single" w:sz="6" w:space="0" w:color="auto"/>
              <w:bottom w:val="single" w:sz="6" w:space="0" w:color="auto"/>
              <w:right w:val="single" w:sz="6" w:space="0" w:color="auto"/>
            </w:tcBorders>
          </w:tcPr>
          <w:p w14:paraId="42D35A1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Cycling participation </w:t>
            </w:r>
          </w:p>
          <w:p w14:paraId="4134099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(any vs. none) in the prior 3 months.</w:t>
            </w:r>
          </w:p>
        </w:tc>
        <w:tc>
          <w:tcPr>
            <w:tcW w:w="1796" w:type="dxa"/>
            <w:tcBorders>
              <w:top w:val="single" w:sz="6" w:space="0" w:color="auto"/>
              <w:left w:val="single" w:sz="6" w:space="0" w:color="auto"/>
              <w:bottom w:val="single" w:sz="6" w:space="0" w:color="auto"/>
              <w:right w:val="single" w:sz="6" w:space="0" w:color="auto"/>
            </w:tcBorders>
          </w:tcPr>
          <w:p w14:paraId="0460822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Face-to-face interviews in the 2011 Hong Kong Travel Characteristics Survey </w:t>
            </w:r>
          </w:p>
          <w:p w14:paraId="056EEB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(cycling frequency recalled for the preceding 3 months; geocoded dwelling locations).</w:t>
            </w:r>
          </w:p>
        </w:tc>
        <w:tc>
          <w:tcPr>
            <w:tcW w:w="1264" w:type="dxa"/>
            <w:tcBorders>
              <w:top w:val="single" w:sz="6" w:space="0" w:color="auto"/>
              <w:left w:val="single" w:sz="6" w:space="0" w:color="auto"/>
              <w:bottom w:val="single" w:sz="6" w:space="0" w:color="auto"/>
              <w:right w:val="single" w:sz="6" w:space="0" w:color="auto"/>
            </w:tcBorders>
          </w:tcPr>
          <w:p w14:paraId="0B4DE1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tc>
        <w:tc>
          <w:tcPr>
            <w:tcW w:w="1339" w:type="dxa"/>
            <w:tcBorders>
              <w:top w:val="single" w:sz="6" w:space="0" w:color="auto"/>
              <w:left w:val="single" w:sz="6" w:space="0" w:color="auto"/>
              <w:bottom w:val="single" w:sz="6" w:space="0" w:color="auto"/>
              <w:right w:val="single" w:sz="6" w:space="0" w:color="auto"/>
            </w:tcBorders>
          </w:tcPr>
          <w:p w14:paraId="45CCD39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population density, </w:t>
            </w:r>
          </w:p>
          <w:p w14:paraId="5DDEBB1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 intersection density, </w:t>
            </w:r>
          </w:p>
          <w:p w14:paraId="44BB929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land-use mix, </w:t>
            </w:r>
          </w:p>
          <w:p w14:paraId="6AF421D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bike lane density, </w:t>
            </w:r>
          </w:p>
          <w:p w14:paraId="32C2432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number of bus stops, </w:t>
            </w:r>
          </w:p>
          <w:p w14:paraId="61968B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number of retail shops, </w:t>
            </w:r>
          </w:p>
          <w:p w14:paraId="676FBC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terrain slope, </w:t>
            </w:r>
          </w:p>
          <w:p w14:paraId="4491D8B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distance to nearest MTR station; </w:t>
            </w:r>
          </w:p>
          <w:p w14:paraId="2A32E4C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D8078E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44AABCA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household income.</w:t>
            </w:r>
          </w:p>
        </w:tc>
        <w:tc>
          <w:tcPr>
            <w:tcW w:w="1170" w:type="dxa"/>
            <w:tcBorders>
              <w:top w:val="single" w:sz="6" w:space="0" w:color="auto"/>
              <w:left w:val="single" w:sz="6" w:space="0" w:color="auto"/>
              <w:bottom w:val="single" w:sz="6" w:space="0" w:color="auto"/>
              <w:right w:val="single" w:sz="6" w:space="0" w:color="auto"/>
            </w:tcBorders>
          </w:tcPr>
          <w:p w14:paraId="651486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(per 1.0 unit increase in NDVI)</w:t>
            </w:r>
          </w:p>
        </w:tc>
        <w:tc>
          <w:tcPr>
            <w:tcW w:w="3960" w:type="dxa"/>
            <w:gridSpan w:val="3"/>
            <w:tcBorders>
              <w:top w:val="single" w:sz="6" w:space="0" w:color="auto"/>
              <w:left w:val="single" w:sz="6" w:space="0" w:color="auto"/>
              <w:bottom w:val="single" w:sz="6" w:space="0" w:color="auto"/>
              <w:right w:val="single" w:sz="6" w:space="0" w:color="auto"/>
            </w:tcBorders>
          </w:tcPr>
          <w:p w14:paraId="5F812D3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 (400 m): OR 1.04 (95% CI 0.88–1.24), p=0.585. </w:t>
            </w:r>
          </w:p>
          <w:p w14:paraId="79AF7D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5C66DE4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 (800 m): OR 1.02 (95% CI 0.75–1.39), p=0.882. </w:t>
            </w:r>
          </w:p>
          <w:p w14:paraId="7169DB1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05074CB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(1,600 m): OR 1.14 (95% CI 0.85–1.54), p=0.379.</w:t>
            </w:r>
          </w:p>
        </w:tc>
        <w:tc>
          <w:tcPr>
            <w:tcW w:w="1620" w:type="dxa"/>
            <w:tcBorders>
              <w:top w:val="single" w:sz="6" w:space="0" w:color="auto"/>
              <w:left w:val="single" w:sz="6" w:space="0" w:color="auto"/>
              <w:bottom w:val="single" w:sz="6" w:space="0" w:color="auto"/>
              <w:right w:val="single" w:sz="6" w:space="0" w:color="auto"/>
            </w:tcBorders>
          </w:tcPr>
          <w:p w14:paraId="0416BB1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Null </w:t>
            </w:r>
          </w:p>
          <w:p w14:paraId="7712F93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statistically significant association between NDVI and cycling across buffers).</w:t>
            </w:r>
          </w:p>
        </w:tc>
      </w:tr>
      <w:tr w:rsidR="004301B5" w:rsidRPr="002D669D" w14:paraId="11009512" w14:textId="77777777" w:rsidTr="00A136E2">
        <w:trPr>
          <w:trHeight w:val="3945"/>
        </w:trPr>
        <w:tc>
          <w:tcPr>
            <w:tcW w:w="1174" w:type="dxa"/>
            <w:tcBorders>
              <w:top w:val="single" w:sz="6" w:space="0" w:color="auto"/>
              <w:left w:val="single" w:sz="4" w:space="0" w:color="auto"/>
              <w:bottom w:val="single" w:sz="6" w:space="0" w:color="auto"/>
              <w:right w:val="single" w:sz="6" w:space="0" w:color="auto"/>
            </w:tcBorders>
          </w:tcPr>
          <w:p w14:paraId="3E1C1C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Persson et al.,</w:t>
            </w:r>
          </w:p>
          <w:p w14:paraId="577129D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2019</w:t>
            </w:r>
          </w:p>
        </w:tc>
        <w:tc>
          <w:tcPr>
            <w:tcW w:w="899" w:type="dxa"/>
            <w:tcBorders>
              <w:top w:val="single" w:sz="6" w:space="0" w:color="auto"/>
              <w:left w:val="single" w:sz="6" w:space="0" w:color="auto"/>
              <w:bottom w:val="single" w:sz="6" w:space="0" w:color="auto"/>
              <w:right w:val="single" w:sz="6" w:space="0" w:color="auto"/>
            </w:tcBorders>
          </w:tcPr>
          <w:p w14:paraId="2B5EC18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Sweden</w:t>
            </w:r>
          </w:p>
        </w:tc>
        <w:tc>
          <w:tcPr>
            <w:tcW w:w="1079" w:type="dxa"/>
            <w:tcBorders>
              <w:top w:val="single" w:sz="6" w:space="0" w:color="auto"/>
              <w:left w:val="single" w:sz="6" w:space="0" w:color="auto"/>
              <w:bottom w:val="single" w:sz="6" w:space="0" w:color="auto"/>
              <w:right w:val="single" w:sz="6" w:space="0" w:color="auto"/>
            </w:tcBorders>
          </w:tcPr>
          <w:p w14:paraId="6D32EFC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 cohort</w:t>
            </w:r>
          </w:p>
        </w:tc>
        <w:tc>
          <w:tcPr>
            <w:tcW w:w="990" w:type="dxa"/>
            <w:tcBorders>
              <w:top w:val="single" w:sz="6" w:space="0" w:color="auto"/>
              <w:left w:val="single" w:sz="6" w:space="0" w:color="auto"/>
              <w:bottom w:val="single" w:sz="6" w:space="0" w:color="auto"/>
              <w:right w:val="single" w:sz="6" w:space="0" w:color="auto"/>
            </w:tcBorders>
          </w:tcPr>
          <w:p w14:paraId="56262E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42,611</w:t>
            </w:r>
          </w:p>
        </w:tc>
        <w:tc>
          <w:tcPr>
            <w:tcW w:w="1350" w:type="dxa"/>
            <w:tcBorders>
              <w:top w:val="single" w:sz="6" w:space="0" w:color="auto"/>
              <w:left w:val="single" w:sz="6" w:space="0" w:color="auto"/>
              <w:bottom w:val="single" w:sz="6" w:space="0" w:color="auto"/>
              <w:right w:val="single" w:sz="6" w:space="0" w:color="auto"/>
            </w:tcBorders>
          </w:tcPr>
          <w:p w14:paraId="11DFBD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from the Stockholm Public Health Cohort</w:t>
            </w:r>
          </w:p>
          <w:p w14:paraId="4F7F722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674BF2C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baseline mean 55 (SD 15)</w:t>
            </w:r>
          </w:p>
          <w:p w14:paraId="67AC97C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63467F1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5 TM and</w:t>
            </w:r>
          </w:p>
          <w:p w14:paraId="22863CC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Landsat 8</w:t>
            </w:r>
          </w:p>
        </w:tc>
        <w:tc>
          <w:tcPr>
            <w:tcW w:w="994" w:type="dxa"/>
            <w:tcBorders>
              <w:top w:val="single" w:sz="6" w:space="0" w:color="auto"/>
              <w:left w:val="single" w:sz="6" w:space="0" w:color="auto"/>
              <w:bottom w:val="single" w:sz="6" w:space="0" w:color="auto"/>
              <w:right w:val="single" w:sz="6" w:space="0" w:color="auto"/>
            </w:tcBorders>
          </w:tcPr>
          <w:p w14:paraId="12D619E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3AAB64B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 and 2 km circular buffers around SAMS centroids</w:t>
            </w:r>
          </w:p>
        </w:tc>
        <w:tc>
          <w:tcPr>
            <w:tcW w:w="1264" w:type="dxa"/>
            <w:tcBorders>
              <w:top w:val="single" w:sz="6" w:space="0" w:color="auto"/>
              <w:left w:val="single" w:sz="6" w:space="0" w:color="auto"/>
              <w:bottom w:val="single" w:sz="6" w:space="0" w:color="auto"/>
              <w:right w:val="single" w:sz="6" w:space="0" w:color="auto"/>
            </w:tcBorders>
          </w:tcPr>
          <w:p w14:paraId="5C439F1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Walking/cycling (daily categories)</w:t>
            </w:r>
          </w:p>
          <w:p w14:paraId="293C053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(2) Exercise (weekly categories), each coded as change from 2010→2014: </w:t>
            </w:r>
          </w:p>
          <w:p w14:paraId="7E9FBA4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decreased / stable / increased</w:t>
            </w:r>
          </w:p>
        </w:tc>
        <w:tc>
          <w:tcPr>
            <w:tcW w:w="1796" w:type="dxa"/>
            <w:tcBorders>
              <w:top w:val="single" w:sz="6" w:space="0" w:color="auto"/>
              <w:left w:val="single" w:sz="6" w:space="0" w:color="auto"/>
              <w:bottom w:val="single" w:sz="6" w:space="0" w:color="auto"/>
              <w:right w:val="single" w:sz="6" w:space="0" w:color="auto"/>
            </w:tcBorders>
          </w:tcPr>
          <w:p w14:paraId="50B95C2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PAQ questionnaire</w:t>
            </w:r>
          </w:p>
        </w:tc>
        <w:tc>
          <w:tcPr>
            <w:tcW w:w="1264" w:type="dxa"/>
            <w:tcBorders>
              <w:top w:val="single" w:sz="6" w:space="0" w:color="auto"/>
              <w:left w:val="single" w:sz="6" w:space="0" w:color="auto"/>
              <w:bottom w:val="single" w:sz="6" w:space="0" w:color="auto"/>
              <w:right w:val="single" w:sz="6" w:space="0" w:color="auto"/>
            </w:tcBorders>
          </w:tcPr>
          <w:p w14:paraId="7212214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Multinomial logistic regression</w:t>
            </w:r>
          </w:p>
        </w:tc>
        <w:tc>
          <w:tcPr>
            <w:tcW w:w="1339" w:type="dxa"/>
            <w:tcBorders>
              <w:top w:val="single" w:sz="6" w:space="0" w:color="auto"/>
              <w:left w:val="single" w:sz="6" w:space="0" w:color="auto"/>
              <w:bottom w:val="single" w:sz="6" w:space="0" w:color="auto"/>
              <w:right w:val="single" w:sz="6" w:space="0" w:color="auto"/>
            </w:tcBorders>
          </w:tcPr>
          <w:p w14:paraId="3C92C4E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6599C44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70C1EF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070C48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area-based income; </w:t>
            </w:r>
          </w:p>
          <w:p w14:paraId="7D531D8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subgroup analyses by gender, </w:t>
            </w:r>
          </w:p>
          <w:p w14:paraId="78A15B9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6143F16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069090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area-based income</w:t>
            </w:r>
          </w:p>
        </w:tc>
        <w:tc>
          <w:tcPr>
            <w:tcW w:w="1170" w:type="dxa"/>
            <w:tcBorders>
              <w:top w:val="single" w:sz="6" w:space="0" w:color="auto"/>
              <w:left w:val="single" w:sz="6" w:space="0" w:color="auto"/>
              <w:bottom w:val="single" w:sz="6" w:space="0" w:color="auto"/>
              <w:right w:val="single" w:sz="6" w:space="0" w:color="auto"/>
            </w:tcBorders>
          </w:tcPr>
          <w:p w14:paraId="73016C2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ratios (OR)</w:t>
            </w:r>
          </w:p>
        </w:tc>
        <w:tc>
          <w:tcPr>
            <w:tcW w:w="2790" w:type="dxa"/>
            <w:gridSpan w:val="2"/>
            <w:tcBorders>
              <w:top w:val="single" w:sz="6" w:space="0" w:color="auto"/>
              <w:left w:val="single" w:sz="6" w:space="0" w:color="auto"/>
              <w:bottom w:val="single" w:sz="6" w:space="0" w:color="auto"/>
              <w:right w:val="single" w:sz="6" w:space="0" w:color="auto"/>
            </w:tcBorders>
          </w:tcPr>
          <w:p w14:paraId="189FFE9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walking/cycling</w:t>
            </w:r>
          </w:p>
          <w:p w14:paraId="4CF6FD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Decreased, moved to greener: OR 1.42 (95% CI 1.28–1.58)</w:t>
            </w:r>
          </w:p>
          <w:p w14:paraId="3A7A94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Decreased, moved to less green: OR 1.07 (0.96–1.19)</w:t>
            </w:r>
          </w:p>
          <w:p w14:paraId="0BA19D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Increased, moved to less green: OR 1.26 (1.13–1.41)</w:t>
            </w:r>
          </w:p>
          <w:p w14:paraId="521854F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Increased, moved to greener: OR 1.09 (0.97–1.22)</w:t>
            </w:r>
          </w:p>
          <w:p w14:paraId="0A7F69D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550CDB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Exercise</w:t>
            </w:r>
          </w:p>
          <w:p w14:paraId="694477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Decreased, moved to less green: OR 1.22 (1.09–1.36)</w:t>
            </w:r>
          </w:p>
          <w:p w14:paraId="02BB751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Decreased, moved to greener: OR 1.25 (1.12–1.38)</w:t>
            </w:r>
          </w:p>
          <w:p w14:paraId="6C886AF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Increased, moved to less green: OR 1.11 (0.99–1.24)</w:t>
            </w:r>
          </w:p>
          <w:p w14:paraId="487D78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Increased, moved to greener: OR 0.89 (0.79–0.99)</w:t>
            </w:r>
          </w:p>
        </w:tc>
        <w:tc>
          <w:tcPr>
            <w:tcW w:w="1170" w:type="dxa"/>
            <w:tcBorders>
              <w:top w:val="single" w:sz="6" w:space="0" w:color="auto"/>
              <w:left w:val="single" w:sz="6" w:space="0" w:color="auto"/>
              <w:bottom w:val="single" w:sz="6" w:space="0" w:color="auto"/>
              <w:right w:val="single" w:sz="6" w:space="0" w:color="auto"/>
            </w:tcBorders>
          </w:tcPr>
          <w:p w14:paraId="1083C7F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620" w:type="dxa"/>
            <w:tcBorders>
              <w:top w:val="single" w:sz="6" w:space="0" w:color="auto"/>
              <w:left w:val="single" w:sz="6" w:space="0" w:color="auto"/>
              <w:bottom w:val="single" w:sz="6" w:space="0" w:color="auto"/>
              <w:right w:val="single" w:sz="6" w:space="0" w:color="auto"/>
            </w:tcBorders>
          </w:tcPr>
          <w:p w14:paraId="2A9A70C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Contrary to the hypothesis—moving to a greener area associated with decreased walking/cycling; </w:t>
            </w:r>
          </w:p>
          <w:p w14:paraId="01E517F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moving to a less green area associated with increased walking/cycling. </w:t>
            </w:r>
          </w:p>
          <w:p w14:paraId="4CD48BB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For exercise, moving to either greener or less green areas associated with decreased exercise.</w:t>
            </w:r>
          </w:p>
        </w:tc>
      </w:tr>
      <w:tr w:rsidR="004301B5" w:rsidRPr="002D669D" w14:paraId="126801B2" w14:textId="77777777" w:rsidTr="00A136E2">
        <w:trPr>
          <w:trHeight w:val="3353"/>
        </w:trPr>
        <w:tc>
          <w:tcPr>
            <w:tcW w:w="1174" w:type="dxa"/>
            <w:tcBorders>
              <w:top w:val="single" w:sz="6" w:space="0" w:color="auto"/>
              <w:left w:val="single" w:sz="4" w:space="0" w:color="auto"/>
              <w:bottom w:val="single" w:sz="6" w:space="0" w:color="auto"/>
              <w:right w:val="single" w:sz="6" w:space="0" w:color="auto"/>
            </w:tcBorders>
          </w:tcPr>
          <w:p w14:paraId="2D9B1A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Villeneuve et al.</w:t>
            </w:r>
          </w:p>
          <w:p w14:paraId="3266600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2018</w:t>
            </w:r>
          </w:p>
        </w:tc>
        <w:tc>
          <w:tcPr>
            <w:tcW w:w="899" w:type="dxa"/>
            <w:tcBorders>
              <w:top w:val="single" w:sz="6" w:space="0" w:color="auto"/>
              <w:left w:val="single" w:sz="6" w:space="0" w:color="auto"/>
              <w:bottom w:val="single" w:sz="6" w:space="0" w:color="auto"/>
              <w:right w:val="single" w:sz="6" w:space="0" w:color="auto"/>
            </w:tcBorders>
          </w:tcPr>
          <w:p w14:paraId="1C7FC94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1079" w:type="dxa"/>
            <w:tcBorders>
              <w:top w:val="single" w:sz="6" w:space="0" w:color="auto"/>
              <w:left w:val="single" w:sz="6" w:space="0" w:color="auto"/>
              <w:bottom w:val="single" w:sz="6" w:space="0" w:color="auto"/>
              <w:right w:val="single" w:sz="6" w:space="0" w:color="auto"/>
            </w:tcBorders>
          </w:tcPr>
          <w:p w14:paraId="6D58D07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0341C61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282 </w:t>
            </w:r>
          </w:p>
        </w:tc>
        <w:tc>
          <w:tcPr>
            <w:tcW w:w="1350" w:type="dxa"/>
            <w:tcBorders>
              <w:top w:val="single" w:sz="6" w:space="0" w:color="auto"/>
              <w:left w:val="single" w:sz="6" w:space="0" w:color="auto"/>
              <w:bottom w:val="single" w:sz="6" w:space="0" w:color="auto"/>
              <w:right w:val="single" w:sz="6" w:space="0" w:color="auto"/>
            </w:tcBorders>
          </w:tcPr>
          <w:p w14:paraId="0D58181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 residents of Ottawa</w:t>
            </w:r>
          </w:p>
          <w:p w14:paraId="07A056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18–77 years</w:t>
            </w:r>
          </w:p>
        </w:tc>
        <w:tc>
          <w:tcPr>
            <w:tcW w:w="1440" w:type="dxa"/>
            <w:tcBorders>
              <w:top w:val="single" w:sz="6" w:space="0" w:color="auto"/>
              <w:left w:val="single" w:sz="6" w:space="0" w:color="auto"/>
              <w:bottom w:val="single" w:sz="6" w:space="0" w:color="auto"/>
              <w:right w:val="single" w:sz="6" w:space="0" w:color="auto"/>
            </w:tcBorders>
          </w:tcPr>
          <w:p w14:paraId="2D26A67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MODIS Aqua satellite</w:t>
            </w:r>
          </w:p>
        </w:tc>
        <w:tc>
          <w:tcPr>
            <w:tcW w:w="994" w:type="dxa"/>
            <w:tcBorders>
              <w:top w:val="single" w:sz="6" w:space="0" w:color="auto"/>
              <w:left w:val="single" w:sz="6" w:space="0" w:color="auto"/>
              <w:bottom w:val="single" w:sz="6" w:space="0" w:color="auto"/>
              <w:right w:val="single" w:sz="6" w:space="0" w:color="auto"/>
            </w:tcBorders>
          </w:tcPr>
          <w:p w14:paraId="3ECDD5C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tc>
        <w:tc>
          <w:tcPr>
            <w:tcW w:w="1166" w:type="dxa"/>
            <w:tcBorders>
              <w:top w:val="single" w:sz="6" w:space="0" w:color="auto"/>
              <w:left w:val="single" w:sz="6" w:space="0" w:color="auto"/>
              <w:bottom w:val="single" w:sz="6" w:space="0" w:color="auto"/>
              <w:right w:val="single" w:sz="6" w:space="0" w:color="auto"/>
            </w:tcBorders>
          </w:tcPr>
          <w:p w14:paraId="798E77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264" w:type="dxa"/>
            <w:tcBorders>
              <w:top w:val="single" w:sz="6" w:space="0" w:color="auto"/>
              <w:left w:val="single" w:sz="6" w:space="0" w:color="auto"/>
              <w:bottom w:val="single" w:sz="6" w:space="0" w:color="auto"/>
              <w:right w:val="single" w:sz="6" w:space="0" w:color="auto"/>
            </w:tcBorders>
          </w:tcPr>
          <w:p w14:paraId="697FC5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Weekly hours of self-reported recreational physical activity </w:t>
            </w:r>
          </w:p>
        </w:tc>
        <w:tc>
          <w:tcPr>
            <w:tcW w:w="1796" w:type="dxa"/>
            <w:tcBorders>
              <w:top w:val="single" w:sz="6" w:space="0" w:color="auto"/>
              <w:left w:val="single" w:sz="6" w:space="0" w:color="auto"/>
              <w:bottom w:val="single" w:sz="6" w:space="0" w:color="auto"/>
              <w:right w:val="single" w:sz="6" w:space="0" w:color="auto"/>
            </w:tcBorders>
          </w:tcPr>
          <w:p w14:paraId="65D4476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Online survey</w:t>
            </w:r>
          </w:p>
        </w:tc>
        <w:tc>
          <w:tcPr>
            <w:tcW w:w="1264" w:type="dxa"/>
            <w:tcBorders>
              <w:top w:val="single" w:sz="6" w:space="0" w:color="auto"/>
              <w:left w:val="single" w:sz="6" w:space="0" w:color="auto"/>
              <w:bottom w:val="single" w:sz="6" w:space="0" w:color="auto"/>
              <w:right w:val="single" w:sz="6" w:space="0" w:color="auto"/>
            </w:tcBorders>
          </w:tcPr>
          <w:p w14:paraId="1BC507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Least squares regression</w:t>
            </w:r>
          </w:p>
        </w:tc>
        <w:tc>
          <w:tcPr>
            <w:tcW w:w="1339" w:type="dxa"/>
            <w:tcBorders>
              <w:top w:val="single" w:sz="6" w:space="0" w:color="auto"/>
              <w:left w:val="single" w:sz="6" w:space="0" w:color="auto"/>
              <w:bottom w:val="single" w:sz="6" w:space="0" w:color="auto"/>
              <w:right w:val="single" w:sz="6" w:space="0" w:color="auto"/>
            </w:tcBorders>
          </w:tcPr>
          <w:p w14:paraId="70B9B5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1F876DE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298FD3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0D9F1EB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marital status, </w:t>
            </w:r>
          </w:p>
          <w:p w14:paraId="2C6A194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children under 5 in household, </w:t>
            </w:r>
          </w:p>
          <w:p w14:paraId="7D58F84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years in neighbourhood,</w:t>
            </w:r>
          </w:p>
          <w:p w14:paraId="593AD30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perceived neighbourhood safety</w:t>
            </w:r>
          </w:p>
        </w:tc>
        <w:tc>
          <w:tcPr>
            <w:tcW w:w="1170" w:type="dxa"/>
            <w:tcBorders>
              <w:top w:val="single" w:sz="6" w:space="0" w:color="auto"/>
              <w:left w:val="single" w:sz="6" w:space="0" w:color="auto"/>
              <w:bottom w:val="single" w:sz="6" w:space="0" w:color="auto"/>
              <w:right w:val="single" w:sz="6" w:space="0" w:color="auto"/>
            </w:tcBorders>
          </w:tcPr>
          <w:p w14:paraId="40BE95C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mean hours/week across quartiles</w:t>
            </w:r>
          </w:p>
        </w:tc>
        <w:tc>
          <w:tcPr>
            <w:tcW w:w="3960" w:type="dxa"/>
            <w:gridSpan w:val="3"/>
            <w:tcBorders>
              <w:top w:val="single" w:sz="6" w:space="0" w:color="auto"/>
              <w:left w:val="single" w:sz="6" w:space="0" w:color="auto"/>
              <w:bottom w:val="single" w:sz="6" w:space="0" w:color="auto"/>
              <w:right w:val="single" w:sz="6" w:space="0" w:color="auto"/>
            </w:tcBorders>
          </w:tcPr>
          <w:p w14:paraId="6A84AB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Summer overall leisure PA: </w:t>
            </w:r>
          </w:p>
          <w:p w14:paraId="7EBF3C9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 11.5, 13.8, 12.1 h/wk; p = 0.28</w:t>
            </w:r>
          </w:p>
          <w:p w14:paraId="0983A53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A66630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Summer neighbourhood leisure PA: </w:t>
            </w:r>
          </w:p>
          <w:p w14:paraId="64F2164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 7.1, 8.5, 7.0 h/wk; p = 0.14</w:t>
            </w:r>
          </w:p>
          <w:p w14:paraId="364C88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310EABD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Winter overall leisure PA: </w:t>
            </w:r>
          </w:p>
          <w:p w14:paraId="1AE2E86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6.9, 5.8, 7.1, 4.8 h/wk; p = 0.47</w:t>
            </w:r>
          </w:p>
          <w:p w14:paraId="0DFB02C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71A63E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Winter neighbourhood leisure PA: </w:t>
            </w:r>
          </w:p>
          <w:p w14:paraId="11C0FC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3.1, 3.3, 4.1, 2.9 h/wk; p = 0.37</w:t>
            </w:r>
          </w:p>
          <w:p w14:paraId="3392451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620" w:type="dxa"/>
            <w:tcBorders>
              <w:top w:val="single" w:sz="6" w:space="0" w:color="auto"/>
              <w:left w:val="single" w:sz="6" w:space="0" w:color="auto"/>
              <w:bottom w:val="single" w:sz="6" w:space="0" w:color="auto"/>
              <w:right w:val="single" w:sz="6" w:space="0" w:color="auto"/>
            </w:tcBorders>
          </w:tcPr>
          <w:p w14:paraId="0D70FF9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Null for NDVI </w:t>
            </w:r>
          </w:p>
          <w:p w14:paraId="430ADA5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significant associations with physical activity, PCS, or MCS scores).</w:t>
            </w:r>
          </w:p>
        </w:tc>
      </w:tr>
      <w:tr w:rsidR="004301B5" w:rsidRPr="002D669D" w14:paraId="5051B8F1" w14:textId="77777777" w:rsidTr="00A136E2">
        <w:trPr>
          <w:trHeight w:val="8606"/>
        </w:trPr>
        <w:tc>
          <w:tcPr>
            <w:tcW w:w="1174" w:type="dxa"/>
            <w:tcBorders>
              <w:top w:val="single" w:sz="6" w:space="0" w:color="auto"/>
              <w:left w:val="single" w:sz="4" w:space="0" w:color="auto"/>
              <w:bottom w:val="single" w:sz="6" w:space="0" w:color="auto"/>
              <w:right w:val="single" w:sz="6" w:space="0" w:color="auto"/>
            </w:tcBorders>
          </w:tcPr>
          <w:p w14:paraId="4EE5BEA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 xml:space="preserve">Klompmaker et al.,</w:t>
            </w:r>
          </w:p>
          <w:p w14:paraId="5ECF862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2018</w:t>
            </w:r>
          </w:p>
        </w:tc>
        <w:tc>
          <w:tcPr>
            <w:tcW w:w="899" w:type="dxa"/>
            <w:tcBorders>
              <w:top w:val="single" w:sz="6" w:space="0" w:color="auto"/>
              <w:left w:val="single" w:sz="6" w:space="0" w:color="auto"/>
              <w:bottom w:val="single" w:sz="6" w:space="0" w:color="auto"/>
              <w:right w:val="single" w:sz="6" w:space="0" w:color="auto"/>
            </w:tcBorders>
          </w:tcPr>
          <w:p w14:paraId="5A5A413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Netherlands</w:t>
            </w:r>
          </w:p>
        </w:tc>
        <w:tc>
          <w:tcPr>
            <w:tcW w:w="1079" w:type="dxa"/>
            <w:tcBorders>
              <w:top w:val="single" w:sz="6" w:space="0" w:color="auto"/>
              <w:left w:val="single" w:sz="6" w:space="0" w:color="auto"/>
              <w:bottom w:val="single" w:sz="6" w:space="0" w:color="auto"/>
              <w:right w:val="single" w:sz="6" w:space="0" w:color="auto"/>
            </w:tcBorders>
          </w:tcPr>
          <w:p w14:paraId="5384938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201D67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354,827 </w:t>
            </w:r>
          </w:p>
        </w:tc>
        <w:tc>
          <w:tcPr>
            <w:tcW w:w="1350" w:type="dxa"/>
            <w:tcBorders>
              <w:top w:val="single" w:sz="6" w:space="0" w:color="auto"/>
              <w:left w:val="single" w:sz="6" w:space="0" w:color="auto"/>
              <w:bottom w:val="single" w:sz="6" w:space="0" w:color="auto"/>
              <w:right w:val="single" w:sz="6" w:space="0" w:color="auto"/>
            </w:tcBorders>
          </w:tcPr>
          <w:p w14:paraId="2313E84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adult population</w:t>
            </w:r>
          </w:p>
          <w:p w14:paraId="4DC3B9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≥19 years</w:t>
            </w:r>
          </w:p>
        </w:tc>
        <w:tc>
          <w:tcPr>
            <w:tcW w:w="1440" w:type="dxa"/>
            <w:tcBorders>
              <w:top w:val="single" w:sz="6" w:space="0" w:color="auto"/>
              <w:left w:val="single" w:sz="6" w:space="0" w:color="auto"/>
              <w:bottom w:val="single" w:sz="6" w:space="0" w:color="auto"/>
              <w:right w:val="single" w:sz="6" w:space="0" w:color="auto"/>
            </w:tcBorders>
          </w:tcPr>
          <w:p w14:paraId="68B6E4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5 TM</w:t>
            </w:r>
          </w:p>
        </w:tc>
        <w:tc>
          <w:tcPr>
            <w:tcW w:w="994" w:type="dxa"/>
            <w:tcBorders>
              <w:top w:val="single" w:sz="6" w:space="0" w:color="auto"/>
              <w:left w:val="single" w:sz="6" w:space="0" w:color="auto"/>
              <w:bottom w:val="single" w:sz="6" w:space="0" w:color="auto"/>
              <w:right w:val="single" w:sz="6" w:space="0" w:color="auto"/>
            </w:tcBorders>
          </w:tcPr>
          <w:p w14:paraId="4B6188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 m </w:t>
            </w:r>
          </w:p>
        </w:tc>
        <w:tc>
          <w:tcPr>
            <w:tcW w:w="1166" w:type="dxa"/>
            <w:tcBorders>
              <w:top w:val="single" w:sz="6" w:space="0" w:color="auto"/>
              <w:left w:val="single" w:sz="6" w:space="0" w:color="auto"/>
              <w:bottom w:val="single" w:sz="6" w:space="0" w:color="auto"/>
              <w:right w:val="single" w:sz="6" w:space="0" w:color="auto"/>
            </w:tcBorders>
          </w:tcPr>
          <w:p w14:paraId="77D00C2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 </w:t>
            </w:r>
          </w:p>
          <w:p w14:paraId="036FE6C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300, </w:t>
            </w:r>
          </w:p>
          <w:p w14:paraId="76F51E4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w:t>
            </w:r>
          </w:p>
          <w:p w14:paraId="3496AC2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1000, </w:t>
            </w:r>
          </w:p>
          <w:p w14:paraId="13566C6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3000 m </w:t>
            </w:r>
          </w:p>
          <w:p w14:paraId="7589229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(circular buffers around residences).</w:t>
            </w:r>
          </w:p>
        </w:tc>
        <w:tc>
          <w:tcPr>
            <w:tcW w:w="1264" w:type="dxa"/>
            <w:tcBorders>
              <w:top w:val="single" w:sz="6" w:space="0" w:color="auto"/>
              <w:left w:val="single" w:sz="6" w:space="0" w:color="auto"/>
              <w:bottom w:val="single" w:sz="6" w:space="0" w:color="auto"/>
              <w:right w:val="single" w:sz="6" w:space="0" w:color="auto"/>
            </w:tcBorders>
          </w:tcPr>
          <w:p w14:paraId="290050F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Outdoor moderate-to-vigorous physical activity ≥150 min/week (binary);</w:t>
            </w:r>
          </w:p>
          <w:p w14:paraId="0C2F25C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also analyzed as minutes/week (continuous).</w:t>
            </w:r>
          </w:p>
        </w:tc>
        <w:tc>
          <w:tcPr>
            <w:tcW w:w="1796" w:type="dxa"/>
            <w:tcBorders>
              <w:top w:val="single" w:sz="6" w:space="0" w:color="auto"/>
              <w:left w:val="single" w:sz="6" w:space="0" w:color="auto"/>
              <w:bottom w:val="single" w:sz="6" w:space="0" w:color="auto"/>
              <w:right w:val="single" w:sz="6" w:space="0" w:color="auto"/>
            </w:tcBorders>
          </w:tcPr>
          <w:p w14:paraId="07C8AAB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PA from PHM</w:t>
            </w:r>
          </w:p>
        </w:tc>
        <w:tc>
          <w:tcPr>
            <w:tcW w:w="1264" w:type="dxa"/>
            <w:tcBorders>
              <w:top w:val="single" w:sz="6" w:space="0" w:color="auto"/>
              <w:left w:val="single" w:sz="6" w:space="0" w:color="auto"/>
              <w:bottom w:val="single" w:sz="6" w:space="0" w:color="auto"/>
              <w:right w:val="single" w:sz="6" w:space="0" w:color="auto"/>
            </w:tcBorders>
          </w:tcPr>
          <w:p w14:paraId="384A188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 for binary PA outcome</w:t>
            </w:r>
          </w:p>
        </w:tc>
        <w:tc>
          <w:tcPr>
            <w:tcW w:w="1339" w:type="dxa"/>
            <w:tcBorders>
              <w:top w:val="single" w:sz="6" w:space="0" w:color="auto"/>
              <w:left w:val="single" w:sz="6" w:space="0" w:color="auto"/>
              <w:bottom w:val="single" w:sz="6" w:space="0" w:color="auto"/>
              <w:right w:val="single" w:sz="6" w:space="0" w:color="auto"/>
            </w:tcBorders>
          </w:tcPr>
          <w:p w14:paraId="0D9AE78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0AB0F7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4219210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5913CF5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country of origin, </w:t>
            </w:r>
          </w:p>
          <w:p w14:paraId="680654B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55EC999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work, </w:t>
            </w:r>
          </w:p>
          <w:p w14:paraId="70CE118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household income, </w:t>
            </w:r>
          </w:p>
          <w:p w14:paraId="2C83145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w:t>
            </w:r>
          </w:p>
          <w:p w14:paraId="3BAF9B7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alcohol, </w:t>
            </w:r>
          </w:p>
          <w:p w14:paraId="5AEC83A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indoor physical activity, </w:t>
            </w:r>
          </w:p>
          <w:p w14:paraId="3E8403A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SES, </w:t>
            </w:r>
          </w:p>
          <w:p w14:paraId="698BD60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degree of urbanization</w:t>
            </w:r>
          </w:p>
        </w:tc>
        <w:tc>
          <w:tcPr>
            <w:tcW w:w="1170" w:type="dxa"/>
            <w:tcBorders>
              <w:top w:val="single" w:sz="6" w:space="0" w:color="auto"/>
              <w:left w:val="single" w:sz="6" w:space="0" w:color="auto"/>
              <w:bottom w:val="single" w:sz="6" w:space="0" w:color="auto"/>
              <w:right w:val="single" w:sz="6" w:space="0" w:color="auto"/>
            </w:tcBorders>
          </w:tcPr>
          <w:p w14:paraId="349FDB7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2790" w:type="dxa"/>
            <w:gridSpan w:val="2"/>
            <w:tcBorders>
              <w:top w:val="single" w:sz="6" w:space="0" w:color="auto"/>
              <w:left w:val="single" w:sz="6" w:space="0" w:color="auto"/>
              <w:bottom w:val="single" w:sz="6" w:space="0" w:color="auto"/>
              <w:right w:val="single" w:sz="6" w:space="0" w:color="auto"/>
            </w:tcBorders>
          </w:tcPr>
          <w:p w14:paraId="73B3FC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 m buffer</w:t>
            </w:r>
          </w:p>
          <w:p w14:paraId="5AE361D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Q2: OR = 1.06 (1.03, 1.09)</w:t>
            </w:r>
          </w:p>
          <w:p w14:paraId="602DCB7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Q3: OR = 1.08 (1.05, 1.11)</w:t>
            </w:r>
          </w:p>
          <w:p w14:paraId="57E3D4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Q4: OR = 1.12 (1.09, 1.15)</w:t>
            </w:r>
          </w:p>
          <w:p w14:paraId="5A61A92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Q5: OR = 1.18 (1.15, 1.21)</w:t>
            </w:r>
          </w:p>
          <w:p w14:paraId="6FA3875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6F8B57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300 m buffer</w:t>
            </w:r>
          </w:p>
          <w:p w14:paraId="4FAA219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Q2: OR = 1.08 (1.05, 1.11)</w:t>
            </w:r>
          </w:p>
          <w:p w14:paraId="4CD8BE8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Q3: OR = 1.10 (1.07, 1.13)</w:t>
            </w:r>
          </w:p>
          <w:p w14:paraId="3212453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Q4: OR = 1.13 (1.10, 1.16)</w:t>
            </w:r>
          </w:p>
          <w:p w14:paraId="01F638B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Q5: OR = 1.14 (1.10, 1.17)</w:t>
            </w:r>
          </w:p>
          <w:p w14:paraId="5DEA368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7D3B549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500 m buffer</w:t>
            </w:r>
          </w:p>
          <w:p w14:paraId="682899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Q2: OR = 1.06 (1.03, 1.09)</w:t>
            </w:r>
          </w:p>
          <w:p w14:paraId="789CF2B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Q3: OR = 1.09 (1.06, 1.12)</w:t>
            </w:r>
          </w:p>
          <w:p w14:paraId="38193BE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Q4: OR = 1.12 (1.09, 1.15)</w:t>
            </w:r>
          </w:p>
          <w:p w14:paraId="3B1B5DC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Q5: OR = 1.13 (1.10, 1.16)</w:t>
            </w:r>
          </w:p>
          <w:p w14:paraId="23E9DE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5E0BD50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1000 m buffer</w:t>
            </w:r>
          </w:p>
          <w:p w14:paraId="06F99AB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Q2: OR = 1.05 (1.02, 1.08)</w:t>
            </w:r>
          </w:p>
          <w:p w14:paraId="30B1E28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Q3: OR = 1.08 (1.05, 1.11)</w:t>
            </w:r>
          </w:p>
          <w:p w14:paraId="334D4D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Q4: OR = 1.10 (1.07, 1.13)</w:t>
            </w:r>
          </w:p>
          <w:p w14:paraId="37A816D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Q5: OR = 1.10 (1.07, 1.13)</w:t>
            </w:r>
          </w:p>
          <w:p w14:paraId="468131E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6563AE0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3000 m buffer</w:t>
            </w:r>
          </w:p>
          <w:p w14:paraId="3C171C5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Q2: OR = 1.05 (1.02, 1.08)</w:t>
            </w:r>
          </w:p>
          <w:p w14:paraId="5DA7872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Q3: OR = 1.06 (1.03, 1.09)</w:t>
            </w:r>
          </w:p>
          <w:p w14:paraId="7EF9CB6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Q4: OR = 1.08 (1.05, 1.11)</w:t>
            </w:r>
          </w:p>
          <w:p w14:paraId="4FFDD4A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Q5: OR = 1.08 (1.05, 1.11)</w:t>
            </w:r>
          </w:p>
        </w:tc>
        <w:tc>
          <w:tcPr>
            <w:tcW w:w="1170" w:type="dxa"/>
            <w:tcBorders>
              <w:top w:val="single" w:sz="6" w:space="0" w:color="auto"/>
              <w:left w:val="single" w:sz="6" w:space="0" w:color="auto"/>
              <w:bottom w:val="single" w:sz="6" w:space="0" w:color="auto"/>
              <w:right w:val="single" w:sz="6" w:space="0" w:color="auto"/>
            </w:tcBorders>
          </w:tcPr>
          <w:p w14:paraId="57D43CE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620" w:type="dxa"/>
            <w:tcBorders>
              <w:top w:val="single" w:sz="6" w:space="0" w:color="auto"/>
              <w:left w:val="single" w:sz="6" w:space="0" w:color="auto"/>
              <w:bottom w:val="single" w:sz="6" w:space="0" w:color="auto"/>
              <w:right w:val="single" w:sz="6" w:space="0" w:color="auto"/>
            </w:tcBorders>
          </w:tcPr>
          <w:p w14:paraId="0432084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xml:space="preserve">100 m buffer: </w:t>
            </w:r>
            <w:r>
              <w:rPr>
                <w:rFonts w:asciiTheme="majorBidi" w:hAnsiTheme="majorBidi" w:cstheme="majorBidi"/>
                <w:color w:val="000000"/>
                <w:kern w:val="0"/>
                <w:sz w:val="18"/>
                <w:szCs w:val="18"/>
              </w:rPr>
              <w:t xml:space="preserve">Positive </w:t>
            </w:r>
          </w:p>
          <w:p w14:paraId="0E7507E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higher NDVI associated with higher odds of being ≥150 min/week physically active outdoors </w:t>
            </w:r>
          </w:p>
          <w:p w14:paraId="3ABDF1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300 m buffer:</w:t>
            </w:r>
            <w:r>
              <w:rPr>
                <w:rFonts w:asciiTheme="majorBidi" w:hAnsiTheme="majorBidi" w:cstheme="majorBidi"/>
                <w:color w:val="000000"/>
                <w:kern w:val="0"/>
                <w:sz w:val="18"/>
                <w:szCs w:val="18"/>
              </w:rPr>
              <w:t xml:space="preserve"> Positive </w:t>
            </w:r>
          </w:p>
          <w:p w14:paraId="23E2E23F" w14:textId="77777777" w:rsidR="004301B5"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higher NDVI consistently associated with greater odds of outdoor PA ≥150 min/week </w:t>
            </w:r>
          </w:p>
          <w:p w14:paraId="520E5E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500 m buffer:</w:t>
            </w:r>
            <w:r>
              <w:rPr>
                <w:rFonts w:asciiTheme="majorBidi" w:hAnsiTheme="majorBidi" w:cstheme="majorBidi"/>
                <w:color w:val="000000"/>
                <w:kern w:val="0"/>
                <w:sz w:val="18"/>
                <w:szCs w:val="18"/>
              </w:rPr>
              <w:t xml:space="preserve"> Positive</w:t>
            </w:r>
          </w:p>
          <w:p w14:paraId="0C5DAF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 higher NDVI associated with higher odds of outdoor PA ≥150 min/week, effect slightly smaller than 100–300 m buffers </w:t>
            </w:r>
          </w:p>
          <w:p w14:paraId="01171B5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1000 m buffer:</w:t>
            </w:r>
            <w:r>
              <w:rPr>
                <w:rFonts w:asciiTheme="majorBidi" w:hAnsiTheme="majorBidi" w:cstheme="majorBidi"/>
                <w:color w:val="000000"/>
                <w:kern w:val="0"/>
                <w:sz w:val="18"/>
                <w:szCs w:val="18"/>
              </w:rPr>
              <w:t xml:space="preserve"> Positive </w:t>
            </w:r>
          </w:p>
          <w:p w14:paraId="6E80639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higher NDVI associated with higher odds of outdoor PA ≥150 min/week, weaker than smaller buffers </w:t>
            </w:r>
            <w:r>
              <w:rPr>
                <w:rFonts w:asciiTheme="majorBidi" w:hAnsiTheme="majorBidi" w:cstheme="majorBidi"/>
                <w:b/>
                <w:bCs/>
                <w:color w:val="000000"/>
                <w:kern w:val="0"/>
                <w:sz w:val="18"/>
                <w:szCs w:val="18"/>
              </w:rPr>
              <w:t>3000 m buffer:</w:t>
            </w:r>
            <w:r>
              <w:rPr>
                <w:rFonts w:asciiTheme="majorBidi" w:hAnsiTheme="majorBidi" w:cstheme="majorBidi"/>
                <w:color w:val="000000"/>
                <w:kern w:val="0"/>
                <w:sz w:val="18"/>
                <w:szCs w:val="18"/>
              </w:rPr>
              <w:t xml:space="preserve"> Positive </w:t>
            </w:r>
          </w:p>
          <w:p w14:paraId="4E7A992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higher NDVI associated with higher odds of being ≥150 min/week physically active outdoors, but weakest </w:t>
            </w:r>
          </w:p>
        </w:tc>
      </w:tr>
      <w:tr w:rsidR="004301B5" w:rsidRPr="002D669D" w14:paraId="1D73EC93" w14:textId="77777777" w:rsidTr="00A136E2">
        <w:trPr>
          <w:trHeight w:val="2613"/>
        </w:trPr>
        <w:tc>
          <w:tcPr>
            <w:tcW w:w="1174" w:type="dxa"/>
            <w:tcBorders>
              <w:top w:val="single" w:sz="6" w:space="0" w:color="auto"/>
              <w:left w:val="single" w:sz="4" w:space="0" w:color="auto"/>
              <w:bottom w:val="single" w:sz="6" w:space="0" w:color="auto"/>
              <w:right w:val="single" w:sz="6" w:space="0" w:color="auto"/>
            </w:tcBorders>
          </w:tcPr>
          <w:p w14:paraId="6FD886B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Yang et al.,</w:t>
            </w:r>
          </w:p>
          <w:p w14:paraId="60B62E3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2025</w:t>
            </w:r>
          </w:p>
        </w:tc>
        <w:tc>
          <w:tcPr>
            <w:tcW w:w="899" w:type="dxa"/>
            <w:tcBorders>
              <w:top w:val="single" w:sz="6" w:space="0" w:color="auto"/>
              <w:left w:val="single" w:sz="6" w:space="0" w:color="auto"/>
              <w:bottom w:val="single" w:sz="6" w:space="0" w:color="auto"/>
              <w:right w:val="single" w:sz="6" w:space="0" w:color="auto"/>
            </w:tcBorders>
          </w:tcPr>
          <w:p w14:paraId="481701B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Hong Kong</w:t>
            </w:r>
          </w:p>
        </w:tc>
        <w:tc>
          <w:tcPr>
            <w:tcW w:w="1079" w:type="dxa"/>
            <w:tcBorders>
              <w:top w:val="single" w:sz="6" w:space="0" w:color="auto"/>
              <w:left w:val="single" w:sz="6" w:space="0" w:color="auto"/>
              <w:bottom w:val="single" w:sz="6" w:space="0" w:color="auto"/>
              <w:right w:val="single" w:sz="6" w:space="0" w:color="auto"/>
            </w:tcBorders>
          </w:tcPr>
          <w:p w14:paraId="35A9A33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47E8729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683</w:t>
            </w:r>
          </w:p>
        </w:tc>
        <w:tc>
          <w:tcPr>
            <w:tcW w:w="1350" w:type="dxa"/>
            <w:tcBorders>
              <w:top w:val="single" w:sz="6" w:space="0" w:color="auto"/>
              <w:left w:val="single" w:sz="6" w:space="0" w:color="auto"/>
              <w:bottom w:val="single" w:sz="6" w:space="0" w:color="auto"/>
              <w:right w:val="single" w:sz="6" w:space="0" w:color="auto"/>
            </w:tcBorders>
          </w:tcPr>
          <w:p w14:paraId="3B80E8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adults in four Hong Kong communities; </w:t>
            </w:r>
          </w:p>
          <w:p w14:paraId="5B5F2BF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18–65 years</w:t>
            </w:r>
          </w:p>
        </w:tc>
        <w:tc>
          <w:tcPr>
            <w:tcW w:w="1440" w:type="dxa"/>
            <w:tcBorders>
              <w:top w:val="single" w:sz="6" w:space="0" w:color="auto"/>
              <w:left w:val="single" w:sz="6" w:space="0" w:color="auto"/>
              <w:bottom w:val="single" w:sz="6" w:space="0" w:color="auto"/>
              <w:right w:val="single" w:sz="6" w:space="0" w:color="auto"/>
            </w:tcBorders>
          </w:tcPr>
          <w:p w14:paraId="6D27CB4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Sentinel-2 Level-2A imagery</w:t>
            </w:r>
          </w:p>
        </w:tc>
        <w:tc>
          <w:tcPr>
            <w:tcW w:w="994" w:type="dxa"/>
            <w:tcBorders>
              <w:top w:val="single" w:sz="6" w:space="0" w:color="auto"/>
              <w:left w:val="single" w:sz="6" w:space="0" w:color="auto"/>
              <w:bottom w:val="single" w:sz="6" w:space="0" w:color="auto"/>
              <w:right w:val="single" w:sz="6" w:space="0" w:color="auto"/>
            </w:tcBorders>
          </w:tcPr>
          <w:p w14:paraId="2AAE1D0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 m </w:t>
            </w:r>
          </w:p>
        </w:tc>
        <w:tc>
          <w:tcPr>
            <w:tcW w:w="1166" w:type="dxa"/>
            <w:tcBorders>
              <w:top w:val="single" w:sz="6" w:space="0" w:color="auto"/>
              <w:left w:val="single" w:sz="6" w:space="0" w:color="auto"/>
              <w:bottom w:val="single" w:sz="6" w:space="0" w:color="auto"/>
              <w:right w:val="single" w:sz="6" w:space="0" w:color="auto"/>
            </w:tcBorders>
          </w:tcPr>
          <w:p w14:paraId="749BDB2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ranging from 100 m to 1500 m with a </w:t>
            </w:r>
          </w:p>
          <w:p w14:paraId="1A34141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100-meter increment</w:t>
            </w:r>
          </w:p>
        </w:tc>
        <w:tc>
          <w:tcPr>
            <w:tcW w:w="1264" w:type="dxa"/>
            <w:tcBorders>
              <w:top w:val="single" w:sz="6" w:space="0" w:color="auto"/>
              <w:left w:val="single" w:sz="6" w:space="0" w:color="auto"/>
              <w:bottom w:val="single" w:sz="6" w:space="0" w:color="auto"/>
              <w:right w:val="single" w:sz="6" w:space="0" w:color="auto"/>
            </w:tcBorders>
          </w:tcPr>
          <w:p w14:paraId="5AF32F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Continuous MET-hours/week (total physical activity).</w:t>
            </w:r>
          </w:p>
        </w:tc>
        <w:tc>
          <w:tcPr>
            <w:tcW w:w="1796" w:type="dxa"/>
            <w:tcBorders>
              <w:top w:val="single" w:sz="6" w:space="0" w:color="auto"/>
              <w:left w:val="single" w:sz="6" w:space="0" w:color="auto"/>
              <w:bottom w:val="single" w:sz="6" w:space="0" w:color="auto"/>
              <w:right w:val="single" w:sz="6" w:space="0" w:color="auto"/>
            </w:tcBorders>
          </w:tcPr>
          <w:p w14:paraId="3E62477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 short form</w:t>
            </w:r>
          </w:p>
        </w:tc>
        <w:tc>
          <w:tcPr>
            <w:tcW w:w="1264" w:type="dxa"/>
            <w:tcBorders>
              <w:top w:val="single" w:sz="6" w:space="0" w:color="auto"/>
              <w:left w:val="single" w:sz="6" w:space="0" w:color="auto"/>
              <w:bottom w:val="single" w:sz="6" w:space="0" w:color="auto"/>
              <w:right w:val="single" w:sz="6" w:space="0" w:color="auto"/>
            </w:tcBorders>
          </w:tcPr>
          <w:p w14:paraId="5B5B9BD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Structural Equation Modeling</w:t>
            </w:r>
          </w:p>
        </w:tc>
        <w:tc>
          <w:tcPr>
            <w:tcW w:w="1339" w:type="dxa"/>
            <w:tcBorders>
              <w:top w:val="single" w:sz="6" w:space="0" w:color="auto"/>
              <w:left w:val="single" w:sz="6" w:space="0" w:color="auto"/>
              <w:bottom w:val="single" w:sz="6" w:space="0" w:color="auto"/>
              <w:right w:val="single" w:sz="6" w:space="0" w:color="auto"/>
            </w:tcBorders>
          </w:tcPr>
          <w:p w14:paraId="647615C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212ED7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1D06748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1BB1F4F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employment, </w:t>
            </w:r>
          </w:p>
          <w:p w14:paraId="150F03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7BF949E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latent covariates for neighborhood cohesion, </w:t>
            </w:r>
          </w:p>
          <w:p w14:paraId="259444F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health constraints to PA, </w:t>
            </w:r>
          </w:p>
          <w:p w14:paraId="44264D8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COVID-19 </w:t>
              <w:lastRenderedPageBreak/>
              <w:t xml:space="preserve">constraints; </w:t>
            </w:r>
          </w:p>
          <w:p w14:paraId="0C79552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covariates entered into PA and mental health equations.</w:t>
            </w:r>
          </w:p>
        </w:tc>
        <w:tc>
          <w:tcPr>
            <w:tcW w:w="1170" w:type="dxa"/>
            <w:tcBorders>
              <w:top w:val="single" w:sz="6" w:space="0" w:color="auto"/>
              <w:left w:val="single" w:sz="6" w:space="0" w:color="auto"/>
              <w:bottom w:val="single" w:sz="6" w:space="0" w:color="auto"/>
              <w:right w:val="single" w:sz="6" w:space="0" w:color="auto"/>
            </w:tcBorders>
          </w:tcPr>
          <w:p w14:paraId="25C40DC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SEM path coefficients (standardized β and observed B)</w:t>
            </w:r>
          </w:p>
        </w:tc>
        <w:tc>
          <w:tcPr>
            <w:tcW w:w="5580" w:type="dxa"/>
            <w:gridSpan w:val="4"/>
            <w:tcBorders>
              <w:top w:val="single" w:sz="6" w:space="0" w:color="auto"/>
              <w:left w:val="single" w:sz="6" w:space="0" w:color="auto"/>
              <w:bottom w:val="single" w:sz="6" w:space="0" w:color="auto"/>
              <w:right w:val="single" w:sz="6" w:space="0" w:color="auto"/>
            </w:tcBorders>
          </w:tcPr>
          <w:p w14:paraId="6D51AB5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Real greenspace use → PA: β = 0.132, S.E. = 0.022 (positive, significant). </w:t>
            </w:r>
          </w:p>
          <w:p w14:paraId="712701D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007EA2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Perceived air pollution → PA: β = 0.119, S.E. = 0.026 (positive, significant). </w:t>
            </w:r>
          </w:p>
          <w:p w14:paraId="152133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35B61FF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Perceived noise → PA: β = −0.025, S.E. = 0.014 (negative, significant with caveat). </w:t>
            </w:r>
          </w:p>
          <w:p w14:paraId="26F5366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8353D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Perceived greenspace → PA: β = 0.058 (direct path not significant).</w:t>
            </w:r>
          </w:p>
        </w:tc>
      </w:tr>
      <w:tr w:rsidR="004301B5" w:rsidRPr="002D669D" w14:paraId="4CE0AD1F" w14:textId="77777777" w:rsidTr="00A136E2">
        <w:trPr>
          <w:trHeight w:val="705"/>
        </w:trPr>
        <w:tc>
          <w:tcPr>
            <w:tcW w:w="1174" w:type="dxa"/>
            <w:tcBorders>
              <w:top w:val="single" w:sz="6" w:space="0" w:color="auto"/>
              <w:left w:val="single" w:sz="4" w:space="0" w:color="auto"/>
              <w:bottom w:val="single" w:sz="6" w:space="0" w:color="auto"/>
              <w:right w:val="single" w:sz="6" w:space="0" w:color="auto"/>
            </w:tcBorders>
          </w:tcPr>
          <w:p w14:paraId="679A080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Dadvand et al.,</w:t>
            </w:r>
          </w:p>
          <w:p w14:paraId="1B33EF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899" w:type="dxa"/>
            <w:tcBorders>
              <w:top w:val="single" w:sz="6" w:space="0" w:color="auto"/>
              <w:left w:val="single" w:sz="6" w:space="0" w:color="auto"/>
              <w:bottom w:val="single" w:sz="6" w:space="0" w:color="auto"/>
              <w:right w:val="single" w:sz="6" w:space="0" w:color="auto"/>
            </w:tcBorders>
          </w:tcPr>
          <w:p w14:paraId="3267DB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Spain</w:t>
            </w:r>
          </w:p>
        </w:tc>
        <w:tc>
          <w:tcPr>
            <w:tcW w:w="1079" w:type="dxa"/>
            <w:tcBorders>
              <w:top w:val="single" w:sz="6" w:space="0" w:color="auto"/>
              <w:left w:val="single" w:sz="6" w:space="0" w:color="auto"/>
              <w:bottom w:val="single" w:sz="6" w:space="0" w:color="auto"/>
              <w:right w:val="single" w:sz="6" w:space="0" w:color="auto"/>
            </w:tcBorders>
          </w:tcPr>
          <w:p w14:paraId="556F26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2431ED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3,178</w:t>
            </w:r>
          </w:p>
        </w:tc>
        <w:tc>
          <w:tcPr>
            <w:tcW w:w="1350" w:type="dxa"/>
            <w:tcBorders>
              <w:top w:val="single" w:sz="6" w:space="0" w:color="auto"/>
              <w:left w:val="single" w:sz="6" w:space="0" w:color="auto"/>
              <w:bottom w:val="single" w:sz="6" w:space="0" w:color="auto"/>
              <w:right w:val="single" w:sz="6" w:space="0" w:color="auto"/>
            </w:tcBorders>
          </w:tcPr>
          <w:p w14:paraId="2A65E1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Schoolchildren </w:t>
            </w:r>
          </w:p>
          <w:p w14:paraId="2190428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(grades 4–6)</w:t>
            </w:r>
          </w:p>
          <w:p w14:paraId="36551F3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9–12 years</w:t>
            </w:r>
          </w:p>
        </w:tc>
        <w:tc>
          <w:tcPr>
            <w:tcW w:w="1440" w:type="dxa"/>
            <w:tcBorders>
              <w:top w:val="single" w:sz="6" w:space="0" w:color="auto"/>
              <w:left w:val="single" w:sz="6" w:space="0" w:color="auto"/>
              <w:bottom w:val="single" w:sz="6" w:space="0" w:color="auto"/>
              <w:right w:val="single" w:sz="6" w:space="0" w:color="auto"/>
            </w:tcBorders>
          </w:tcPr>
          <w:p w14:paraId="7A9B699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4–5 TM satellite imagery</w:t>
            </w:r>
          </w:p>
        </w:tc>
        <w:tc>
          <w:tcPr>
            <w:tcW w:w="994" w:type="dxa"/>
            <w:tcBorders>
              <w:top w:val="single" w:sz="6" w:space="0" w:color="auto"/>
              <w:left w:val="single" w:sz="6" w:space="0" w:color="auto"/>
              <w:bottom w:val="single" w:sz="6" w:space="0" w:color="auto"/>
              <w:right w:val="single" w:sz="6" w:space="0" w:color="auto"/>
            </w:tcBorders>
          </w:tcPr>
          <w:p w14:paraId="372E427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04B9624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 m, </w:t>
            </w:r>
          </w:p>
          <w:p w14:paraId="56FCA9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250 m, </w:t>
            </w:r>
          </w:p>
          <w:p w14:paraId="360017B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m, </w:t>
            </w:r>
          </w:p>
          <w:p w14:paraId="3C9B0E3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and 1,000 m </w:t>
            </w:r>
          </w:p>
          <w:p w14:paraId="237C3C8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around each home address.</w:t>
            </w:r>
          </w:p>
        </w:tc>
        <w:tc>
          <w:tcPr>
            <w:tcW w:w="1264" w:type="dxa"/>
            <w:tcBorders>
              <w:top w:val="single" w:sz="6" w:space="0" w:color="auto"/>
              <w:left w:val="single" w:sz="6" w:space="0" w:color="auto"/>
              <w:bottom w:val="single" w:sz="6" w:space="0" w:color="auto"/>
              <w:right w:val="single" w:sz="6" w:space="0" w:color="auto"/>
            </w:tcBorders>
          </w:tcPr>
          <w:p w14:paraId="702BC36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Sedentary behavior (non-educational screen time) </w:t>
            </w:r>
          </w:p>
          <w:p w14:paraId="59F3A8D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as an inverse proxy of PA (binary “excessive screen time”)</w:t>
            </w:r>
          </w:p>
        </w:tc>
        <w:tc>
          <w:tcPr>
            <w:tcW w:w="1796" w:type="dxa"/>
            <w:tcBorders>
              <w:top w:val="single" w:sz="6" w:space="0" w:color="auto"/>
              <w:left w:val="single" w:sz="6" w:space="0" w:color="auto"/>
              <w:bottom w:val="single" w:sz="6" w:space="0" w:color="auto"/>
              <w:right w:val="single" w:sz="6" w:space="0" w:color="auto"/>
            </w:tcBorders>
          </w:tcPr>
          <w:p w14:paraId="73A063D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Parent-reported average daily TV/computer/video-game time;</w:t>
            </w:r>
          </w:p>
          <w:p w14:paraId="6B2424D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excessive screen time defined as &gt;1 hr on each weekday and &gt;2 hr on each weekend day.</w:t>
            </w:r>
          </w:p>
        </w:tc>
        <w:tc>
          <w:tcPr>
            <w:tcW w:w="1264" w:type="dxa"/>
            <w:tcBorders>
              <w:top w:val="single" w:sz="6" w:space="0" w:color="auto"/>
              <w:left w:val="single" w:sz="6" w:space="0" w:color="auto"/>
              <w:bottom w:val="single" w:sz="6" w:space="0" w:color="auto"/>
              <w:right w:val="single" w:sz="6" w:space="0" w:color="auto"/>
            </w:tcBorders>
          </w:tcPr>
          <w:p w14:paraId="64A6739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mixed-effects models</w:t>
            </w:r>
          </w:p>
        </w:tc>
        <w:tc>
          <w:tcPr>
            <w:tcW w:w="1339" w:type="dxa"/>
            <w:tcBorders>
              <w:top w:val="single" w:sz="6" w:space="0" w:color="auto"/>
              <w:left w:val="single" w:sz="6" w:space="0" w:color="auto"/>
              <w:bottom w:val="single" w:sz="6" w:space="0" w:color="auto"/>
              <w:right w:val="single" w:sz="6" w:space="0" w:color="auto"/>
            </w:tcBorders>
          </w:tcPr>
          <w:p w14:paraId="60AC80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Child’s sex and age, </w:t>
            </w:r>
          </w:p>
          <w:p w14:paraId="54D168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parental education, </w:t>
            </w:r>
          </w:p>
          <w:p w14:paraId="00A2054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school type (public/private), </w:t>
            </w:r>
          </w:p>
          <w:p w14:paraId="62B189C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siblings.</w:t>
            </w:r>
          </w:p>
        </w:tc>
        <w:tc>
          <w:tcPr>
            <w:tcW w:w="1170" w:type="dxa"/>
            <w:tcBorders>
              <w:top w:val="single" w:sz="6" w:space="0" w:color="auto"/>
              <w:left w:val="single" w:sz="6" w:space="0" w:color="auto"/>
              <w:bottom w:val="single" w:sz="6" w:space="0" w:color="auto"/>
              <w:right w:val="single" w:sz="6" w:space="0" w:color="auto"/>
            </w:tcBorders>
          </w:tcPr>
          <w:p w14:paraId="4FFE687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odds ratio (OR)</w:t>
            </w:r>
          </w:p>
        </w:tc>
        <w:tc>
          <w:tcPr>
            <w:tcW w:w="2790" w:type="dxa"/>
            <w:gridSpan w:val="2"/>
            <w:tcBorders>
              <w:top w:val="single" w:sz="6" w:space="0" w:color="auto"/>
              <w:left w:val="single" w:sz="6" w:space="0" w:color="auto"/>
              <w:bottom w:val="single" w:sz="6" w:space="0" w:color="auto"/>
              <w:right w:val="single" w:sz="6" w:space="0" w:color="auto"/>
            </w:tcBorders>
          </w:tcPr>
          <w:p w14:paraId="6DFB4B4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excessive screen time, adjusted OR [95% CI]):</w:t>
            </w:r>
          </w:p>
          <w:p w14:paraId="5C8350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100 m: 0.85 (0.77, 0.93); </w:t>
            </w:r>
          </w:p>
          <w:p w14:paraId="34C5BE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 0.84 (0.75, 0.94);</w:t>
            </w:r>
          </w:p>
          <w:p w14:paraId="212A9CE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500 m: 0.85 (0.74, 0.97);</w:t>
            </w:r>
          </w:p>
          <w:p w14:paraId="7AD31B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1,000 m: 0.89 (0.79, 1.00).</w:t>
            </w:r>
          </w:p>
        </w:tc>
        <w:tc>
          <w:tcPr>
            <w:tcW w:w="1170" w:type="dxa"/>
            <w:tcBorders>
              <w:top w:val="single" w:sz="6" w:space="0" w:color="auto"/>
              <w:left w:val="single" w:sz="6" w:space="0" w:color="auto"/>
              <w:bottom w:val="single" w:sz="6" w:space="0" w:color="auto"/>
              <w:right w:val="single" w:sz="6" w:space="0" w:color="auto"/>
            </w:tcBorders>
          </w:tcPr>
          <w:p w14:paraId="0FC630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 m</w:t>
            </w:r>
          </w:p>
          <w:p w14:paraId="4130AD2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 &lt; 0.05.</w:t>
            </w:r>
          </w:p>
          <w:p w14:paraId="036FFBE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7A207A8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250 m</w:t>
            </w:r>
          </w:p>
          <w:p w14:paraId="4B0884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 &lt; 0.05.</w:t>
            </w:r>
          </w:p>
          <w:p w14:paraId="20D6A43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65666A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500 m</w:t>
            </w:r>
          </w:p>
          <w:p w14:paraId="250CF9D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 &lt; 0.05.</w:t>
            </w:r>
          </w:p>
          <w:p w14:paraId="7DDA643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3E4325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1,000 m</w:t>
            </w:r>
          </w:p>
          <w:p w14:paraId="3109A21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 &lt; 0.05 (starred in </w:t>
            </w:r>
          </w:p>
        </w:tc>
        <w:tc>
          <w:tcPr>
            <w:tcW w:w="1620" w:type="dxa"/>
            <w:tcBorders>
              <w:top w:val="single" w:sz="6" w:space="0" w:color="auto"/>
              <w:left w:val="single" w:sz="6" w:space="0" w:color="auto"/>
              <w:bottom w:val="single" w:sz="6" w:space="0" w:color="auto"/>
              <w:right w:val="single" w:sz="6" w:space="0" w:color="auto"/>
            </w:tcBorders>
          </w:tcPr>
          <w:p w14:paraId="599BF4F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 m</w:t>
            </w:r>
          </w:p>
          <w:p w14:paraId="4F1192C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(NDVI–PA): Negative for sedentary behavior </w:t>
            </w:r>
            <w:r>
              <w:rPr>
                <w:rFonts w:asciiTheme="majorBidi" w:hAnsiTheme="majorBidi" w:cstheme="majorBidi"/>
                <w:b/>
                <w:bCs/>
                <w:color w:val="000000"/>
                <w:kern w:val="0"/>
                <w:sz w:val="18"/>
                <w:szCs w:val="18"/>
              </w:rPr>
              <w:t>250 m</w:t>
            </w:r>
          </w:p>
          <w:p w14:paraId="7039B1F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(NDVI–PA): Negative for sedentary behavior </w:t>
            </w:r>
          </w:p>
          <w:p w14:paraId="706D355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500 m</w:t>
            </w:r>
          </w:p>
          <w:p w14:paraId="28A4E22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(NDVI–PA): Negative for sedentary behavior </w:t>
            </w:r>
          </w:p>
          <w:p w14:paraId="588533B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1,000 m</w:t>
            </w:r>
          </w:p>
          <w:p w14:paraId="091D876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(NDVI–PA): Negative for sedentary behavior </w:t>
            </w:r>
          </w:p>
        </w:tc>
      </w:tr>
      <w:tr w:rsidR="004301B5" w:rsidRPr="002D669D" w14:paraId="70DCAE6E" w14:textId="77777777" w:rsidTr="00A136E2">
        <w:trPr>
          <w:trHeight w:val="2550"/>
        </w:trPr>
        <w:tc>
          <w:tcPr>
            <w:tcW w:w="1174" w:type="dxa"/>
            <w:tcBorders>
              <w:top w:val="single" w:sz="6" w:space="0" w:color="auto"/>
              <w:left w:val="single" w:sz="4" w:space="0" w:color="auto"/>
              <w:bottom w:val="single" w:sz="6" w:space="0" w:color="auto"/>
              <w:right w:val="single" w:sz="6" w:space="0" w:color="auto"/>
            </w:tcBorders>
          </w:tcPr>
          <w:p w14:paraId="59A0010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Liu et al.,</w:t>
            </w:r>
          </w:p>
          <w:p w14:paraId="6A5401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9" w:type="dxa"/>
            <w:tcBorders>
              <w:top w:val="single" w:sz="6" w:space="0" w:color="auto"/>
              <w:left w:val="single" w:sz="6" w:space="0" w:color="auto"/>
              <w:bottom w:val="single" w:sz="6" w:space="0" w:color="auto"/>
              <w:right w:val="single" w:sz="6" w:space="0" w:color="auto"/>
            </w:tcBorders>
          </w:tcPr>
          <w:p w14:paraId="33C56A3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378865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069D19E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719</w:t>
            </w:r>
          </w:p>
        </w:tc>
        <w:tc>
          <w:tcPr>
            <w:tcW w:w="1350" w:type="dxa"/>
            <w:tcBorders>
              <w:top w:val="single" w:sz="6" w:space="0" w:color="auto"/>
              <w:left w:val="single" w:sz="6" w:space="0" w:color="auto"/>
              <w:bottom w:val="single" w:sz="6" w:space="0" w:color="auto"/>
              <w:right w:val="single" w:sz="6" w:space="0" w:color="auto"/>
            </w:tcBorders>
          </w:tcPr>
          <w:p w14:paraId="53F6939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adults from </w:t>
            </w:r>
          </w:p>
          <w:p w14:paraId="358A0E2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34 Guangzhou communities.</w:t>
            </w:r>
          </w:p>
          <w:p w14:paraId="0C4DF4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≥19 years</w:t>
            </w:r>
          </w:p>
        </w:tc>
        <w:tc>
          <w:tcPr>
            <w:tcW w:w="1440" w:type="dxa"/>
            <w:tcBorders>
              <w:top w:val="single" w:sz="6" w:space="0" w:color="auto"/>
              <w:left w:val="single" w:sz="6" w:space="0" w:color="auto"/>
              <w:bottom w:val="single" w:sz="6" w:space="0" w:color="auto"/>
              <w:right w:val="single" w:sz="6" w:space="0" w:color="auto"/>
            </w:tcBorders>
          </w:tcPr>
          <w:p w14:paraId="25B2D93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7–8 satellite images</w:t>
            </w:r>
          </w:p>
        </w:tc>
        <w:tc>
          <w:tcPr>
            <w:tcW w:w="994" w:type="dxa"/>
            <w:tcBorders>
              <w:top w:val="single" w:sz="6" w:space="0" w:color="auto"/>
              <w:left w:val="single" w:sz="6" w:space="0" w:color="auto"/>
              <w:bottom w:val="single" w:sz="6" w:space="0" w:color="auto"/>
              <w:right w:val="single" w:sz="6" w:space="0" w:color="auto"/>
            </w:tcBorders>
          </w:tcPr>
          <w:p w14:paraId="594301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7A90BC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 km Euclidean buffer around </w:t>
            </w:r>
          </w:p>
          <w:p w14:paraId="1DA3A5A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residence and workplace</w:t>
            </w:r>
          </w:p>
        </w:tc>
        <w:tc>
          <w:tcPr>
            <w:tcW w:w="1264" w:type="dxa"/>
            <w:tcBorders>
              <w:top w:val="single" w:sz="6" w:space="0" w:color="auto"/>
              <w:left w:val="single" w:sz="6" w:space="0" w:color="auto"/>
              <w:bottom w:val="single" w:sz="6" w:space="0" w:color="auto"/>
              <w:right w:val="single" w:sz="6" w:space="0" w:color="auto"/>
            </w:tcBorders>
          </w:tcPr>
          <w:p w14:paraId="2A159E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Time spent on outdoor physical activity</w:t>
            </w:r>
          </w:p>
          <w:p w14:paraId="1A5B4C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(hours/week).</w:t>
            </w:r>
          </w:p>
        </w:tc>
        <w:tc>
          <w:tcPr>
            <w:tcW w:w="1796" w:type="dxa"/>
            <w:tcBorders>
              <w:top w:val="single" w:sz="6" w:space="0" w:color="auto"/>
              <w:left w:val="single" w:sz="6" w:space="0" w:color="auto"/>
              <w:bottom w:val="single" w:sz="6" w:space="0" w:color="auto"/>
              <w:right w:val="single" w:sz="6" w:space="0" w:color="auto"/>
            </w:tcBorders>
          </w:tcPr>
          <w:p w14:paraId="3B9876A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past-week outdoor PA during home interview.</w:t>
            </w:r>
          </w:p>
        </w:tc>
        <w:tc>
          <w:tcPr>
            <w:tcW w:w="1264" w:type="dxa"/>
            <w:tcBorders>
              <w:top w:val="single" w:sz="6" w:space="0" w:color="auto"/>
              <w:left w:val="single" w:sz="6" w:space="0" w:color="auto"/>
              <w:bottom w:val="single" w:sz="6" w:space="0" w:color="auto"/>
              <w:right w:val="single" w:sz="6" w:space="0" w:color="auto"/>
            </w:tcBorders>
          </w:tcPr>
          <w:p w14:paraId="630D22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SEM estimating direct and indirect (mediated) paths</w:t>
            </w:r>
          </w:p>
        </w:tc>
        <w:tc>
          <w:tcPr>
            <w:tcW w:w="1339" w:type="dxa"/>
            <w:tcBorders>
              <w:top w:val="single" w:sz="6" w:space="0" w:color="auto"/>
              <w:left w:val="single" w:sz="6" w:space="0" w:color="auto"/>
              <w:bottom w:val="single" w:sz="6" w:space="0" w:color="auto"/>
              <w:right w:val="single" w:sz="6" w:space="0" w:color="auto"/>
            </w:tcBorders>
          </w:tcPr>
          <w:p w14:paraId="0A04057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752CA5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1E28A4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182A4E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marital status, </w:t>
            </w:r>
          </w:p>
          <w:p w14:paraId="2A1844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occupation, </w:t>
            </w:r>
          </w:p>
          <w:p w14:paraId="0017D21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w:t>
            </w:r>
          </w:p>
          <w:p w14:paraId="2CE2BDF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alcohol use, </w:t>
            </w:r>
          </w:p>
          <w:p w14:paraId="119E031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household income, </w:t>
            </w:r>
          </w:p>
          <w:p w14:paraId="75E8B1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household size, </w:t>
            </w:r>
          </w:p>
          <w:p w14:paraId="7AE739D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district; a</w:t>
            </w:r>
          </w:p>
          <w:p w14:paraId="13A360B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ntihypertensive use included in BP models.</w:t>
            </w:r>
          </w:p>
        </w:tc>
        <w:tc>
          <w:tcPr>
            <w:tcW w:w="1170" w:type="dxa"/>
            <w:tcBorders>
              <w:top w:val="single" w:sz="6" w:space="0" w:color="auto"/>
              <w:left w:val="single" w:sz="6" w:space="0" w:color="auto"/>
              <w:bottom w:val="single" w:sz="6" w:space="0" w:color="auto"/>
              <w:right w:val="single" w:sz="6" w:space="0" w:color="auto"/>
            </w:tcBorders>
          </w:tcPr>
          <w:p w14:paraId="7DC17A4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440" w:type="dxa"/>
            <w:tcBorders>
              <w:top w:val="single" w:sz="6" w:space="0" w:color="auto"/>
              <w:left w:val="single" w:sz="6" w:space="0" w:color="auto"/>
              <w:bottom w:val="single" w:sz="6" w:space="0" w:color="auto"/>
              <w:right w:val="single" w:sz="6" w:space="0" w:color="auto"/>
            </w:tcBorders>
          </w:tcPr>
          <w:p w14:paraId="027D126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50" w:type="dxa"/>
            <w:tcBorders>
              <w:top w:val="single" w:sz="6" w:space="0" w:color="auto"/>
              <w:left w:val="single" w:sz="6" w:space="0" w:color="auto"/>
              <w:bottom w:val="single" w:sz="6" w:space="0" w:color="auto"/>
              <w:right w:val="single" w:sz="6" w:space="0" w:color="auto"/>
            </w:tcBorders>
          </w:tcPr>
          <w:p w14:paraId="1337787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170" w:type="dxa"/>
            <w:tcBorders>
              <w:top w:val="single" w:sz="6" w:space="0" w:color="auto"/>
              <w:left w:val="single" w:sz="6" w:space="0" w:color="auto"/>
              <w:bottom w:val="single" w:sz="6" w:space="0" w:color="auto"/>
              <w:right w:val="single" w:sz="6" w:space="0" w:color="auto"/>
            </w:tcBorders>
          </w:tcPr>
          <w:p w14:paraId="5214796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620" w:type="dxa"/>
            <w:tcBorders>
              <w:top w:val="single" w:sz="6" w:space="0" w:color="auto"/>
              <w:left w:val="single" w:sz="6" w:space="0" w:color="auto"/>
              <w:bottom w:val="single" w:sz="6" w:space="0" w:color="auto"/>
              <w:right w:val="single" w:sz="6" w:space="0" w:color="auto"/>
            </w:tcBorders>
          </w:tcPr>
          <w:p w14:paraId="7681E93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(not significant).</w:t>
            </w:r>
          </w:p>
        </w:tc>
      </w:tr>
      <w:tr w:rsidR="004301B5" w:rsidRPr="002D669D" w14:paraId="433ABAE9" w14:textId="77777777" w:rsidTr="00A136E2">
        <w:trPr>
          <w:trHeight w:val="4572"/>
        </w:trPr>
        <w:tc>
          <w:tcPr>
            <w:tcW w:w="1174" w:type="dxa"/>
            <w:tcBorders>
              <w:top w:val="single" w:sz="6" w:space="0" w:color="auto"/>
              <w:left w:val="single" w:sz="4" w:space="0" w:color="auto"/>
              <w:bottom w:val="single" w:sz="6" w:space="0" w:color="auto"/>
              <w:right w:val="single" w:sz="6" w:space="0" w:color="auto"/>
            </w:tcBorders>
          </w:tcPr>
          <w:p w14:paraId="306D4C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Jia et al.,</w:t>
            </w:r>
          </w:p>
          <w:p w14:paraId="6C241E8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2018</w:t>
            </w:r>
          </w:p>
        </w:tc>
        <w:tc>
          <w:tcPr>
            <w:tcW w:w="899" w:type="dxa"/>
            <w:tcBorders>
              <w:top w:val="single" w:sz="6" w:space="0" w:color="auto"/>
              <w:left w:val="single" w:sz="6" w:space="0" w:color="auto"/>
              <w:bottom w:val="single" w:sz="6" w:space="0" w:color="auto"/>
              <w:right w:val="single" w:sz="6" w:space="0" w:color="auto"/>
            </w:tcBorders>
          </w:tcPr>
          <w:p w14:paraId="40B4276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5A57F50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7B5FF53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1,944 </w:t>
            </w:r>
          </w:p>
        </w:tc>
        <w:tc>
          <w:tcPr>
            <w:tcW w:w="1350" w:type="dxa"/>
            <w:tcBorders>
              <w:top w:val="single" w:sz="6" w:space="0" w:color="auto"/>
              <w:left w:val="single" w:sz="6" w:space="0" w:color="auto"/>
              <w:bottom w:val="single" w:sz="6" w:space="0" w:color="auto"/>
              <w:right w:val="single" w:sz="6" w:space="0" w:color="auto"/>
            </w:tcBorders>
          </w:tcPr>
          <w:p w14:paraId="2B50345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Middle-aged (40–59) and </w:t>
            </w:r>
          </w:p>
          <w:p w14:paraId="3EF518A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older (≥60) </w:t>
            </w:r>
          </w:p>
        </w:tc>
        <w:tc>
          <w:tcPr>
            <w:tcW w:w="1440" w:type="dxa"/>
            <w:tcBorders>
              <w:top w:val="single" w:sz="6" w:space="0" w:color="auto"/>
              <w:left w:val="single" w:sz="6" w:space="0" w:color="auto"/>
              <w:bottom w:val="single" w:sz="6" w:space="0" w:color="auto"/>
              <w:right w:val="single" w:sz="6" w:space="0" w:color="auto"/>
            </w:tcBorders>
          </w:tcPr>
          <w:p w14:paraId="5BC025E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MODIS 16-day composites</w:t>
            </w:r>
          </w:p>
        </w:tc>
        <w:tc>
          <w:tcPr>
            <w:tcW w:w="994" w:type="dxa"/>
            <w:tcBorders>
              <w:top w:val="single" w:sz="6" w:space="0" w:color="auto"/>
              <w:left w:val="single" w:sz="6" w:space="0" w:color="auto"/>
              <w:bottom w:val="single" w:sz="6" w:space="0" w:color="auto"/>
              <w:right w:val="single" w:sz="6" w:space="0" w:color="auto"/>
            </w:tcBorders>
          </w:tcPr>
          <w:p w14:paraId="757AB0D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tc>
        <w:tc>
          <w:tcPr>
            <w:tcW w:w="1166" w:type="dxa"/>
            <w:tcBorders>
              <w:top w:val="single" w:sz="6" w:space="0" w:color="auto"/>
              <w:left w:val="single" w:sz="6" w:space="0" w:color="auto"/>
              <w:bottom w:val="single" w:sz="6" w:space="0" w:color="auto"/>
              <w:right w:val="single" w:sz="6" w:space="0" w:color="auto"/>
            </w:tcBorders>
          </w:tcPr>
          <w:p w14:paraId="7EDFCC9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264" w:type="dxa"/>
            <w:tcBorders>
              <w:top w:val="single" w:sz="6" w:space="0" w:color="auto"/>
              <w:left w:val="single" w:sz="6" w:space="0" w:color="auto"/>
              <w:bottom w:val="single" w:sz="6" w:space="0" w:color="auto"/>
              <w:right w:val="single" w:sz="6" w:space="0" w:color="auto"/>
            </w:tcBorders>
          </w:tcPr>
          <w:p w14:paraId="6AB9F4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indicator of moderate/high physical exercise (2–7×/week) vs low (0–1×/week),</w:t>
            </w:r>
          </w:p>
          <w:p w14:paraId="7AEFA03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running/biking/climbing; ball sports; gym workout).</w:t>
            </w:r>
          </w:p>
          <w:p w14:paraId="55E1A9A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assessed separately for five types (walking/square dancing; morning exercise/Tai Chi;</w:t>
            </w:r>
          </w:p>
        </w:tc>
        <w:tc>
          <w:tcPr>
            <w:tcW w:w="1796" w:type="dxa"/>
            <w:tcBorders>
              <w:top w:val="single" w:sz="6" w:space="0" w:color="auto"/>
              <w:left w:val="single" w:sz="6" w:space="0" w:color="auto"/>
              <w:bottom w:val="single" w:sz="6" w:space="0" w:color="auto"/>
              <w:right w:val="single" w:sz="6" w:space="0" w:color="auto"/>
            </w:tcBorders>
          </w:tcPr>
          <w:p w14:paraId="4D375A7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Interviewer-administered IPAQ short form items </w:t>
            </w:r>
          </w:p>
          <w:p w14:paraId="5F957FE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 exercise type and weekly frequency.</w:t>
            </w:r>
          </w:p>
        </w:tc>
        <w:tc>
          <w:tcPr>
            <w:tcW w:w="1264" w:type="dxa"/>
            <w:tcBorders>
              <w:top w:val="single" w:sz="6" w:space="0" w:color="auto"/>
              <w:left w:val="single" w:sz="6" w:space="0" w:color="auto"/>
              <w:bottom w:val="single" w:sz="6" w:space="0" w:color="auto"/>
              <w:right w:val="single" w:sz="6" w:space="0" w:color="auto"/>
            </w:tcBorders>
          </w:tcPr>
          <w:p w14:paraId="0558E5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Mixed-effects logistic regression</w:t>
            </w:r>
          </w:p>
        </w:tc>
        <w:tc>
          <w:tcPr>
            <w:tcW w:w="1339" w:type="dxa"/>
            <w:tcBorders>
              <w:top w:val="single" w:sz="6" w:space="0" w:color="auto"/>
              <w:left w:val="single" w:sz="6" w:space="0" w:color="auto"/>
              <w:bottom w:val="single" w:sz="6" w:space="0" w:color="auto"/>
              <w:right w:val="single" w:sz="6" w:space="0" w:color="auto"/>
            </w:tcBorders>
          </w:tcPr>
          <w:p w14:paraId="3E7614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2FFBF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3867BC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education (per DAG).</w:t>
            </w:r>
          </w:p>
        </w:tc>
        <w:tc>
          <w:tcPr>
            <w:tcW w:w="1170" w:type="dxa"/>
            <w:tcBorders>
              <w:top w:val="single" w:sz="6" w:space="0" w:color="auto"/>
              <w:left w:val="single" w:sz="6" w:space="0" w:color="auto"/>
              <w:bottom w:val="single" w:sz="6" w:space="0" w:color="auto"/>
              <w:right w:val="single" w:sz="6" w:space="0" w:color="auto"/>
            </w:tcBorders>
          </w:tcPr>
          <w:p w14:paraId="7EB9ACD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odds ratios (OR)</w:t>
            </w:r>
          </w:p>
        </w:tc>
        <w:tc>
          <w:tcPr>
            <w:tcW w:w="3960" w:type="dxa"/>
            <w:gridSpan w:val="3"/>
            <w:tcBorders>
              <w:top w:val="single" w:sz="6" w:space="0" w:color="auto"/>
              <w:left w:val="single" w:sz="6" w:space="0" w:color="auto"/>
              <w:bottom w:val="single" w:sz="6" w:space="0" w:color="auto"/>
              <w:right w:val="single" w:sz="6" w:space="0" w:color="auto"/>
            </w:tcBorders>
          </w:tcPr>
          <w:p w14:paraId="342792D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(NDVI→PA, by exercise type; OR [95% CI]; p-value):</w:t>
            </w:r>
          </w:p>
          <w:p w14:paraId="6D39DFF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PE1 (walking/square dancing): 3.71 (1.95, 7.03); p &lt; 0.01.</w:t>
            </w:r>
          </w:p>
          <w:p w14:paraId="6051924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PE2 (morning exercise/Tai Chi): 2.11 (1.95, 7.03); p &lt; 0.01.</w:t>
            </w:r>
          </w:p>
          <w:p w14:paraId="34653A0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PE3 (running/biking/climbing): 2.11 (1.95, 7.03); p &lt; 0.01.</w:t>
            </w:r>
          </w:p>
          <w:p w14:paraId="2A6F298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PE4 (ball sports): 1.08 (1.05, 2.03); p &lt; 0.05.</w:t>
            </w:r>
          </w:p>
          <w:p w14:paraId="05981E5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PE5 (gym workout): 1.23 (0.85, 2.33); ns.</w:t>
            </w:r>
          </w:p>
        </w:tc>
        <w:tc>
          <w:tcPr>
            <w:tcW w:w="1620" w:type="dxa"/>
            <w:tcBorders>
              <w:top w:val="single" w:sz="6" w:space="0" w:color="auto"/>
              <w:left w:val="single" w:sz="6" w:space="0" w:color="auto"/>
              <w:bottom w:val="single" w:sz="6" w:space="0" w:color="auto"/>
              <w:right w:val="single" w:sz="6" w:space="0" w:color="auto"/>
            </w:tcBorders>
          </w:tcPr>
          <w:p w14:paraId="37D0DFB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for 4 of 5 PA types (PE1–PE4); </w:t>
            </w:r>
          </w:p>
          <w:p w14:paraId="6322A5A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for PE5 (gym).</w:t>
            </w:r>
          </w:p>
        </w:tc>
      </w:tr>
      <w:tr w:rsidR="004301B5" w:rsidRPr="002D669D" w14:paraId="3ECF9556" w14:textId="77777777" w:rsidTr="00711AB9">
        <w:trPr>
          <w:trHeight w:val="2406"/>
        </w:trPr>
        <w:tc>
          <w:tcPr>
            <w:tcW w:w="1174" w:type="dxa"/>
            <w:tcBorders>
              <w:top w:val="single" w:sz="6" w:space="0" w:color="auto"/>
              <w:left w:val="single" w:sz="4" w:space="0" w:color="auto"/>
              <w:bottom w:val="single" w:sz="6" w:space="0" w:color="auto"/>
              <w:right w:val="single" w:sz="6" w:space="0" w:color="auto"/>
            </w:tcBorders>
          </w:tcPr>
          <w:p w14:paraId="7AAF7F5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Hu et al.,</w:t>
            </w:r>
          </w:p>
          <w:p w14:paraId="39B5CAC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2022</w:t>
            </w:r>
          </w:p>
        </w:tc>
        <w:tc>
          <w:tcPr>
            <w:tcW w:w="899" w:type="dxa"/>
            <w:tcBorders>
              <w:top w:val="single" w:sz="6" w:space="0" w:color="auto"/>
              <w:left w:val="single" w:sz="6" w:space="0" w:color="auto"/>
              <w:bottom w:val="single" w:sz="6" w:space="0" w:color="auto"/>
              <w:right w:val="single" w:sz="6" w:space="0" w:color="auto"/>
            </w:tcBorders>
          </w:tcPr>
          <w:p w14:paraId="0E30425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6C6D5FC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3B00A8F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1350" w:type="dxa"/>
            <w:tcBorders>
              <w:top w:val="single" w:sz="6" w:space="0" w:color="auto"/>
              <w:left w:val="single" w:sz="6" w:space="0" w:color="auto"/>
              <w:bottom w:val="single" w:sz="6" w:space="0" w:color="auto"/>
              <w:right w:val="single" w:sz="6" w:space="0" w:color="auto"/>
            </w:tcBorders>
          </w:tcPr>
          <w:p w14:paraId="235EEAD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w:t>
            </w:r>
          </w:p>
          <w:p w14:paraId="0B631AA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mean age 57 ± 12 years</w:t>
            </w:r>
          </w:p>
        </w:tc>
        <w:tc>
          <w:tcPr>
            <w:tcW w:w="1440" w:type="dxa"/>
            <w:tcBorders>
              <w:top w:val="single" w:sz="6" w:space="0" w:color="auto"/>
              <w:left w:val="single" w:sz="6" w:space="0" w:color="auto"/>
              <w:bottom w:val="single" w:sz="6" w:space="0" w:color="auto"/>
              <w:right w:val="single" w:sz="6" w:space="0" w:color="auto"/>
            </w:tcBorders>
          </w:tcPr>
          <w:p w14:paraId="74028AD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MODIS (Terra MOD13Q1, V6)</w:t>
            </w:r>
          </w:p>
        </w:tc>
        <w:tc>
          <w:tcPr>
            <w:tcW w:w="994" w:type="dxa"/>
            <w:tcBorders>
              <w:top w:val="single" w:sz="6" w:space="0" w:color="auto"/>
              <w:left w:val="single" w:sz="6" w:space="0" w:color="auto"/>
              <w:bottom w:val="single" w:sz="6" w:space="0" w:color="auto"/>
              <w:right w:val="single" w:sz="6" w:space="0" w:color="auto"/>
            </w:tcBorders>
          </w:tcPr>
          <w:p w14:paraId="2095B5A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250 m</w:t>
            </w:r>
          </w:p>
        </w:tc>
        <w:tc>
          <w:tcPr>
            <w:tcW w:w="1166" w:type="dxa"/>
            <w:tcBorders>
              <w:top w:val="single" w:sz="6" w:space="0" w:color="auto"/>
              <w:left w:val="single" w:sz="6" w:space="0" w:color="auto"/>
              <w:bottom w:val="single" w:sz="6" w:space="0" w:color="auto"/>
              <w:right w:val="single" w:sz="6" w:space="0" w:color="auto"/>
            </w:tcBorders>
          </w:tcPr>
          <w:p w14:paraId="2A665CE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250 m and 1,000 m (primary); </w:t>
            </w:r>
          </w:p>
          <w:p w14:paraId="3405C05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used in sensitivity analyses.</w:t>
            </w:r>
          </w:p>
        </w:tc>
        <w:tc>
          <w:tcPr>
            <w:tcW w:w="1264" w:type="dxa"/>
            <w:tcBorders>
              <w:top w:val="single" w:sz="6" w:space="0" w:color="auto"/>
              <w:left w:val="single" w:sz="6" w:space="0" w:color="auto"/>
              <w:bottom w:val="single" w:sz="6" w:space="0" w:color="auto"/>
              <w:right w:val="single" w:sz="6" w:space="0" w:color="auto"/>
            </w:tcBorders>
          </w:tcPr>
          <w:p w14:paraId="5BB1721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Frequency of outdoor aerobic exercise (≥1 h) per week.</w:t>
            </w:r>
          </w:p>
        </w:tc>
        <w:tc>
          <w:tcPr>
            <w:tcW w:w="1796" w:type="dxa"/>
            <w:tcBorders>
              <w:top w:val="single" w:sz="6" w:space="0" w:color="auto"/>
              <w:left w:val="single" w:sz="6" w:space="0" w:color="auto"/>
              <w:bottom w:val="single" w:sz="6" w:space="0" w:color="auto"/>
              <w:right w:val="single" w:sz="6" w:space="0" w:color="auto"/>
            </w:tcBorders>
          </w:tcPr>
          <w:p w14:paraId="4172F9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264" w:type="dxa"/>
            <w:tcBorders>
              <w:top w:val="single" w:sz="6" w:space="0" w:color="auto"/>
              <w:left w:val="single" w:sz="6" w:space="0" w:color="auto"/>
              <w:bottom w:val="single" w:sz="6" w:space="0" w:color="auto"/>
              <w:right w:val="single" w:sz="6" w:space="0" w:color="auto"/>
            </w:tcBorders>
          </w:tcPr>
          <w:p w14:paraId="72D6D9D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Multivariable linear/mixed models</w:t>
            </w:r>
          </w:p>
        </w:tc>
        <w:tc>
          <w:tcPr>
            <w:tcW w:w="2509" w:type="dxa"/>
            <w:gridSpan w:val="2"/>
            <w:tcBorders>
              <w:top w:val="single" w:sz="6" w:space="0" w:color="auto"/>
              <w:left w:val="single" w:sz="6" w:space="0" w:color="auto"/>
              <w:bottom w:val="single" w:sz="6" w:space="0" w:color="auto"/>
              <w:right w:val="single" w:sz="6" w:space="0" w:color="auto"/>
            </w:tcBorders>
          </w:tcPr>
          <w:p w14:paraId="376F8C0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4D5CE09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7F218D3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45349C2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alcohol, education, </w:t>
            </w:r>
          </w:p>
          <w:p w14:paraId="0E575E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meat consumption, urbanization;</w:t>
            </w:r>
          </w:p>
          <w:p w14:paraId="48C4042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plus sensitivity adjustments for hypertension, </w:t>
            </w:r>
          </w:p>
          <w:p w14:paraId="22DFAA3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diabetes, </w:t>
            </w:r>
          </w:p>
          <w:p w14:paraId="799242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medications, </w:t>
            </w:r>
          </w:p>
          <w:p w14:paraId="7AFC8B1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lipids, </w:t>
            </w:r>
          </w:p>
          <w:p w14:paraId="456FFAB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multi-pollutants, </w:t>
            </w:r>
          </w:p>
          <w:p w14:paraId="73F336B1" w14:textId="068050C9"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SES</w:t>
            </w:r>
          </w:p>
          <w:p w14:paraId="5486252D" w14:textId="127576DD"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5580" w:type="dxa"/>
            <w:gridSpan w:val="4"/>
            <w:tcBorders>
              <w:top w:val="single" w:sz="6" w:space="0" w:color="auto"/>
              <w:left w:val="single" w:sz="6" w:space="0" w:color="auto"/>
              <w:bottom w:val="single" w:sz="6" w:space="0" w:color="auto"/>
              <w:right w:val="single" w:sz="6" w:space="0" w:color="auto"/>
            </w:tcBorders>
          </w:tcPr>
          <w:p w14:paraId="394D195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people living in greener areas reported more frequent outdoor exercise</w:t>
            </w:r>
          </w:p>
          <w:p w14:paraId="5DD32C2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(e.g., ≥3×/week was 24.6% in the lowest greenness quartile vs 41.9% in the highest), </w:t>
            </w:r>
          </w:p>
          <w:p w14:paraId="09528BF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consistent with a direct greenness→activity effect.</w:t>
            </w:r>
          </w:p>
        </w:tc>
      </w:tr>
      <w:tr w:rsidR="004301B5" w:rsidRPr="002D669D" w14:paraId="01D13457" w14:textId="77777777" w:rsidTr="00A136E2">
        <w:trPr>
          <w:trHeight w:val="3135"/>
        </w:trPr>
        <w:tc>
          <w:tcPr>
            <w:tcW w:w="1174" w:type="dxa"/>
            <w:tcBorders>
              <w:top w:val="single" w:sz="6" w:space="0" w:color="auto"/>
              <w:left w:val="single" w:sz="4" w:space="0" w:color="auto"/>
              <w:bottom w:val="single" w:sz="6" w:space="0" w:color="auto"/>
              <w:right w:val="single" w:sz="6" w:space="0" w:color="auto"/>
            </w:tcBorders>
          </w:tcPr>
          <w:p w14:paraId="01552A3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Yang et al.,</w:t>
            </w:r>
          </w:p>
          <w:p w14:paraId="3B420F4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9" w:type="dxa"/>
            <w:tcBorders>
              <w:top w:val="single" w:sz="6" w:space="0" w:color="auto"/>
              <w:left w:val="single" w:sz="6" w:space="0" w:color="auto"/>
              <w:bottom w:val="single" w:sz="6" w:space="0" w:color="auto"/>
              <w:right w:val="single" w:sz="6" w:space="0" w:color="auto"/>
            </w:tcBorders>
          </w:tcPr>
          <w:p w14:paraId="7051A5B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Hong Kong</w:t>
            </w:r>
          </w:p>
        </w:tc>
        <w:tc>
          <w:tcPr>
            <w:tcW w:w="1079" w:type="dxa"/>
            <w:tcBorders>
              <w:top w:val="single" w:sz="6" w:space="0" w:color="auto"/>
              <w:left w:val="single" w:sz="6" w:space="0" w:color="auto"/>
              <w:bottom w:val="single" w:sz="6" w:space="0" w:color="auto"/>
              <w:right w:val="single" w:sz="6" w:space="0" w:color="auto"/>
            </w:tcBorders>
          </w:tcPr>
          <w:p w14:paraId="074FFB6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Longitudinal (natural experiment, DiD)</w:t>
            </w:r>
          </w:p>
        </w:tc>
        <w:tc>
          <w:tcPr>
            <w:tcW w:w="990" w:type="dxa"/>
            <w:tcBorders>
              <w:top w:val="single" w:sz="6" w:space="0" w:color="auto"/>
              <w:left w:val="single" w:sz="6" w:space="0" w:color="auto"/>
              <w:bottom w:val="single" w:sz="6" w:space="0" w:color="auto"/>
              <w:right w:val="single" w:sz="6" w:space="0" w:color="auto"/>
            </w:tcBorders>
          </w:tcPr>
          <w:p w14:paraId="226CA40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661 </w:t>
            </w:r>
          </w:p>
          <w:p w14:paraId="3CDD021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50" w:type="dxa"/>
            <w:tcBorders>
              <w:top w:val="single" w:sz="6" w:space="0" w:color="auto"/>
              <w:left w:val="single" w:sz="6" w:space="0" w:color="auto"/>
              <w:bottom w:val="single" w:sz="6" w:space="0" w:color="auto"/>
              <w:right w:val="single" w:sz="6" w:space="0" w:color="auto"/>
            </w:tcBorders>
          </w:tcPr>
          <w:p w14:paraId="05A742D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General urban residents recruited in </w:t>
            </w:r>
          </w:p>
          <w:p w14:paraId="7CBC1B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open spaces of selected tertiary planning units (TPUs).</w:t>
            </w:r>
          </w:p>
          <w:p w14:paraId="57705A1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All ages</w:t>
            </w:r>
          </w:p>
        </w:tc>
        <w:tc>
          <w:tcPr>
            <w:tcW w:w="1440" w:type="dxa"/>
            <w:tcBorders>
              <w:top w:val="single" w:sz="6" w:space="0" w:color="auto"/>
              <w:left w:val="single" w:sz="6" w:space="0" w:color="auto"/>
              <w:bottom w:val="single" w:sz="6" w:space="0" w:color="auto"/>
              <w:right w:val="single" w:sz="6" w:space="0" w:color="auto"/>
            </w:tcBorders>
          </w:tcPr>
          <w:p w14:paraId="0C3C63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5</w:t>
            </w:r>
          </w:p>
        </w:tc>
        <w:tc>
          <w:tcPr>
            <w:tcW w:w="994" w:type="dxa"/>
            <w:tcBorders>
              <w:top w:val="single" w:sz="6" w:space="0" w:color="auto"/>
              <w:left w:val="single" w:sz="6" w:space="0" w:color="auto"/>
              <w:bottom w:val="single" w:sz="6" w:space="0" w:color="auto"/>
              <w:right w:val="single" w:sz="6" w:space="0" w:color="auto"/>
            </w:tcBorders>
          </w:tcPr>
          <w:p w14:paraId="03C3A0C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02FB4DC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applicable</w:t>
            </w:r>
          </w:p>
        </w:tc>
        <w:tc>
          <w:tcPr>
            <w:tcW w:w="1264" w:type="dxa"/>
            <w:tcBorders>
              <w:top w:val="single" w:sz="6" w:space="0" w:color="auto"/>
              <w:left w:val="single" w:sz="6" w:space="0" w:color="auto"/>
              <w:bottom w:val="single" w:sz="6" w:space="0" w:color="auto"/>
              <w:right w:val="single" w:sz="6" w:space="0" w:color="auto"/>
            </w:tcBorders>
          </w:tcPr>
          <w:p w14:paraId="7DE4A01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Minutes/week of leisure-time physical activity (LTPA) in </w:t>
            </w:r>
          </w:p>
          <w:p w14:paraId="46DD89E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neighborhood, </w:t>
            </w:r>
          </w:p>
          <w:p w14:paraId="3C00A9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country parks, </w:t>
            </w:r>
          </w:p>
          <w:p w14:paraId="006FB4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 at home, and </w:t>
            </w:r>
          </w:p>
          <w:p w14:paraId="587140A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 total LTPA.</w:t>
            </w:r>
          </w:p>
        </w:tc>
        <w:tc>
          <w:tcPr>
            <w:tcW w:w="1796" w:type="dxa"/>
            <w:tcBorders>
              <w:top w:val="single" w:sz="6" w:space="0" w:color="auto"/>
              <w:left w:val="single" w:sz="6" w:space="0" w:color="auto"/>
              <w:bottom w:val="single" w:sz="6" w:space="0" w:color="auto"/>
              <w:right w:val="single" w:sz="6" w:space="0" w:color="auto"/>
            </w:tcBorders>
          </w:tcPr>
          <w:p w14:paraId="0BCA41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Face-to-face survey</w:t>
            </w:r>
          </w:p>
        </w:tc>
        <w:tc>
          <w:tcPr>
            <w:tcW w:w="1264" w:type="dxa"/>
            <w:tcBorders>
              <w:top w:val="single" w:sz="6" w:space="0" w:color="auto"/>
              <w:left w:val="single" w:sz="6" w:space="0" w:color="auto"/>
              <w:bottom w:val="single" w:sz="6" w:space="0" w:color="auto"/>
              <w:right w:val="single" w:sz="6" w:space="0" w:color="auto"/>
            </w:tcBorders>
          </w:tcPr>
          <w:p w14:paraId="693BDF9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Parametric DiD regression</w:t>
            </w:r>
          </w:p>
        </w:tc>
        <w:tc>
          <w:tcPr>
            <w:tcW w:w="1339" w:type="dxa"/>
            <w:tcBorders>
              <w:top w:val="single" w:sz="6" w:space="0" w:color="auto"/>
              <w:left w:val="single" w:sz="6" w:space="0" w:color="auto"/>
              <w:bottom w:val="single" w:sz="6" w:space="0" w:color="auto"/>
              <w:right w:val="single" w:sz="6" w:space="0" w:color="auto"/>
            </w:tcBorders>
          </w:tcPr>
          <w:p w14:paraId="38FD6F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 group,</w:t>
            </w:r>
          </w:p>
          <w:p w14:paraId="6D9E406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gender, </w:t>
            </w:r>
          </w:p>
          <w:p w14:paraId="6B1A68D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6F34F8D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family income;</w:t>
            </w:r>
          </w:p>
          <w:p w14:paraId="5E3A356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population density, </w:t>
            </w:r>
          </w:p>
          <w:p w14:paraId="7A1EA0C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indoor recreation facilities,</w:t>
            </w:r>
          </w:p>
          <w:p w14:paraId="040AEAA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street connectivity,</w:t>
            </w:r>
          </w:p>
          <w:p w14:paraId="31D7F18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land-use mix</w:t>
            </w:r>
          </w:p>
        </w:tc>
        <w:tc>
          <w:tcPr>
            <w:tcW w:w="1170" w:type="dxa"/>
            <w:tcBorders>
              <w:top w:val="single" w:sz="6" w:space="0" w:color="auto"/>
              <w:left w:val="single" w:sz="6" w:space="0" w:color="auto"/>
              <w:bottom w:val="single" w:sz="6" w:space="0" w:color="auto"/>
              <w:right w:val="single" w:sz="6" w:space="0" w:color="auto"/>
            </w:tcBorders>
          </w:tcPr>
          <w:p w14:paraId="445A06C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DiD estimator</w:t>
            </w:r>
          </w:p>
        </w:tc>
        <w:tc>
          <w:tcPr>
            <w:tcW w:w="1440" w:type="dxa"/>
            <w:tcBorders>
              <w:top w:val="single" w:sz="6" w:space="0" w:color="auto"/>
              <w:left w:val="single" w:sz="6" w:space="0" w:color="auto"/>
              <w:bottom w:val="single" w:sz="6" w:space="0" w:color="auto"/>
              <w:right w:val="single" w:sz="6" w:space="0" w:color="auto"/>
            </w:tcBorders>
          </w:tcPr>
          <w:p w14:paraId="4CC41E9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Neighborhood LTPA: +37.914 min/wk (DiD) </w:t>
            </w:r>
          </w:p>
          <w:p w14:paraId="1AD5AC0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1235F62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Country-park LTPA: +19.644 min/wk (DiD) </w:t>
            </w:r>
          </w:p>
          <w:p w14:paraId="3B309C3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52E6D6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At-home LTPA: +21.040 min/wk (DiD) </w:t>
            </w:r>
          </w:p>
          <w:p w14:paraId="7CB487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34BA125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Total LTPA: +78.598 min/wk (DiD).</w:t>
            </w:r>
          </w:p>
        </w:tc>
        <w:tc>
          <w:tcPr>
            <w:tcW w:w="1350" w:type="dxa"/>
            <w:tcBorders>
              <w:top w:val="single" w:sz="6" w:space="0" w:color="auto"/>
              <w:left w:val="single" w:sz="6" w:space="0" w:color="auto"/>
              <w:bottom w:val="single" w:sz="6" w:space="0" w:color="auto"/>
              <w:right w:val="single" w:sz="6" w:space="0" w:color="auto"/>
            </w:tcBorders>
          </w:tcPr>
          <w:p w14:paraId="615F654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70" w:type="dxa"/>
            <w:tcBorders>
              <w:top w:val="single" w:sz="6" w:space="0" w:color="auto"/>
              <w:left w:val="single" w:sz="6" w:space="0" w:color="auto"/>
              <w:bottom w:val="single" w:sz="6" w:space="0" w:color="auto"/>
              <w:right w:val="single" w:sz="6" w:space="0" w:color="auto"/>
            </w:tcBorders>
          </w:tcPr>
          <w:p w14:paraId="23BE544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Neighborhood LTPA: p=0.025*</w:t>
            </w:r>
          </w:p>
          <w:p w14:paraId="57B3F3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Country-park LTPA: p=0.101</w:t>
            </w:r>
          </w:p>
          <w:p w14:paraId="2D98CD9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At-home LTPA: p=0.016*</w:t>
            </w:r>
          </w:p>
          <w:p w14:paraId="5A137F6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Total LTPA: p=0.003**.</w:t>
            </w:r>
          </w:p>
        </w:tc>
        <w:tc>
          <w:tcPr>
            <w:tcW w:w="1620" w:type="dxa"/>
            <w:tcBorders>
              <w:top w:val="single" w:sz="6" w:space="0" w:color="auto"/>
              <w:left w:val="single" w:sz="6" w:space="0" w:color="auto"/>
              <w:bottom w:val="single" w:sz="6" w:space="0" w:color="auto"/>
              <w:right w:val="single" w:sz="6" w:space="0" w:color="auto"/>
            </w:tcBorders>
          </w:tcPr>
          <w:p w14:paraId="390B8E0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p w14:paraId="0B55575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greener neighborhoods experienced a smaller decline </w:t>
            </w:r>
          </w:p>
          <w:p w14:paraId="6403D3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r>
      <w:tr w:rsidR="004301B5" w:rsidRPr="002D669D" w14:paraId="0480274F" w14:textId="77777777" w:rsidTr="00A136E2">
        <w:trPr>
          <w:trHeight w:val="1659"/>
        </w:trPr>
        <w:tc>
          <w:tcPr>
            <w:tcW w:w="1174" w:type="dxa"/>
            <w:tcBorders>
              <w:top w:val="single" w:sz="6" w:space="0" w:color="auto"/>
              <w:left w:val="single" w:sz="4" w:space="0" w:color="auto"/>
              <w:bottom w:val="single" w:sz="6" w:space="0" w:color="auto"/>
              <w:right w:val="single" w:sz="6" w:space="0" w:color="auto"/>
            </w:tcBorders>
          </w:tcPr>
          <w:p w14:paraId="737384E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 xml:space="preserve">Klicnik et al.,</w:t>
            </w:r>
          </w:p>
          <w:p w14:paraId="31BED75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2022</w:t>
            </w:r>
          </w:p>
        </w:tc>
        <w:tc>
          <w:tcPr>
            <w:tcW w:w="899" w:type="dxa"/>
            <w:tcBorders>
              <w:top w:val="single" w:sz="6" w:space="0" w:color="auto"/>
              <w:left w:val="single" w:sz="6" w:space="0" w:color="auto"/>
              <w:bottom w:val="single" w:sz="6" w:space="0" w:color="auto"/>
              <w:right w:val="single" w:sz="6" w:space="0" w:color="auto"/>
            </w:tcBorders>
          </w:tcPr>
          <w:p w14:paraId="0158898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1079" w:type="dxa"/>
            <w:tcBorders>
              <w:top w:val="single" w:sz="6" w:space="0" w:color="auto"/>
              <w:left w:val="single" w:sz="6" w:space="0" w:color="auto"/>
              <w:bottom w:val="single" w:sz="6" w:space="0" w:color="auto"/>
              <w:right w:val="single" w:sz="6" w:space="0" w:color="auto"/>
            </w:tcBorders>
          </w:tcPr>
          <w:p w14:paraId="3CA03D0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990" w:type="dxa"/>
            <w:tcBorders>
              <w:top w:val="single" w:sz="6" w:space="0" w:color="auto"/>
              <w:left w:val="single" w:sz="6" w:space="0" w:color="auto"/>
              <w:bottom w:val="single" w:sz="6" w:space="0" w:color="auto"/>
              <w:right w:val="single" w:sz="6" w:space="0" w:color="auto"/>
            </w:tcBorders>
          </w:tcPr>
          <w:p w14:paraId="6A53337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36,580 </w:t>
            </w:r>
          </w:p>
        </w:tc>
        <w:tc>
          <w:tcPr>
            <w:tcW w:w="1350" w:type="dxa"/>
            <w:tcBorders>
              <w:top w:val="single" w:sz="6" w:space="0" w:color="auto"/>
              <w:left w:val="single" w:sz="6" w:space="0" w:color="auto"/>
              <w:bottom w:val="single" w:sz="6" w:space="0" w:color="auto"/>
              <w:right w:val="single" w:sz="6" w:space="0" w:color="auto"/>
            </w:tcBorders>
          </w:tcPr>
          <w:p w14:paraId="14E9C7A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middle-aged and older adults from the CLSA.</w:t>
            </w:r>
          </w:p>
          <w:p w14:paraId="679C20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45–85 years at baseline</w:t>
            </w:r>
          </w:p>
        </w:tc>
        <w:tc>
          <w:tcPr>
            <w:tcW w:w="1440" w:type="dxa"/>
            <w:tcBorders>
              <w:top w:val="single" w:sz="6" w:space="0" w:color="auto"/>
              <w:left w:val="single" w:sz="6" w:space="0" w:color="auto"/>
              <w:bottom w:val="single" w:sz="6" w:space="0" w:color="auto"/>
              <w:right w:val="single" w:sz="6" w:space="0" w:color="auto"/>
            </w:tcBorders>
          </w:tcPr>
          <w:p w14:paraId="6BA4982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CANUE platform</w:t>
            </w:r>
          </w:p>
        </w:tc>
        <w:tc>
          <w:tcPr>
            <w:tcW w:w="994" w:type="dxa"/>
            <w:tcBorders>
              <w:top w:val="single" w:sz="6" w:space="0" w:color="auto"/>
              <w:left w:val="single" w:sz="6" w:space="0" w:color="auto"/>
              <w:bottom w:val="single" w:sz="6" w:space="0" w:color="auto"/>
              <w:right w:val="single" w:sz="6" w:space="0" w:color="auto"/>
            </w:tcBorders>
          </w:tcPr>
          <w:p w14:paraId="246E8F1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Reported</w:t>
            </w:r>
          </w:p>
        </w:tc>
        <w:tc>
          <w:tcPr>
            <w:tcW w:w="1166" w:type="dxa"/>
            <w:tcBorders>
              <w:top w:val="single" w:sz="6" w:space="0" w:color="auto"/>
              <w:left w:val="single" w:sz="6" w:space="0" w:color="auto"/>
              <w:bottom w:val="single" w:sz="6" w:space="0" w:color="auto"/>
              <w:right w:val="single" w:sz="6" w:space="0" w:color="auto"/>
            </w:tcBorders>
          </w:tcPr>
          <w:p w14:paraId="4073A3A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1000 m circular buffer</w:t>
            </w:r>
          </w:p>
        </w:tc>
        <w:tc>
          <w:tcPr>
            <w:tcW w:w="1264" w:type="dxa"/>
            <w:tcBorders>
              <w:top w:val="single" w:sz="6" w:space="0" w:color="auto"/>
              <w:left w:val="single" w:sz="6" w:space="0" w:color="auto"/>
              <w:bottom w:val="single" w:sz="6" w:space="0" w:color="auto"/>
              <w:right w:val="single" w:sz="6" w:space="0" w:color="auto"/>
            </w:tcBorders>
          </w:tcPr>
          <w:p w14:paraId="2F59BF5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Ordinal total weekly physical activity </w:t>
            </w:r>
          </w:p>
          <w:p w14:paraId="210D60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(low, moderate, high).</w:t>
            </w:r>
          </w:p>
        </w:tc>
        <w:tc>
          <w:tcPr>
            <w:tcW w:w="1796" w:type="dxa"/>
            <w:tcBorders>
              <w:top w:val="single" w:sz="6" w:space="0" w:color="auto"/>
              <w:left w:val="single" w:sz="6" w:space="0" w:color="auto"/>
              <w:bottom w:val="single" w:sz="6" w:space="0" w:color="auto"/>
              <w:right w:val="single" w:sz="6" w:space="0" w:color="auto"/>
            </w:tcBorders>
          </w:tcPr>
          <w:p w14:paraId="192D22A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Modified Physical Activity Scale for the Elderly (PASE);</w:t>
            </w:r>
          </w:p>
          <w:p w14:paraId="7396827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frequency × duration converted to minutes/week; </w:t>
            </w:r>
          </w:p>
          <w:p w14:paraId="70189C8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categories derived; </w:t>
            </w:r>
          </w:p>
          <w:p w14:paraId="7B39939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sedentary time also assessed.</w:t>
            </w:r>
          </w:p>
        </w:tc>
        <w:tc>
          <w:tcPr>
            <w:tcW w:w="1264" w:type="dxa"/>
            <w:tcBorders>
              <w:top w:val="single" w:sz="6" w:space="0" w:color="auto"/>
              <w:left w:val="single" w:sz="6" w:space="0" w:color="auto"/>
              <w:bottom w:val="single" w:sz="6" w:space="0" w:color="auto"/>
              <w:right w:val="single" w:sz="6" w:space="0" w:color="auto"/>
            </w:tcBorders>
          </w:tcPr>
          <w:p w14:paraId="6AE13D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Ordinal logistic regression</w:t>
            </w:r>
          </w:p>
        </w:tc>
        <w:tc>
          <w:tcPr>
            <w:tcW w:w="1339" w:type="dxa"/>
            <w:tcBorders>
              <w:top w:val="single" w:sz="6" w:space="0" w:color="auto"/>
              <w:left w:val="single" w:sz="6" w:space="0" w:color="auto"/>
              <w:bottom w:val="single" w:sz="6" w:space="0" w:color="auto"/>
              <w:right w:val="single" w:sz="6" w:space="0" w:color="auto"/>
            </w:tcBorders>
          </w:tcPr>
          <w:p w14:paraId="5E12E2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income,</w:t>
            </w:r>
          </w:p>
          <w:p w14:paraId="15809F6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education level,</w:t>
            </w:r>
          </w:p>
          <w:p w14:paraId="026F2C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functional ability (OARS).</w:t>
            </w:r>
          </w:p>
        </w:tc>
        <w:tc>
          <w:tcPr>
            <w:tcW w:w="1170" w:type="dxa"/>
            <w:tcBorders>
              <w:top w:val="single" w:sz="6" w:space="0" w:color="auto"/>
              <w:left w:val="single" w:sz="6" w:space="0" w:color="auto"/>
              <w:bottom w:val="single" w:sz="6" w:space="0" w:color="auto"/>
              <w:right w:val="single" w:sz="6" w:space="0" w:color="auto"/>
            </w:tcBorders>
          </w:tcPr>
          <w:p w14:paraId="7E0334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odds ratios (OR)</w:t>
            </w:r>
          </w:p>
        </w:tc>
        <w:tc>
          <w:tcPr>
            <w:tcW w:w="2790" w:type="dxa"/>
            <w:gridSpan w:val="2"/>
            <w:tcBorders>
              <w:top w:val="single" w:sz="6" w:space="0" w:color="auto"/>
              <w:left w:val="single" w:sz="6" w:space="0" w:color="auto"/>
              <w:bottom w:val="single" w:sz="6" w:space="0" w:color="auto"/>
              <w:right w:val="single" w:sz="6" w:space="0" w:color="auto"/>
            </w:tcBorders>
          </w:tcPr>
          <w:p w14:paraId="5BF68B8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Females &lt;65 y: Q3 OR 1.2 (1.1–1.3); Q4 1.1 (1.0–1.2).</w:t>
            </w:r>
          </w:p>
          <w:p w14:paraId="1C52B1E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2B7F9CD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Males &lt;65 y: Q2 1.3 (1.2–1.4); Q3 1.1 (1.0–1.2); Q4 1.1 (1.0–1.2).</w:t>
            </w:r>
          </w:p>
          <w:p w14:paraId="59AFFD1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p w14:paraId="4F8CCB7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Males 65–74 y: Q2 1.4 (1.2–1.6); Q3 1.4 (1.2–1.6).</w:t>
            </w:r>
          </w:p>
        </w:tc>
        <w:tc>
          <w:tcPr>
            <w:tcW w:w="1170" w:type="dxa"/>
            <w:tcBorders>
              <w:top w:val="single" w:sz="6" w:space="0" w:color="auto"/>
              <w:left w:val="single" w:sz="6" w:space="0" w:color="auto"/>
              <w:bottom w:val="single" w:sz="6" w:space="0" w:color="auto"/>
              <w:right w:val="single" w:sz="6" w:space="0" w:color="auto"/>
            </w:tcBorders>
          </w:tcPr>
          <w:p w14:paraId="6766A7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p&lt;0.05</w:t>
            </w:r>
          </w:p>
        </w:tc>
        <w:tc>
          <w:tcPr>
            <w:tcW w:w="1620" w:type="dxa"/>
            <w:tcBorders>
              <w:top w:val="single" w:sz="6" w:space="0" w:color="auto"/>
              <w:left w:val="single" w:sz="6" w:space="0" w:color="auto"/>
              <w:bottom w:val="single" w:sz="6" w:space="0" w:color="auto"/>
              <w:right w:val="single" w:sz="6" w:space="0" w:color="auto"/>
            </w:tcBorders>
          </w:tcPr>
          <w:p w14:paraId="682D97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overall—</w:t>
            </w:r>
          </w:p>
          <w:p w14:paraId="3816477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higher greenness associated with higher odds of moderate/high PA </w:t>
            </w:r>
          </w:p>
          <w:p w14:paraId="49C0CCD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(strongest in &lt;65 y groups).</w:t>
            </w:r>
          </w:p>
        </w:tc>
      </w:tr>
      <w:tr w:rsidR="004301B5" w:rsidRPr="002D669D" w14:paraId="6ACF2F23" w14:textId="77777777" w:rsidTr="00A136E2">
        <w:trPr>
          <w:trHeight w:val="2438"/>
        </w:trPr>
        <w:tc>
          <w:tcPr>
            <w:tcW w:w="1174" w:type="dxa"/>
            <w:tcBorders>
              <w:top w:val="single" w:sz="6" w:space="0" w:color="auto"/>
              <w:left w:val="single" w:sz="4" w:space="0" w:color="auto"/>
              <w:bottom w:val="single" w:sz="6" w:space="0" w:color="auto"/>
              <w:right w:val="single" w:sz="6" w:space="0" w:color="auto"/>
            </w:tcBorders>
          </w:tcPr>
          <w:p w14:paraId="5789DE0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Tilt et al.,</w:t>
            </w:r>
          </w:p>
          <w:p w14:paraId="5F16D42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2007</w:t>
            </w:r>
          </w:p>
        </w:tc>
        <w:tc>
          <w:tcPr>
            <w:tcW w:w="899" w:type="dxa"/>
            <w:tcBorders>
              <w:top w:val="single" w:sz="6" w:space="0" w:color="auto"/>
              <w:left w:val="single" w:sz="6" w:space="0" w:color="auto"/>
              <w:bottom w:val="single" w:sz="6" w:space="0" w:color="auto"/>
              <w:right w:val="single" w:sz="6" w:space="0" w:color="auto"/>
            </w:tcBorders>
          </w:tcPr>
          <w:p w14:paraId="09D4FB4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1079" w:type="dxa"/>
            <w:tcBorders>
              <w:top w:val="single" w:sz="6" w:space="0" w:color="auto"/>
              <w:left w:val="single" w:sz="6" w:space="0" w:color="auto"/>
              <w:bottom w:val="single" w:sz="6" w:space="0" w:color="auto"/>
              <w:right w:val="single" w:sz="6" w:space="0" w:color="auto"/>
            </w:tcBorders>
          </w:tcPr>
          <w:p w14:paraId="4AB8FEA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360F26E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529</w:t>
            </w:r>
          </w:p>
        </w:tc>
        <w:tc>
          <w:tcPr>
            <w:tcW w:w="1350" w:type="dxa"/>
            <w:tcBorders>
              <w:top w:val="single" w:sz="6" w:space="0" w:color="auto"/>
              <w:left w:val="single" w:sz="6" w:space="0" w:color="auto"/>
              <w:bottom w:val="single" w:sz="6" w:space="0" w:color="auto"/>
              <w:right w:val="single" w:sz="6" w:space="0" w:color="auto"/>
            </w:tcBorders>
          </w:tcPr>
          <w:p w14:paraId="7E54A05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adult residents sampled </w:t>
            </w:r>
          </w:p>
          <w:p w14:paraId="0F9838C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across strata of accessibility and greenness.</w:t>
            </w:r>
          </w:p>
          <w:p w14:paraId="5DC7A21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tc>
        <w:tc>
          <w:tcPr>
            <w:tcW w:w="1440" w:type="dxa"/>
            <w:tcBorders>
              <w:top w:val="single" w:sz="6" w:space="0" w:color="auto"/>
              <w:left w:val="single" w:sz="6" w:space="0" w:color="auto"/>
              <w:bottom w:val="single" w:sz="6" w:space="0" w:color="auto"/>
              <w:right w:val="single" w:sz="6" w:space="0" w:color="auto"/>
            </w:tcBorders>
          </w:tcPr>
          <w:p w14:paraId="4EA1CD6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Landsat 5</w:t>
            </w:r>
          </w:p>
        </w:tc>
        <w:tc>
          <w:tcPr>
            <w:tcW w:w="994" w:type="dxa"/>
            <w:tcBorders>
              <w:top w:val="single" w:sz="6" w:space="0" w:color="auto"/>
              <w:left w:val="single" w:sz="6" w:space="0" w:color="auto"/>
              <w:bottom w:val="single" w:sz="6" w:space="0" w:color="auto"/>
              <w:right w:val="single" w:sz="6" w:space="0" w:color="auto"/>
            </w:tcBorders>
          </w:tcPr>
          <w:p w14:paraId="3051D71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w:t>
            </w:r>
          </w:p>
        </w:tc>
        <w:tc>
          <w:tcPr>
            <w:tcW w:w="1166" w:type="dxa"/>
            <w:tcBorders>
              <w:top w:val="single" w:sz="6" w:space="0" w:color="auto"/>
              <w:left w:val="single" w:sz="6" w:space="0" w:color="auto"/>
              <w:bottom w:val="single" w:sz="6" w:space="0" w:color="auto"/>
              <w:right w:val="single" w:sz="6" w:space="0" w:color="auto"/>
            </w:tcBorders>
          </w:tcPr>
          <w:p w14:paraId="4EB54BB2"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Mean NDVI within the walkable neighborhood </w:t>
            </w:r>
          </w:p>
          <w:p w14:paraId="1C25CA4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(~0.4-mile network service area) </w:t>
            </w:r>
          </w:p>
          <w:p w14:paraId="70CEAF4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operationalized as an equivalent circular area </w:t>
            </w:r>
          </w:p>
          <w:p w14:paraId="4426552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(~0.32 square miles) around each residence.</w:t>
            </w:r>
          </w:p>
        </w:tc>
        <w:tc>
          <w:tcPr>
            <w:tcW w:w="1264" w:type="dxa"/>
            <w:tcBorders>
              <w:top w:val="single" w:sz="6" w:space="0" w:color="auto"/>
              <w:left w:val="single" w:sz="6" w:space="0" w:color="auto"/>
              <w:bottom w:val="single" w:sz="6" w:space="0" w:color="auto"/>
              <w:right w:val="single" w:sz="6" w:space="0" w:color="auto"/>
            </w:tcBorders>
          </w:tcPr>
          <w:p w14:paraId="0D9DEC2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Walking trips per month to </w:t>
            </w:r>
          </w:p>
          <w:p w14:paraId="7E7A2B7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destinations (composite).</w:t>
            </w:r>
          </w:p>
        </w:tc>
        <w:tc>
          <w:tcPr>
            <w:tcW w:w="1796" w:type="dxa"/>
            <w:tcBorders>
              <w:top w:val="single" w:sz="6" w:space="0" w:color="auto"/>
              <w:left w:val="single" w:sz="6" w:space="0" w:color="auto"/>
              <w:bottom w:val="single" w:sz="6" w:space="0" w:color="auto"/>
              <w:right w:val="single" w:sz="6" w:space="0" w:color="auto"/>
            </w:tcBorders>
          </w:tcPr>
          <w:p w14:paraId="2FE3AD5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elf-reported frequency to listed destinations</w:t>
            </w:r>
          </w:p>
        </w:tc>
        <w:tc>
          <w:tcPr>
            <w:tcW w:w="1264" w:type="dxa"/>
            <w:tcBorders>
              <w:top w:val="single" w:sz="6" w:space="0" w:color="auto"/>
              <w:left w:val="single" w:sz="6" w:space="0" w:color="auto"/>
              <w:bottom w:val="single" w:sz="6" w:space="0" w:color="auto"/>
              <w:right w:val="single" w:sz="6" w:space="0" w:color="auto"/>
            </w:tcBorders>
          </w:tcPr>
          <w:p w14:paraId="4C7D7C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Pearson correlations; </w:t>
            </w:r>
          </w:p>
          <w:p w14:paraId="050B22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 (PROC GLM)</w:t>
            </w:r>
          </w:p>
        </w:tc>
        <w:tc>
          <w:tcPr>
            <w:tcW w:w="1339" w:type="dxa"/>
            <w:tcBorders>
              <w:top w:val="single" w:sz="6" w:space="0" w:color="auto"/>
              <w:left w:val="single" w:sz="6" w:space="0" w:color="auto"/>
              <w:bottom w:val="single" w:sz="6" w:space="0" w:color="auto"/>
              <w:right w:val="single" w:sz="6" w:space="0" w:color="auto"/>
            </w:tcBorders>
          </w:tcPr>
          <w:p w14:paraId="172FF26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25738B7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gender, </w:t>
            </w:r>
          </w:p>
          <w:p w14:paraId="5CB9846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541A5F0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household income.</w:t>
            </w:r>
          </w:p>
        </w:tc>
        <w:tc>
          <w:tcPr>
            <w:tcW w:w="1170" w:type="dxa"/>
            <w:tcBorders>
              <w:top w:val="single" w:sz="6" w:space="0" w:color="auto"/>
              <w:left w:val="single" w:sz="6" w:space="0" w:color="auto"/>
              <w:bottom w:val="single" w:sz="6" w:space="0" w:color="auto"/>
              <w:right w:val="single" w:sz="6" w:space="0" w:color="auto"/>
            </w:tcBorders>
          </w:tcPr>
          <w:p w14:paraId="12BB8A8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 coefficient (β)</w:t>
            </w:r>
          </w:p>
        </w:tc>
        <w:tc>
          <w:tcPr>
            <w:tcW w:w="1440" w:type="dxa"/>
            <w:tcBorders>
              <w:top w:val="single" w:sz="6" w:space="0" w:color="auto"/>
              <w:left w:val="single" w:sz="6" w:space="0" w:color="auto"/>
              <w:bottom w:val="single" w:sz="6" w:space="0" w:color="auto"/>
              <w:right w:val="single" w:sz="6" w:space="0" w:color="auto"/>
            </w:tcBorders>
          </w:tcPr>
          <w:p w14:paraId="3FBEE6E4"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−3.715 walking trips/month per 1.0 NDVI unit</w:t>
            </w:r>
          </w:p>
        </w:tc>
        <w:tc>
          <w:tcPr>
            <w:tcW w:w="1350" w:type="dxa"/>
            <w:tcBorders>
              <w:top w:val="single" w:sz="6" w:space="0" w:color="auto"/>
              <w:left w:val="single" w:sz="6" w:space="0" w:color="auto"/>
              <w:bottom w:val="single" w:sz="6" w:space="0" w:color="auto"/>
              <w:right w:val="single" w:sz="6" w:space="0" w:color="auto"/>
            </w:tcBorders>
          </w:tcPr>
          <w:p w14:paraId="19AC7DF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 = 5.746</w:t>
            </w:r>
          </w:p>
        </w:tc>
        <w:tc>
          <w:tcPr>
            <w:tcW w:w="1170" w:type="dxa"/>
            <w:tcBorders>
              <w:top w:val="single" w:sz="6" w:space="0" w:color="auto"/>
              <w:left w:val="single" w:sz="6" w:space="0" w:color="auto"/>
              <w:bottom w:val="single" w:sz="6" w:space="0" w:color="auto"/>
              <w:right w:val="single" w:sz="6" w:space="0" w:color="auto"/>
            </w:tcBorders>
          </w:tcPr>
          <w:p w14:paraId="096A1F7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0.518</w:t>
            </w:r>
          </w:p>
        </w:tc>
        <w:tc>
          <w:tcPr>
            <w:tcW w:w="1620" w:type="dxa"/>
            <w:tcBorders>
              <w:top w:val="single" w:sz="6" w:space="0" w:color="auto"/>
              <w:left w:val="single" w:sz="6" w:space="0" w:color="auto"/>
              <w:bottom w:val="single" w:sz="6" w:space="0" w:color="auto"/>
              <w:right w:val="single" w:sz="6" w:space="0" w:color="auto"/>
            </w:tcBorders>
          </w:tcPr>
          <w:p w14:paraId="4746CA5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Null </w:t>
            </w:r>
          </w:p>
          <w:p w14:paraId="01CC38F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NDVI not associated with walking trips);</w:t>
            </w:r>
          </w:p>
          <w:p w14:paraId="12B2A77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by contrast, subjective greenness showed a positive association with walking.</w:t>
            </w:r>
          </w:p>
        </w:tc>
      </w:tr>
      <w:tr w:rsidR="004301B5" w:rsidRPr="002D669D" w14:paraId="4744993C" w14:textId="77777777" w:rsidTr="00A136E2">
        <w:trPr>
          <w:trHeight w:val="2685"/>
        </w:trPr>
        <w:tc>
          <w:tcPr>
            <w:tcW w:w="1174" w:type="dxa"/>
            <w:tcBorders>
              <w:top w:val="single" w:sz="6" w:space="0" w:color="auto"/>
              <w:left w:val="single" w:sz="4" w:space="0" w:color="auto"/>
              <w:bottom w:val="single" w:sz="6" w:space="0" w:color="auto"/>
              <w:right w:val="single" w:sz="6" w:space="0" w:color="auto"/>
            </w:tcBorders>
          </w:tcPr>
          <w:p w14:paraId="056703F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Lu et al.,</w:t>
            </w:r>
          </w:p>
          <w:p w14:paraId="5C0F863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2025</w:t>
            </w:r>
          </w:p>
        </w:tc>
        <w:tc>
          <w:tcPr>
            <w:tcW w:w="899" w:type="dxa"/>
            <w:tcBorders>
              <w:top w:val="single" w:sz="6" w:space="0" w:color="auto"/>
              <w:left w:val="single" w:sz="6" w:space="0" w:color="auto"/>
              <w:bottom w:val="single" w:sz="6" w:space="0" w:color="auto"/>
              <w:right w:val="single" w:sz="6" w:space="0" w:color="auto"/>
            </w:tcBorders>
          </w:tcPr>
          <w:p w14:paraId="5A9C3535"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China </w:t>
            </w:r>
          </w:p>
        </w:tc>
        <w:tc>
          <w:tcPr>
            <w:tcW w:w="1079" w:type="dxa"/>
            <w:tcBorders>
              <w:top w:val="single" w:sz="6" w:space="0" w:color="auto"/>
              <w:left w:val="single" w:sz="6" w:space="0" w:color="auto"/>
              <w:bottom w:val="single" w:sz="6" w:space="0" w:color="auto"/>
              <w:right w:val="single" w:sz="6" w:space="0" w:color="auto"/>
            </w:tcBorders>
          </w:tcPr>
          <w:p w14:paraId="35B2149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990" w:type="dxa"/>
            <w:tcBorders>
              <w:top w:val="single" w:sz="6" w:space="0" w:color="auto"/>
              <w:left w:val="single" w:sz="6" w:space="0" w:color="auto"/>
              <w:bottom w:val="single" w:sz="6" w:space="0" w:color="auto"/>
              <w:right w:val="single" w:sz="6" w:space="0" w:color="auto"/>
            </w:tcBorders>
          </w:tcPr>
          <w:p w14:paraId="0BCB97C8"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3,557 </w:t>
            </w:r>
          </w:p>
          <w:p w14:paraId="1C8A815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350" w:type="dxa"/>
            <w:tcBorders>
              <w:top w:val="single" w:sz="6" w:space="0" w:color="auto"/>
              <w:left w:val="single" w:sz="6" w:space="0" w:color="auto"/>
              <w:bottom w:val="single" w:sz="6" w:space="0" w:color="auto"/>
              <w:right w:val="single" w:sz="6" w:space="0" w:color="auto"/>
            </w:tcBorders>
          </w:tcPr>
          <w:p w14:paraId="08919EF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University campus users</w:t>
            </w:r>
          </w:p>
          <w:p w14:paraId="558CE6F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c>
          <w:tcPr>
            <w:tcW w:w="1440" w:type="dxa"/>
            <w:tcBorders>
              <w:top w:val="single" w:sz="6" w:space="0" w:color="auto"/>
              <w:left w:val="single" w:sz="6" w:space="0" w:color="auto"/>
              <w:bottom w:val="single" w:sz="6" w:space="0" w:color="auto"/>
              <w:right w:val="single" w:sz="6" w:space="0" w:color="auto"/>
            </w:tcBorders>
          </w:tcPr>
          <w:p w14:paraId="19864FA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National Tibetan Plateau Data Center</w:t>
            </w:r>
          </w:p>
        </w:tc>
        <w:tc>
          <w:tcPr>
            <w:tcW w:w="994" w:type="dxa"/>
            <w:tcBorders>
              <w:top w:val="single" w:sz="6" w:space="0" w:color="auto"/>
              <w:left w:val="single" w:sz="6" w:space="0" w:color="auto"/>
              <w:bottom w:val="single" w:sz="6" w:space="0" w:color="auto"/>
              <w:right w:val="single" w:sz="6" w:space="0" w:color="auto"/>
            </w:tcBorders>
          </w:tcPr>
          <w:p w14:paraId="50AA880B"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 m</w:t>
            </w:r>
          </w:p>
        </w:tc>
        <w:tc>
          <w:tcPr>
            <w:tcW w:w="1166" w:type="dxa"/>
            <w:tcBorders>
              <w:top w:val="single" w:sz="6" w:space="0" w:color="auto"/>
              <w:left w:val="single" w:sz="6" w:space="0" w:color="auto"/>
              <w:bottom w:val="single" w:sz="6" w:space="0" w:color="auto"/>
              <w:right w:val="single" w:sz="6" w:space="0" w:color="auto"/>
            </w:tcBorders>
          </w:tcPr>
          <w:p w14:paraId="3931E7B0"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w:t>
            </w:r>
          </w:p>
        </w:tc>
        <w:tc>
          <w:tcPr>
            <w:tcW w:w="1264" w:type="dxa"/>
            <w:tcBorders>
              <w:top w:val="single" w:sz="6" w:space="0" w:color="auto"/>
              <w:left w:val="single" w:sz="6" w:space="0" w:color="auto"/>
              <w:bottom w:val="single" w:sz="6" w:space="0" w:color="auto"/>
              <w:right w:val="single" w:sz="6" w:space="0" w:color="auto"/>
            </w:tcBorders>
          </w:tcPr>
          <w:p w14:paraId="4A920E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number of walking </w:t>
            </w:r>
          </w:p>
          <w:p w14:paraId="6049BE1D"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trajectories per grid.</w:t>
            </w:r>
          </w:p>
        </w:tc>
        <w:tc>
          <w:tcPr>
            <w:tcW w:w="1796" w:type="dxa"/>
            <w:tcBorders>
              <w:top w:val="single" w:sz="6" w:space="0" w:color="auto"/>
              <w:left w:val="single" w:sz="6" w:space="0" w:color="auto"/>
              <w:bottom w:val="single" w:sz="6" w:space="0" w:color="auto"/>
              <w:right w:val="single" w:sz="6" w:space="0" w:color="auto"/>
            </w:tcBorders>
          </w:tcPr>
          <w:p w14:paraId="080F5261"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Crowdsourced GPS trajectories from the Dorray fitness app; </w:t>
            </w:r>
          </w:p>
          <w:p w14:paraId="4ED7FFAC"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data from 2017–2018. </w:t>
            </w:r>
          </w:p>
        </w:tc>
        <w:tc>
          <w:tcPr>
            <w:tcW w:w="1264" w:type="dxa"/>
            <w:tcBorders>
              <w:top w:val="single" w:sz="6" w:space="0" w:color="auto"/>
              <w:left w:val="single" w:sz="6" w:space="0" w:color="auto"/>
              <w:bottom w:val="single" w:sz="6" w:space="0" w:color="auto"/>
              <w:right w:val="single" w:sz="6" w:space="0" w:color="auto"/>
            </w:tcBorders>
          </w:tcPr>
          <w:p w14:paraId="4F78384F"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Gradient-boosted trees (XGBoost)</w:t>
            </w:r>
          </w:p>
        </w:tc>
        <w:tc>
          <w:tcPr>
            <w:tcW w:w="1339" w:type="dxa"/>
            <w:tcBorders>
              <w:top w:val="single" w:sz="6" w:space="0" w:color="auto"/>
              <w:left w:val="single" w:sz="6" w:space="0" w:color="auto"/>
              <w:bottom w:val="single" w:sz="6" w:space="0" w:color="auto"/>
              <w:right w:val="single" w:sz="6" w:space="0" w:color="auto"/>
            </w:tcBorders>
          </w:tcPr>
          <w:p w14:paraId="52150BD6"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21 macro-scale built-environment variables</w:t>
            </w:r>
          </w:p>
          <w:p w14:paraId="0C73E21E"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(POI accessibility, density, land-use, spatial network, natural environment—including NDVI) </w:t>
            </w:r>
          </w:p>
          <w:p w14:paraId="54B6566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plus 6 street-view variables </w:t>
            </w:r>
          </w:p>
          <w:p w14:paraId="721DFF37"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(GVI, SVI, VMI, sidewalk ratio, humanization, Shannon diversity).</w:t>
            </w:r>
          </w:p>
        </w:tc>
        <w:tc>
          <w:tcPr>
            <w:tcW w:w="1170" w:type="dxa"/>
            <w:tcBorders>
              <w:top w:val="single" w:sz="6" w:space="0" w:color="auto"/>
              <w:left w:val="single" w:sz="6" w:space="0" w:color="auto"/>
              <w:bottom w:val="single" w:sz="6" w:space="0" w:color="auto"/>
              <w:right w:val="single" w:sz="6" w:space="0" w:color="auto"/>
            </w:tcBorders>
          </w:tcPr>
          <w:p w14:paraId="03D4D19A"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3960" w:type="dxa"/>
            <w:gridSpan w:val="3"/>
            <w:tcBorders>
              <w:top w:val="single" w:sz="6" w:space="0" w:color="auto"/>
              <w:left w:val="single" w:sz="6" w:space="0" w:color="auto"/>
              <w:bottom w:val="single" w:sz="6" w:space="0" w:color="auto"/>
              <w:right w:val="single" w:sz="6" w:space="0" w:color="auto"/>
            </w:tcBorders>
          </w:tcPr>
          <w:p w14:paraId="1679B4B9"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it does not report an extractable effect size with a CI/SE, so it can’t be pooled in a standard quantitative meta-analysis</w:t>
            </w:r>
          </w:p>
        </w:tc>
        <w:tc>
          <w:tcPr>
            <w:tcW w:w="1620" w:type="dxa"/>
            <w:tcBorders>
              <w:top w:val="single" w:sz="6" w:space="0" w:color="auto"/>
              <w:left w:val="single" w:sz="6" w:space="0" w:color="auto"/>
              <w:bottom w:val="single" w:sz="6" w:space="0" w:color="auto"/>
              <w:right w:val="single" w:sz="6" w:space="0" w:color="auto"/>
            </w:tcBorders>
          </w:tcPr>
          <w:p w14:paraId="5616E463" w14:textId="77777777" w:rsidR="004301B5" w:rsidRPr="002D669D" w:rsidRDefault="004301B5" w:rsidP="004301B5">
            <w:pPr>
              <w:autoSpaceDE w:val="0"/>
              <w:autoSpaceDN w:val="0"/>
              <w:adjustRightInd w:val="0"/>
              <w:jc w:val="left"/>
              <w:rPr>
                <w:rFonts w:asciiTheme="majorBidi" w:hAnsiTheme="majorBidi" w:cstheme="majorBidi"/>
                <w:color w:val="000000"/>
                <w:kern w:val="0"/>
                <w:sz w:val="18"/>
                <w:szCs w:val="18"/>
              </w:rPr>
            </w:pPr>
          </w:p>
        </w:tc>
      </w:tr>
    </w:tbl>
    <w:p w14:paraId="2FA53358" w14:textId="77777777" w:rsidR="00E45623" w:rsidRDefault="00E45623" w:rsidP="00E45623">
      <w:pPr>
        <w:ind w:firstLine="420"/>
        <w:rPr>
          <w:rFonts w:asciiTheme="majorBidi" w:hAnsiTheme="majorBidi" w:cstheme="majorBidi"/>
          <w:szCs w:val="21"/>
          <w:shd w:val="clear" w:color="auto" w:fill="FFFFFF" w:themeFill="background1"/>
        </w:rPr>
      </w:pPr>
    </w:p>
    <w:p w14:paraId="41103724" w14:textId="77777777" w:rsidR="00E45623" w:rsidRDefault="00E45623" w:rsidP="00E45623">
      <w:pPr>
        <w:tabs>
          <w:tab w:val="left" w:pos="540"/>
        </w:tabs>
        <w:rPr>
          <w:rFonts w:asciiTheme="majorBidi" w:hAnsiTheme="majorBidi" w:cstheme="majorBidi"/>
          <w:szCs w:val="21"/>
        </w:rPr>
      </w:pPr>
      <w:r>
        <w:rPr>
          <w:rFonts w:asciiTheme="majorBidi" w:hAnsiTheme="majorBidi" w:cstheme="majorBidi"/>
          <w:szCs w:val="21"/>
        </w:rPr>
        <w:tab/>
      </w:r>
    </w:p>
    <w:p w14:paraId="3FBC22A0" w14:textId="77777777" w:rsidR="0037619D" w:rsidRDefault="0037619D" w:rsidP="00E45623">
      <w:pPr>
        <w:tabs>
          <w:tab w:val="left" w:pos="540"/>
        </w:tabs>
        <w:rPr>
          <w:rFonts w:asciiTheme="majorBidi" w:hAnsiTheme="majorBidi" w:cstheme="majorBidi"/>
          <w:szCs w:val="21"/>
        </w:rPr>
      </w:pPr>
    </w:p>
    <w:p w14:paraId="3DF1602D" w14:textId="77777777" w:rsidR="0037619D" w:rsidRDefault="0037619D" w:rsidP="00E45623">
      <w:pPr>
        <w:tabs>
          <w:tab w:val="left" w:pos="540"/>
        </w:tabs>
        <w:rPr>
          <w:rFonts w:asciiTheme="majorBidi" w:hAnsiTheme="majorBidi" w:cstheme="majorBidi"/>
          <w:szCs w:val="21"/>
        </w:rPr>
      </w:pPr>
    </w:p>
    <w:p w14:paraId="51238FBA" w14:textId="77777777" w:rsidR="0037619D" w:rsidRDefault="0037619D" w:rsidP="00E45623">
      <w:pPr>
        <w:tabs>
          <w:tab w:val="left" w:pos="540"/>
        </w:tabs>
        <w:rPr>
          <w:rFonts w:asciiTheme="majorBidi" w:hAnsiTheme="majorBidi" w:cstheme="majorBidi"/>
          <w:szCs w:val="21"/>
        </w:rPr>
      </w:pPr>
    </w:p>
    <w:p w14:paraId="2DF56620" w14:textId="77777777" w:rsidR="0037619D" w:rsidRDefault="0037619D" w:rsidP="00E45623">
      <w:pPr>
        <w:tabs>
          <w:tab w:val="left" w:pos="540"/>
        </w:tabs>
        <w:rPr>
          <w:rFonts w:asciiTheme="majorBidi" w:hAnsiTheme="majorBidi" w:cstheme="majorBidi"/>
          <w:szCs w:val="21"/>
        </w:rPr>
      </w:pPr>
    </w:p>
    <w:p w14:paraId="411675FF" w14:textId="77777777" w:rsidR="0037619D" w:rsidRDefault="0037619D" w:rsidP="00E45623">
      <w:pPr>
        <w:tabs>
          <w:tab w:val="left" w:pos="540"/>
        </w:tabs>
        <w:rPr>
          <w:rFonts w:asciiTheme="majorBidi" w:hAnsiTheme="majorBidi" w:cstheme="majorBidi"/>
          <w:szCs w:val="21"/>
        </w:rPr>
      </w:pPr>
    </w:p>
    <w:p w14:paraId="21BECA0D" w14:textId="563622A1" w:rsidR="0037619D" w:rsidRPr="0037619D" w:rsidRDefault="0037619D" w:rsidP="0037619D">
      <w:pPr>
        <w:pStyle w:val="Caption"/>
        <w:keepNext/>
        <w:rPr>
          <w:rFonts w:asciiTheme="majorBidi" w:hAnsiTheme="majorBidi" w:cstheme="majorBidi"/>
          <w:b/>
          <w:bCs/>
          <w:color w:val="auto"/>
          <w:sz w:val="24"/>
          <w:szCs w:val="24"/>
        </w:rPr>
      </w:pPr>
      <w:r>
        <w:rPr>
          <w:rFonts w:asciiTheme="majorBidi" w:hAnsiTheme="majorBidi" w:cstheme="majorBidi"/>
          <w:b/>
          <w:bCs/>
          <w:color w:val="auto"/>
          <w:sz w:val="24"/>
          <w:szCs w:val="24"/>
        </w:rPr>
        <w:lastRenderedPageBreak/>
        <w:t xml:space="preserve">Table D</w:t>
        <w:fldChar w:fldCharType="begin"/>
        <w:instrText xml:space="preserve"> SEQ Table \* ARABIC </w:instrText>
        <w:fldChar w:fldCharType="separate"/>
      </w:r>
      <w:r>
        <w:rPr>
          <w:rFonts w:asciiTheme="majorBidi" w:hAnsiTheme="majorBidi" w:cstheme="majorBidi"/>
          <w:b/>
          <w:bCs/>
          <w:noProof/>
          <w:color w:val="auto"/>
          <w:sz w:val="24"/>
          <w:szCs w:val="24"/>
        </w:rPr>
        <w:t>2</w:t>
      </w:r>
      <w:r>
        <w:rPr>
          <w:rFonts w:asciiTheme="majorBidi" w:hAnsiTheme="majorBidi" w:cstheme="majorBidi"/>
          <w:b/>
          <w:bCs/>
          <w:color w:val="auto"/>
          <w:sz w:val="24"/>
          <w:szCs w:val="24"/>
        </w:rPr>
        <w:fldChar w:fldCharType="end"/>
        <w:t>. Proximity studies (n = 39).</w:t>
      </w:r>
    </w:p>
    <w:tbl>
      <w:tblPr>
        <w:tblW w:w="22582" w:type="dxa"/>
        <w:tblLayout w:type="fixed"/>
        <w:tblLook w:val="0000" w:firstRow="0" w:lastRow="0" w:firstColumn="0" w:lastColumn="0" w:noHBand="0" w:noVBand="0"/>
      </w:tblPr>
      <w:tblGrid>
        <w:gridCol w:w="1072"/>
        <w:gridCol w:w="896"/>
        <w:gridCol w:w="899"/>
        <w:gridCol w:w="771"/>
        <w:gridCol w:w="1028"/>
        <w:gridCol w:w="1446"/>
        <w:gridCol w:w="1080"/>
        <w:gridCol w:w="1080"/>
        <w:gridCol w:w="1530"/>
        <w:gridCol w:w="1054"/>
        <w:gridCol w:w="1102"/>
        <w:gridCol w:w="1354"/>
        <w:gridCol w:w="1350"/>
        <w:gridCol w:w="1080"/>
        <w:gridCol w:w="1350"/>
        <w:gridCol w:w="990"/>
        <w:gridCol w:w="1260"/>
        <w:gridCol w:w="900"/>
        <w:gridCol w:w="810"/>
        <w:gridCol w:w="1530"/>
      </w:tblGrid>
      <w:tr w:rsidR="0037619D" w:rsidRPr="000F3EBD" w14:paraId="759023EE" w14:textId="77777777" w:rsidTr="00693EBB">
        <w:trPr>
          <w:trHeight w:val="451"/>
        </w:trPr>
        <w:tc>
          <w:tcPr>
            <w:tcW w:w="1968" w:type="dxa"/>
            <w:gridSpan w:val="2"/>
            <w:tcBorders>
              <w:top w:val="single" w:sz="12" w:space="0" w:color="auto"/>
              <w:left w:val="single" w:sz="12" w:space="0" w:color="auto"/>
              <w:bottom w:val="single" w:sz="12" w:space="0" w:color="auto"/>
              <w:right w:val="single" w:sz="6" w:space="0" w:color="auto"/>
            </w:tcBorders>
          </w:tcPr>
          <w:p w14:paraId="15B98A49" w14:textId="77777777" w:rsidR="0037619D" w:rsidRPr="00892754" w:rsidRDefault="0037619D"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Study Identification &amp; General Info</w:t>
            </w:r>
          </w:p>
        </w:tc>
        <w:tc>
          <w:tcPr>
            <w:tcW w:w="2698" w:type="dxa"/>
            <w:gridSpan w:val="3"/>
            <w:tcBorders>
              <w:top w:val="single" w:sz="12" w:space="0" w:color="auto"/>
              <w:left w:val="single" w:sz="6" w:space="0" w:color="auto"/>
              <w:bottom w:val="single" w:sz="12" w:space="0" w:color="auto"/>
              <w:right w:val="single" w:sz="12" w:space="0" w:color="auto"/>
            </w:tcBorders>
          </w:tcPr>
          <w:p w14:paraId="09FAD369" w14:textId="77777777" w:rsidR="0037619D" w:rsidRPr="00892754" w:rsidRDefault="0037619D"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Study Design &amp; Population</w:t>
            </w:r>
          </w:p>
        </w:tc>
        <w:tc>
          <w:tcPr>
            <w:tcW w:w="7292" w:type="dxa"/>
            <w:gridSpan w:val="6"/>
            <w:tcBorders>
              <w:top w:val="single" w:sz="12" w:space="0" w:color="auto"/>
              <w:left w:val="single" w:sz="12" w:space="0" w:color="auto"/>
              <w:bottom w:val="single" w:sz="12" w:space="0" w:color="auto"/>
              <w:right w:val="single" w:sz="12" w:space="0" w:color="auto"/>
            </w:tcBorders>
          </w:tcPr>
          <w:p w14:paraId="768D2228" w14:textId="77777777" w:rsidR="0037619D" w:rsidRPr="00892754" w:rsidRDefault="0037619D"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Exposure Details</w:t>
            </w:r>
          </w:p>
        </w:tc>
        <w:tc>
          <w:tcPr>
            <w:tcW w:w="2704" w:type="dxa"/>
            <w:gridSpan w:val="2"/>
            <w:tcBorders>
              <w:top w:val="single" w:sz="12" w:space="0" w:color="auto"/>
              <w:left w:val="single" w:sz="12" w:space="0" w:color="auto"/>
              <w:bottom w:val="single" w:sz="12" w:space="0" w:color="auto"/>
              <w:right w:val="single" w:sz="12" w:space="0" w:color="auto"/>
            </w:tcBorders>
          </w:tcPr>
          <w:p w14:paraId="1F644F85" w14:textId="77777777" w:rsidR="0037619D" w:rsidRPr="00892754" w:rsidRDefault="0037619D"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Physical Activity (PA) Outcome Details</w:t>
            </w:r>
          </w:p>
        </w:tc>
        <w:tc>
          <w:tcPr>
            <w:tcW w:w="7920" w:type="dxa"/>
            <w:gridSpan w:val="7"/>
            <w:tcBorders>
              <w:top w:val="single" w:sz="12" w:space="0" w:color="auto"/>
              <w:left w:val="single" w:sz="12" w:space="0" w:color="auto"/>
              <w:bottom w:val="single" w:sz="12" w:space="0" w:color="auto"/>
              <w:right w:val="single" w:sz="12" w:space="0" w:color="auto"/>
            </w:tcBorders>
          </w:tcPr>
          <w:p w14:paraId="664B65E0" w14:textId="77777777" w:rsidR="0037619D" w:rsidRPr="00892754" w:rsidRDefault="0037619D"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Statistical Analysis &amp; Results</w:t>
            </w:r>
          </w:p>
        </w:tc>
      </w:tr>
      <w:tr w:rsidR="0037619D" w:rsidRPr="000F3EBD" w14:paraId="270251B4" w14:textId="77777777" w:rsidTr="00693EBB">
        <w:trPr>
          <w:trHeight w:val="1284"/>
        </w:trPr>
        <w:tc>
          <w:tcPr>
            <w:tcW w:w="1072" w:type="dxa"/>
            <w:tcBorders>
              <w:top w:val="nil"/>
              <w:left w:val="single" w:sz="6" w:space="0" w:color="auto"/>
              <w:bottom w:val="single" w:sz="12" w:space="0" w:color="auto"/>
              <w:right w:val="single" w:sz="6" w:space="0" w:color="auto"/>
            </w:tcBorders>
          </w:tcPr>
          <w:p w14:paraId="35BF4E5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Study</w:t>
            </w:r>
          </w:p>
        </w:tc>
        <w:tc>
          <w:tcPr>
            <w:tcW w:w="896" w:type="dxa"/>
            <w:tcBorders>
              <w:top w:val="nil"/>
              <w:left w:val="single" w:sz="6" w:space="0" w:color="auto"/>
              <w:bottom w:val="single" w:sz="12" w:space="0" w:color="auto"/>
              <w:right w:val="single" w:sz="6" w:space="0" w:color="auto"/>
            </w:tcBorders>
          </w:tcPr>
          <w:p w14:paraId="072CE9E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Country / Region</w:t>
            </w:r>
          </w:p>
        </w:tc>
        <w:tc>
          <w:tcPr>
            <w:tcW w:w="899" w:type="dxa"/>
            <w:tcBorders>
              <w:top w:val="nil"/>
              <w:left w:val="single" w:sz="6" w:space="0" w:color="auto"/>
              <w:bottom w:val="single" w:sz="12" w:space="0" w:color="auto"/>
              <w:right w:val="single" w:sz="6" w:space="0" w:color="auto"/>
            </w:tcBorders>
          </w:tcPr>
          <w:p w14:paraId="6114E56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Study Design</w:t>
            </w:r>
          </w:p>
        </w:tc>
        <w:tc>
          <w:tcPr>
            <w:tcW w:w="771" w:type="dxa"/>
            <w:tcBorders>
              <w:top w:val="nil"/>
              <w:left w:val="single" w:sz="6" w:space="0" w:color="auto"/>
              <w:bottom w:val="single" w:sz="12" w:space="0" w:color="auto"/>
              <w:right w:val="single" w:sz="6" w:space="0" w:color="auto"/>
            </w:tcBorders>
          </w:tcPr>
          <w:p w14:paraId="79B2897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Sample Size</w:t>
            </w:r>
          </w:p>
        </w:tc>
        <w:tc>
          <w:tcPr>
            <w:tcW w:w="1028" w:type="dxa"/>
            <w:tcBorders>
              <w:top w:val="nil"/>
              <w:left w:val="single" w:sz="6" w:space="0" w:color="auto"/>
              <w:bottom w:val="single" w:sz="12" w:space="0" w:color="auto"/>
              <w:right w:val="single" w:sz="6" w:space="0" w:color="auto"/>
            </w:tcBorders>
          </w:tcPr>
          <w:p w14:paraId="5151B37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w:t>
            </w:r>
          </w:p>
          <w:p w14:paraId="465FA10B" w14:textId="77777777" w:rsidR="0037619D" w:rsidRPr="000F3EBD" w:rsidRDefault="0037619D" w:rsidP="00693EBB">
            <w:pPr>
              <w:tabs>
                <w:tab w:val="left" w:pos="554"/>
                <w:tab w:val="left" w:pos="1253"/>
                <w:tab w:val="left" w:pos="1701"/>
              </w:tabs>
              <w:autoSpaceDE w:val="0"/>
              <w:autoSpaceDN w:val="0"/>
              <w:adjustRightInd w:val="0"/>
              <w:jc w:val="left"/>
              <w:rPr>
                <w:rFonts w:asciiTheme="majorBidi" w:hAnsiTheme="majorBidi" w:cstheme="majorBidi"/>
                <w:color w:val="000000"/>
                <w:kern w:val="0"/>
                <w:sz w:val="18"/>
                <w:szCs w:val="18"/>
              </w:rPr>
            </w:pPr>
          </w:p>
        </w:tc>
        <w:tc>
          <w:tcPr>
            <w:tcW w:w="1446" w:type="dxa"/>
            <w:tcBorders>
              <w:top w:val="nil"/>
              <w:left w:val="single" w:sz="6" w:space="0" w:color="auto"/>
              <w:bottom w:val="single" w:sz="12" w:space="0" w:color="auto"/>
              <w:right w:val="single" w:sz="6" w:space="0" w:color="auto"/>
            </w:tcBorders>
          </w:tcPr>
          <w:p w14:paraId="5DB20CA5" w14:textId="1CF94AE4" w:rsidR="00F76087" w:rsidRPr="000F3EBD" w:rsidRDefault="0037619D" w:rsidP="00F76087">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Proximity Metric </w:t>
            </w:r>
          </w:p>
          <w:p w14:paraId="129BF421" w14:textId="3CE36C42"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12" w:space="0" w:color="auto"/>
              <w:right w:val="single" w:sz="6" w:space="0" w:color="auto"/>
            </w:tcBorders>
          </w:tcPr>
          <w:p w14:paraId="03F155D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Greenspace</w:t>
            </w:r>
          </w:p>
          <w:p w14:paraId="5C7676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Definition</w:t>
            </w:r>
          </w:p>
        </w:tc>
        <w:tc>
          <w:tcPr>
            <w:tcW w:w="1080" w:type="dxa"/>
            <w:tcBorders>
              <w:top w:val="nil"/>
              <w:left w:val="single" w:sz="6" w:space="0" w:color="auto"/>
              <w:bottom w:val="single" w:sz="12" w:space="0" w:color="auto"/>
              <w:right w:val="single" w:sz="6" w:space="0" w:color="auto"/>
            </w:tcBorders>
          </w:tcPr>
          <w:p w14:paraId="47AF56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Greenspace</w:t>
            </w:r>
          </w:p>
          <w:p w14:paraId="2C8D546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Data Source</w:t>
            </w:r>
          </w:p>
        </w:tc>
        <w:tc>
          <w:tcPr>
            <w:tcW w:w="1530" w:type="dxa"/>
            <w:tcBorders>
              <w:top w:val="nil"/>
              <w:left w:val="single" w:sz="6" w:space="0" w:color="auto"/>
              <w:bottom w:val="single" w:sz="12" w:space="0" w:color="auto"/>
              <w:right w:val="single" w:sz="6" w:space="0" w:color="auto"/>
            </w:tcBorders>
          </w:tcPr>
          <w:p w14:paraId="44EAF9B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Measurement Method</w:t>
            </w:r>
          </w:p>
          <w:p w14:paraId="6D46BE5A" w14:textId="53FF88BF"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054" w:type="dxa"/>
            <w:tcBorders>
              <w:top w:val="nil"/>
              <w:left w:val="single" w:sz="6" w:space="0" w:color="auto"/>
              <w:bottom w:val="single" w:sz="12" w:space="0" w:color="auto"/>
              <w:right w:val="single" w:sz="6" w:space="0" w:color="auto"/>
            </w:tcBorders>
          </w:tcPr>
          <w:p w14:paraId="4E01617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Threshold Used</w:t>
            </w:r>
          </w:p>
        </w:tc>
        <w:tc>
          <w:tcPr>
            <w:tcW w:w="1102" w:type="dxa"/>
            <w:tcBorders>
              <w:top w:val="nil"/>
              <w:left w:val="single" w:sz="6" w:space="0" w:color="auto"/>
              <w:bottom w:val="single" w:sz="12" w:space="0" w:color="auto"/>
              <w:right w:val="single" w:sz="6" w:space="0" w:color="auto"/>
            </w:tcBorders>
          </w:tcPr>
          <w:p w14:paraId="26057CF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Spatial Level /</w:t>
            </w:r>
          </w:p>
          <w:p w14:paraId="3B9886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Unit of Analysis</w:t>
            </w:r>
          </w:p>
        </w:tc>
        <w:tc>
          <w:tcPr>
            <w:tcW w:w="1354" w:type="dxa"/>
            <w:tcBorders>
              <w:top w:val="nil"/>
              <w:left w:val="single" w:sz="6" w:space="0" w:color="auto"/>
              <w:bottom w:val="single" w:sz="12" w:space="0" w:color="auto"/>
              <w:right w:val="single" w:sz="6" w:space="0" w:color="auto"/>
            </w:tcBorders>
          </w:tcPr>
          <w:p w14:paraId="655D298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Outcome Type</w:t>
            </w:r>
          </w:p>
        </w:tc>
        <w:tc>
          <w:tcPr>
            <w:tcW w:w="1350" w:type="dxa"/>
            <w:tcBorders>
              <w:top w:val="nil"/>
              <w:left w:val="single" w:sz="6" w:space="0" w:color="auto"/>
              <w:bottom w:val="single" w:sz="12" w:space="0" w:color="auto"/>
              <w:right w:val="single" w:sz="6" w:space="0" w:color="auto"/>
            </w:tcBorders>
          </w:tcPr>
          <w:p w14:paraId="420FD01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Measurement Method</w:t>
            </w:r>
          </w:p>
          <w:p w14:paraId="73AF5307" w14:textId="0D2DE0DB"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12" w:space="0" w:color="auto"/>
              <w:right w:val="single" w:sz="6" w:space="0" w:color="auto"/>
            </w:tcBorders>
          </w:tcPr>
          <w:p w14:paraId="28112EB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Statistical Model</w:t>
            </w:r>
          </w:p>
          <w:p w14:paraId="363A60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tc>
        <w:tc>
          <w:tcPr>
            <w:tcW w:w="1350" w:type="dxa"/>
            <w:tcBorders>
              <w:top w:val="nil"/>
              <w:left w:val="single" w:sz="6" w:space="0" w:color="auto"/>
              <w:bottom w:val="single" w:sz="12" w:space="0" w:color="auto"/>
              <w:right w:val="single" w:sz="6" w:space="0" w:color="auto"/>
            </w:tcBorders>
          </w:tcPr>
          <w:p w14:paraId="789D7A2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Covariates Adjusted For</w:t>
            </w:r>
          </w:p>
          <w:p w14:paraId="4C6478B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90" w:type="dxa"/>
            <w:tcBorders>
              <w:top w:val="nil"/>
              <w:left w:val="single" w:sz="6" w:space="0" w:color="auto"/>
              <w:bottom w:val="single" w:sz="12" w:space="0" w:color="auto"/>
              <w:right w:val="single" w:sz="6" w:space="0" w:color="auto"/>
            </w:tcBorders>
          </w:tcPr>
          <w:p w14:paraId="457908F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Effect Estimate Type</w:t>
            </w:r>
          </w:p>
          <w:p w14:paraId="4F5A7D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260" w:type="dxa"/>
            <w:tcBorders>
              <w:top w:val="nil"/>
              <w:left w:val="single" w:sz="6" w:space="0" w:color="auto"/>
              <w:bottom w:val="single" w:sz="12" w:space="0" w:color="auto"/>
              <w:right w:val="single" w:sz="6" w:space="0" w:color="auto"/>
            </w:tcBorders>
          </w:tcPr>
          <w:p w14:paraId="5D9F65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Effect Estimate</w:t>
            </w:r>
          </w:p>
          <w:p w14:paraId="47036B6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00" w:type="dxa"/>
            <w:tcBorders>
              <w:top w:val="nil"/>
              <w:left w:val="single" w:sz="6" w:space="0" w:color="auto"/>
              <w:bottom w:val="single" w:sz="12" w:space="0" w:color="auto"/>
              <w:right w:val="single" w:sz="6" w:space="0" w:color="auto"/>
            </w:tcBorders>
          </w:tcPr>
          <w:p w14:paraId="693D2A7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95% Confidence </w:t>
            </w:r>
          </w:p>
          <w:p w14:paraId="6A92BFF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Interval / Standard Error</w:t>
            </w:r>
          </w:p>
        </w:tc>
        <w:tc>
          <w:tcPr>
            <w:tcW w:w="810" w:type="dxa"/>
            <w:tcBorders>
              <w:top w:val="nil"/>
              <w:left w:val="single" w:sz="6" w:space="0" w:color="auto"/>
              <w:bottom w:val="single" w:sz="12" w:space="0" w:color="auto"/>
              <w:right w:val="single" w:sz="6" w:space="0" w:color="auto"/>
            </w:tcBorders>
          </w:tcPr>
          <w:p w14:paraId="1ADC45E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p-value</w:t>
            </w:r>
          </w:p>
        </w:tc>
        <w:tc>
          <w:tcPr>
            <w:tcW w:w="1530" w:type="dxa"/>
            <w:tcBorders>
              <w:top w:val="nil"/>
              <w:left w:val="single" w:sz="6" w:space="0" w:color="auto"/>
              <w:bottom w:val="single" w:sz="12" w:space="0" w:color="auto"/>
              <w:right w:val="single" w:sz="6" w:space="0" w:color="auto"/>
            </w:tcBorders>
          </w:tcPr>
          <w:p w14:paraId="0F732FA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Direction of Association </w:t>
            </w:r>
          </w:p>
          <w:p w14:paraId="50F6CC2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negative, null)</w:t>
            </w:r>
          </w:p>
        </w:tc>
      </w:tr>
      <w:tr w:rsidR="0037619D" w:rsidRPr="000F3EBD" w14:paraId="442B5279" w14:textId="77777777" w:rsidTr="00693EBB">
        <w:trPr>
          <w:trHeight w:val="3504"/>
        </w:trPr>
        <w:tc>
          <w:tcPr>
            <w:tcW w:w="1072" w:type="dxa"/>
            <w:tcBorders>
              <w:top w:val="single" w:sz="12" w:space="0" w:color="auto"/>
              <w:left w:val="single" w:sz="6" w:space="0" w:color="auto"/>
              <w:bottom w:val="single" w:sz="6" w:space="0" w:color="auto"/>
              <w:right w:val="single" w:sz="6" w:space="0" w:color="auto"/>
            </w:tcBorders>
          </w:tcPr>
          <w:p w14:paraId="1F052AF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Bird et al.,</w:t>
            </w:r>
          </w:p>
          <w:p w14:paraId="244D8D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2016</w:t>
            </w:r>
          </w:p>
        </w:tc>
        <w:tc>
          <w:tcPr>
            <w:tcW w:w="896" w:type="dxa"/>
            <w:tcBorders>
              <w:top w:val="single" w:sz="12" w:space="0" w:color="auto"/>
              <w:left w:val="single" w:sz="6" w:space="0" w:color="auto"/>
              <w:bottom w:val="single" w:sz="6" w:space="0" w:color="auto"/>
              <w:right w:val="single" w:sz="6" w:space="0" w:color="auto"/>
            </w:tcBorders>
          </w:tcPr>
          <w:p w14:paraId="4E47114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899" w:type="dxa"/>
            <w:tcBorders>
              <w:top w:val="single" w:sz="12" w:space="0" w:color="auto"/>
              <w:left w:val="single" w:sz="6" w:space="0" w:color="auto"/>
              <w:bottom w:val="single" w:sz="6" w:space="0" w:color="auto"/>
              <w:right w:val="single" w:sz="6" w:space="0" w:color="auto"/>
            </w:tcBorders>
          </w:tcPr>
          <w:p w14:paraId="176D9B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single" w:sz="12" w:space="0" w:color="auto"/>
              <w:left w:val="single" w:sz="6" w:space="0" w:color="auto"/>
              <w:bottom w:val="single" w:sz="6" w:space="0" w:color="auto"/>
              <w:right w:val="single" w:sz="6" w:space="0" w:color="auto"/>
            </w:tcBorders>
          </w:tcPr>
          <w:p w14:paraId="62E68F1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380</w:t>
            </w:r>
          </w:p>
        </w:tc>
        <w:tc>
          <w:tcPr>
            <w:tcW w:w="1028" w:type="dxa"/>
            <w:tcBorders>
              <w:top w:val="single" w:sz="12" w:space="0" w:color="auto"/>
              <w:left w:val="single" w:sz="6" w:space="0" w:color="auto"/>
              <w:bottom w:val="single" w:sz="6" w:space="0" w:color="auto"/>
              <w:right w:val="single" w:sz="6" w:space="0" w:color="auto"/>
            </w:tcBorders>
          </w:tcPr>
          <w:p w14:paraId="420B863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Children at risk of obesity</w:t>
            </w:r>
          </w:p>
          <w:p w14:paraId="4F28122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8–10 years</w:t>
            </w:r>
          </w:p>
        </w:tc>
        <w:tc>
          <w:tcPr>
            <w:tcW w:w="1446" w:type="dxa"/>
            <w:tcBorders>
              <w:top w:val="single" w:sz="12" w:space="0" w:color="auto"/>
              <w:left w:val="single" w:sz="6" w:space="0" w:color="auto"/>
              <w:bottom w:val="single" w:sz="6" w:space="0" w:color="auto"/>
              <w:right w:val="single" w:sz="6" w:space="0" w:color="auto"/>
            </w:tcBorders>
          </w:tcPr>
          <w:p w14:paraId="4F4CD11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Presence/type of nearby park(s) within a walking street-network buffer.</w:t>
            </w:r>
          </w:p>
          <w:p w14:paraId="50FE02F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080" w:type="dxa"/>
            <w:tcBorders>
              <w:top w:val="single" w:sz="12" w:space="0" w:color="auto"/>
              <w:left w:val="single" w:sz="6" w:space="0" w:color="auto"/>
              <w:bottom w:val="single" w:sz="6" w:space="0" w:color="auto"/>
              <w:right w:val="single" w:sz="6" w:space="0" w:color="auto"/>
            </w:tcBorders>
          </w:tcPr>
          <w:p w14:paraId="3BC3E27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and open spaces</w:t>
            </w:r>
          </w:p>
        </w:tc>
        <w:tc>
          <w:tcPr>
            <w:tcW w:w="1080" w:type="dxa"/>
            <w:tcBorders>
              <w:top w:val="single" w:sz="12" w:space="0" w:color="auto"/>
              <w:left w:val="single" w:sz="6" w:space="0" w:color="auto"/>
              <w:bottom w:val="single" w:sz="6" w:space="0" w:color="auto"/>
              <w:right w:val="single" w:sz="6" w:space="0" w:color="auto"/>
            </w:tcBorders>
          </w:tcPr>
          <w:p w14:paraId="64D3E64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CanMap</w:t>
            </w:r>
          </w:p>
        </w:tc>
        <w:tc>
          <w:tcPr>
            <w:tcW w:w="1530" w:type="dxa"/>
            <w:tcBorders>
              <w:top w:val="single" w:sz="12" w:space="0" w:color="auto"/>
              <w:left w:val="single" w:sz="6" w:space="0" w:color="auto"/>
              <w:bottom w:val="single" w:sz="6" w:space="0" w:color="auto"/>
              <w:right w:val="single" w:sz="6" w:space="0" w:color="auto"/>
            </w:tcBorders>
          </w:tcPr>
          <w:p w14:paraId="303696C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Street-network (walking) buffers to identify nearby parks;</w:t>
            </w:r>
          </w:p>
          <w:p w14:paraId="3943075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travel-time modeling.</w:t>
            </w:r>
          </w:p>
        </w:tc>
        <w:tc>
          <w:tcPr>
            <w:tcW w:w="1054" w:type="dxa"/>
            <w:tcBorders>
              <w:top w:val="single" w:sz="12" w:space="0" w:color="auto"/>
              <w:left w:val="single" w:sz="6" w:space="0" w:color="auto"/>
              <w:bottom w:val="single" w:sz="6" w:space="0" w:color="auto"/>
              <w:right w:val="single" w:sz="6" w:space="0" w:color="auto"/>
            </w:tcBorders>
          </w:tcPr>
          <w:p w14:paraId="5B7E680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network buffer (up to 3 parks);</w:t>
            </w:r>
          </w:p>
          <w:p w14:paraId="1B69CE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if none, 1,000 m (1 park).</w:t>
            </w:r>
          </w:p>
        </w:tc>
        <w:tc>
          <w:tcPr>
            <w:tcW w:w="1102" w:type="dxa"/>
            <w:tcBorders>
              <w:top w:val="single" w:sz="12" w:space="0" w:color="auto"/>
              <w:left w:val="single" w:sz="6" w:space="0" w:color="auto"/>
              <w:bottom w:val="single" w:sz="6" w:space="0" w:color="auto"/>
              <w:right w:val="single" w:sz="6" w:space="0" w:color="auto"/>
            </w:tcBorders>
          </w:tcPr>
          <w:p w14:paraId="451C40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 level linked to nearby parks</w:t>
            </w:r>
          </w:p>
        </w:tc>
        <w:tc>
          <w:tcPr>
            <w:tcW w:w="1354" w:type="dxa"/>
            <w:tcBorders>
              <w:top w:val="single" w:sz="12" w:space="0" w:color="auto"/>
              <w:left w:val="single" w:sz="6" w:space="0" w:color="auto"/>
              <w:bottom w:val="single" w:sz="6" w:space="0" w:color="auto"/>
              <w:right w:val="single" w:sz="6" w:space="0" w:color="auto"/>
            </w:tcBorders>
          </w:tcPr>
          <w:p w14:paraId="67D7073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(i) Mean weekly 15-min bouts of PA; (ii) Variety of different activities.</w:t>
            </w:r>
          </w:p>
          <w:p w14:paraId="3F3DA9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3BAB7DE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Accelerometer-based PA (sedentary, light, vigorous, MVPA; binary “meeting 60 min/day MVPA”).</w:t>
            </w:r>
          </w:p>
        </w:tc>
        <w:tc>
          <w:tcPr>
            <w:tcW w:w="1350" w:type="dxa"/>
            <w:tcBorders>
              <w:top w:val="single" w:sz="12" w:space="0" w:color="auto"/>
              <w:left w:val="single" w:sz="6" w:space="0" w:color="auto"/>
              <w:bottom w:val="single" w:sz="6" w:space="0" w:color="auto"/>
              <w:right w:val="single" w:sz="6" w:space="0" w:color="auto"/>
            </w:tcBorders>
          </w:tcPr>
          <w:p w14:paraId="3D09B3E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Interviewer-administered youth PA recall (3 seasonal recalls; averaged).</w:t>
            </w:r>
          </w:p>
          <w:p w14:paraId="384671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1817A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Objective: ActiGraph accelerometer (model 7184), ≥4 days with ≥10 h/day wear.</w:t>
            </w:r>
          </w:p>
        </w:tc>
        <w:tc>
          <w:tcPr>
            <w:tcW w:w="1080" w:type="dxa"/>
            <w:tcBorders>
              <w:top w:val="single" w:sz="12" w:space="0" w:color="auto"/>
              <w:left w:val="single" w:sz="6" w:space="0" w:color="auto"/>
              <w:bottom w:val="single" w:sz="6" w:space="0" w:color="auto"/>
              <w:right w:val="single" w:sz="6" w:space="0" w:color="auto"/>
            </w:tcBorders>
          </w:tcPr>
          <w:p w14:paraId="5F4C85E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Linear regression for self-reported continuous PA outcomes; </w:t>
            </w:r>
          </w:p>
          <w:p w14:paraId="15BAED0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logistic/linear for objective PA and adiposity</w:t>
            </w:r>
          </w:p>
        </w:tc>
        <w:tc>
          <w:tcPr>
            <w:tcW w:w="1350" w:type="dxa"/>
            <w:tcBorders>
              <w:top w:val="single" w:sz="12" w:space="0" w:color="auto"/>
              <w:left w:val="single" w:sz="6" w:space="0" w:color="auto"/>
              <w:bottom w:val="single" w:sz="6" w:space="0" w:color="auto"/>
              <w:right w:val="single" w:sz="6" w:space="0" w:color="auto"/>
            </w:tcBorders>
          </w:tcPr>
          <w:p w14:paraId="3F24FF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income,</w:t>
            </w:r>
          </w:p>
          <w:p w14:paraId="095BCAE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218327A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F950C8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puberty initiated</w:t>
            </w:r>
          </w:p>
        </w:tc>
        <w:tc>
          <w:tcPr>
            <w:tcW w:w="990" w:type="dxa"/>
            <w:tcBorders>
              <w:top w:val="single" w:sz="12" w:space="0" w:color="auto"/>
              <w:left w:val="single" w:sz="6" w:space="0" w:color="auto"/>
              <w:bottom w:val="single" w:sz="6" w:space="0" w:color="auto"/>
              <w:right w:val="single" w:sz="6" w:space="0" w:color="auto"/>
            </w:tcBorders>
          </w:tcPr>
          <w:p w14:paraId="540F8A1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1260" w:type="dxa"/>
            <w:tcBorders>
              <w:top w:val="single" w:sz="12" w:space="0" w:color="auto"/>
              <w:left w:val="single" w:sz="6" w:space="0" w:color="auto"/>
              <w:bottom w:val="single" w:sz="6" w:space="0" w:color="auto"/>
              <w:right w:val="single" w:sz="6" w:space="0" w:color="auto"/>
            </w:tcBorders>
          </w:tcPr>
          <w:p w14:paraId="73315A6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Type VIII (very esthetically pleasing, few team-sports) vs reference (Type I). +5.2</w:t>
            </w:r>
          </w:p>
        </w:tc>
        <w:tc>
          <w:tcPr>
            <w:tcW w:w="900" w:type="dxa"/>
            <w:tcBorders>
              <w:top w:val="single" w:sz="12" w:space="0" w:color="auto"/>
              <w:left w:val="single" w:sz="6" w:space="0" w:color="auto"/>
              <w:bottom w:val="single" w:sz="6" w:space="0" w:color="auto"/>
              <w:right w:val="single" w:sz="6" w:space="0" w:color="auto"/>
            </w:tcBorders>
          </w:tcPr>
          <w:p w14:paraId="476667F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90% CI: 2.3 to 8.1</w:t>
            </w:r>
          </w:p>
        </w:tc>
        <w:tc>
          <w:tcPr>
            <w:tcW w:w="810" w:type="dxa"/>
            <w:tcBorders>
              <w:top w:val="single" w:sz="12" w:space="0" w:color="auto"/>
              <w:left w:val="single" w:sz="6" w:space="0" w:color="auto"/>
              <w:bottom w:val="single" w:sz="6" w:space="0" w:color="auto"/>
              <w:right w:val="single" w:sz="6" w:space="0" w:color="auto"/>
            </w:tcBorders>
          </w:tcPr>
          <w:p w14:paraId="3EAFC92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p&lt; 0.05</w:t>
            </w:r>
          </w:p>
        </w:tc>
        <w:tc>
          <w:tcPr>
            <w:tcW w:w="1530" w:type="dxa"/>
            <w:tcBorders>
              <w:top w:val="single" w:sz="12" w:space="0" w:color="auto"/>
              <w:left w:val="single" w:sz="6" w:space="0" w:color="auto"/>
              <w:bottom w:val="single" w:sz="6" w:space="0" w:color="auto"/>
              <w:right w:val="single" w:sz="6" w:space="0" w:color="auto"/>
            </w:tcBorders>
          </w:tcPr>
          <w:p w14:paraId="78C47CC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for self-reported bouts of PA (Type VIII vs reference). </w:t>
            </w:r>
          </w:p>
          <w:p w14:paraId="24F41DE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significant associations for objective PA.</w:t>
            </w:r>
          </w:p>
        </w:tc>
      </w:tr>
      <w:tr w:rsidR="0037619D" w:rsidRPr="000F3EBD" w14:paraId="3B48F334" w14:textId="77777777" w:rsidTr="00693EBB">
        <w:trPr>
          <w:trHeight w:val="3036"/>
        </w:trPr>
        <w:tc>
          <w:tcPr>
            <w:tcW w:w="1072" w:type="dxa"/>
            <w:tcBorders>
              <w:top w:val="nil"/>
              <w:left w:val="single" w:sz="6" w:space="0" w:color="auto"/>
              <w:bottom w:val="single" w:sz="6" w:space="0" w:color="auto"/>
              <w:right w:val="single" w:sz="6" w:space="0" w:color="auto"/>
            </w:tcBorders>
          </w:tcPr>
          <w:p w14:paraId="4D07D0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Schipperijn et al.,</w:t>
            </w:r>
          </w:p>
          <w:p w14:paraId="3FE8418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896" w:type="dxa"/>
            <w:tcBorders>
              <w:top w:val="nil"/>
              <w:left w:val="single" w:sz="6" w:space="0" w:color="auto"/>
              <w:bottom w:val="single" w:sz="6" w:space="0" w:color="auto"/>
              <w:right w:val="single" w:sz="6" w:space="0" w:color="auto"/>
            </w:tcBorders>
          </w:tcPr>
          <w:p w14:paraId="4C2617C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Belgium</w:t>
            </w:r>
          </w:p>
          <w:p w14:paraId="6C6A26CB"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Brazil</w:t>
            </w:r>
          </w:p>
          <w:p w14:paraId="3F5F383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Czech Republic</w:t>
            </w:r>
          </w:p>
          <w:p w14:paraId="42FCD3E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Denmark</w:t>
            </w:r>
          </w:p>
          <w:p w14:paraId="785AF0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Mexico</w:t>
            </w:r>
          </w:p>
          <w:p w14:paraId="53BD00A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New Zealand</w:t>
            </w:r>
          </w:p>
          <w:p w14:paraId="14D009A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p w14:paraId="0C0FEBF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59DD475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1905B25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6181</w:t>
            </w:r>
          </w:p>
        </w:tc>
        <w:tc>
          <w:tcPr>
            <w:tcW w:w="1028" w:type="dxa"/>
            <w:tcBorders>
              <w:top w:val="nil"/>
              <w:left w:val="single" w:sz="6" w:space="0" w:color="auto"/>
              <w:bottom w:val="single" w:sz="6" w:space="0" w:color="auto"/>
              <w:right w:val="single" w:sz="6" w:space="0" w:color="auto"/>
            </w:tcBorders>
          </w:tcPr>
          <w:p w14:paraId="0A967045" w14:textId="77777777" w:rsidR="0037619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485DCC4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18–66 years.</w:t>
            </w:r>
          </w:p>
        </w:tc>
        <w:tc>
          <w:tcPr>
            <w:tcW w:w="1446" w:type="dxa"/>
            <w:tcBorders>
              <w:top w:val="nil"/>
              <w:left w:val="single" w:sz="6" w:space="0" w:color="auto"/>
              <w:bottom w:val="single" w:sz="6" w:space="0" w:color="auto"/>
              <w:right w:val="single" w:sz="6" w:space="0" w:color="auto"/>
            </w:tcBorders>
          </w:tcPr>
          <w:p w14:paraId="5173798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proximity (NEWS item; 5-point walking time to nearest park).</w:t>
            </w:r>
          </w:p>
        </w:tc>
        <w:tc>
          <w:tcPr>
            <w:tcW w:w="1080" w:type="dxa"/>
            <w:tcBorders>
              <w:top w:val="nil"/>
              <w:left w:val="single" w:sz="6" w:space="0" w:color="auto"/>
              <w:bottom w:val="single" w:sz="6" w:space="0" w:color="auto"/>
              <w:right w:val="single" w:sz="6" w:space="0" w:color="auto"/>
            </w:tcBorders>
          </w:tcPr>
          <w:p w14:paraId="5609AB1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Government-designated park</w:t>
            </w:r>
          </w:p>
        </w:tc>
        <w:tc>
          <w:tcPr>
            <w:tcW w:w="1080" w:type="dxa"/>
            <w:tcBorders>
              <w:top w:val="nil"/>
              <w:left w:val="single" w:sz="6" w:space="0" w:color="auto"/>
              <w:bottom w:val="single" w:sz="6" w:space="0" w:color="auto"/>
              <w:right w:val="single" w:sz="6" w:space="0" w:color="auto"/>
            </w:tcBorders>
          </w:tcPr>
          <w:p w14:paraId="4BF5B85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Local park polygon datasets</w:t>
            </w:r>
          </w:p>
        </w:tc>
        <w:tc>
          <w:tcPr>
            <w:tcW w:w="1530" w:type="dxa"/>
            <w:tcBorders>
              <w:top w:val="nil"/>
              <w:left w:val="single" w:sz="6" w:space="0" w:color="auto"/>
              <w:bottom w:val="single" w:sz="6" w:space="0" w:color="auto"/>
              <w:right w:val="single" w:sz="6" w:space="0" w:color="auto"/>
            </w:tcBorders>
          </w:tcPr>
          <w:p w14:paraId="2CAEE9A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Street-network buffers &amp; distances</w:t>
            </w:r>
          </w:p>
        </w:tc>
        <w:tc>
          <w:tcPr>
            <w:tcW w:w="1054" w:type="dxa"/>
            <w:tcBorders>
              <w:top w:val="nil"/>
              <w:left w:val="single" w:sz="6" w:space="0" w:color="auto"/>
              <w:bottom w:val="single" w:sz="6" w:space="0" w:color="auto"/>
              <w:right w:val="single" w:sz="6" w:space="0" w:color="auto"/>
            </w:tcBorders>
          </w:tcPr>
          <w:p w14:paraId="4D45AC8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 &amp; 500 m buffers</w:t>
            </w:r>
          </w:p>
        </w:tc>
        <w:tc>
          <w:tcPr>
            <w:tcW w:w="1102" w:type="dxa"/>
            <w:tcBorders>
              <w:top w:val="nil"/>
              <w:left w:val="single" w:sz="6" w:space="0" w:color="auto"/>
              <w:bottom w:val="single" w:sz="6" w:space="0" w:color="auto"/>
              <w:right w:val="single" w:sz="6" w:space="0" w:color="auto"/>
            </w:tcBorders>
          </w:tcPr>
          <w:p w14:paraId="04F8146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Participant home-based buffers; neighborhoods defined by administrative units (~US Census block groups, 500–3,000 residents)</w:t>
            </w:r>
          </w:p>
        </w:tc>
        <w:tc>
          <w:tcPr>
            <w:tcW w:w="1354" w:type="dxa"/>
            <w:tcBorders>
              <w:top w:val="nil"/>
              <w:left w:val="single" w:sz="6" w:space="0" w:color="auto"/>
              <w:bottom w:val="single" w:sz="6" w:space="0" w:color="auto"/>
              <w:right w:val="single" w:sz="6" w:space="0" w:color="auto"/>
            </w:tcBorders>
          </w:tcPr>
          <w:p w14:paraId="3C34769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Hip-worn accelerometers for 7 days</w:t>
            </w:r>
          </w:p>
        </w:tc>
        <w:tc>
          <w:tcPr>
            <w:tcW w:w="1350" w:type="dxa"/>
            <w:tcBorders>
              <w:top w:val="nil"/>
              <w:left w:val="single" w:sz="6" w:space="0" w:color="auto"/>
              <w:bottom w:val="single" w:sz="6" w:space="0" w:color="auto"/>
              <w:right w:val="single" w:sz="6" w:space="0" w:color="auto"/>
            </w:tcBorders>
          </w:tcPr>
          <w:p w14:paraId="43B61BE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walking (LTW)</w:t>
            </w:r>
          </w:p>
          <w:p w14:paraId="3C5A3F3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other LTPA</w:t>
            </w:r>
          </w:p>
        </w:tc>
        <w:tc>
          <w:tcPr>
            <w:tcW w:w="1080" w:type="dxa"/>
            <w:tcBorders>
              <w:top w:val="nil"/>
              <w:left w:val="single" w:sz="6" w:space="0" w:color="auto"/>
              <w:bottom w:val="single" w:sz="6" w:space="0" w:color="auto"/>
              <w:right w:val="single" w:sz="6" w:space="0" w:color="auto"/>
            </w:tcBorders>
          </w:tcPr>
          <w:p w14:paraId="6D38254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Additive Mixed Models (GAMMs)</w:t>
            </w:r>
          </w:p>
        </w:tc>
        <w:tc>
          <w:tcPr>
            <w:tcW w:w="1350" w:type="dxa"/>
            <w:tcBorders>
              <w:top w:val="nil"/>
              <w:left w:val="single" w:sz="6" w:space="0" w:color="auto"/>
              <w:bottom w:val="single" w:sz="6" w:space="0" w:color="auto"/>
              <w:right w:val="single" w:sz="6" w:space="0" w:color="auto"/>
            </w:tcBorders>
          </w:tcPr>
          <w:p w14:paraId="1DFBF2A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65980D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1557B4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60B5FE41"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marital status</w:t>
            </w:r>
          </w:p>
          <w:p w14:paraId="40E7E19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employment</w:t>
            </w:r>
          </w:p>
          <w:p w14:paraId="1AC595B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w:t>
            </w:r>
          </w:p>
          <w:p w14:paraId="290CD0F1" w14:textId="77777777" w:rsidR="0037619D" w:rsidRPr="000F3EB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wear time</w:t>
            </w:r>
          </w:p>
          <w:p w14:paraId="6BB86A0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90" w:type="dxa"/>
            <w:tcBorders>
              <w:top w:val="nil"/>
              <w:left w:val="single" w:sz="6" w:space="0" w:color="auto"/>
              <w:bottom w:val="single" w:sz="6" w:space="0" w:color="auto"/>
              <w:right w:val="single" w:sz="6" w:space="0" w:color="auto"/>
            </w:tcBorders>
          </w:tcPr>
          <w:p w14:paraId="1CC80BB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Ratios (OR)</w:t>
            </w:r>
          </w:p>
        </w:tc>
        <w:tc>
          <w:tcPr>
            <w:tcW w:w="1260" w:type="dxa"/>
            <w:tcBorders>
              <w:top w:val="nil"/>
              <w:left w:val="single" w:sz="6" w:space="0" w:color="auto"/>
              <w:bottom w:val="single" w:sz="6" w:space="0" w:color="auto"/>
              <w:right w:val="single" w:sz="6" w:space="0" w:color="auto"/>
            </w:tcBorders>
          </w:tcPr>
          <w:p w14:paraId="417589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00" w:type="dxa"/>
            <w:tcBorders>
              <w:top w:val="nil"/>
              <w:left w:val="single" w:sz="6" w:space="0" w:color="auto"/>
              <w:bottom w:val="single" w:sz="6" w:space="0" w:color="auto"/>
              <w:right w:val="single" w:sz="6" w:space="0" w:color="auto"/>
            </w:tcBorders>
          </w:tcPr>
          <w:p w14:paraId="5524F0C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810" w:type="dxa"/>
            <w:tcBorders>
              <w:top w:val="nil"/>
              <w:left w:val="single" w:sz="6" w:space="0" w:color="auto"/>
              <w:bottom w:val="single" w:sz="6" w:space="0" w:color="auto"/>
              <w:right w:val="single" w:sz="6" w:space="0" w:color="auto"/>
            </w:tcBorders>
          </w:tcPr>
          <w:p w14:paraId="05371E7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530" w:type="dxa"/>
            <w:tcBorders>
              <w:top w:val="nil"/>
              <w:left w:val="single" w:sz="6" w:space="0" w:color="auto"/>
              <w:bottom w:val="single" w:sz="6" w:space="0" w:color="auto"/>
              <w:right w:val="single" w:sz="6" w:space="0" w:color="auto"/>
            </w:tcBorders>
          </w:tcPr>
          <w:p w14:paraId="2E98E9A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with MVPA, LTW, and other LTPA.</w:t>
            </w:r>
          </w:p>
        </w:tc>
      </w:tr>
      <w:tr w:rsidR="0037619D" w:rsidRPr="000F3EBD" w14:paraId="33C6B5C8" w14:textId="77777777" w:rsidTr="00693EBB">
        <w:trPr>
          <w:trHeight w:val="1605"/>
        </w:trPr>
        <w:tc>
          <w:tcPr>
            <w:tcW w:w="1072" w:type="dxa"/>
            <w:tcBorders>
              <w:top w:val="nil"/>
              <w:left w:val="single" w:sz="6" w:space="0" w:color="auto"/>
              <w:bottom w:val="single" w:sz="6" w:space="0" w:color="auto"/>
              <w:right w:val="single" w:sz="6" w:space="0" w:color="auto"/>
            </w:tcBorders>
          </w:tcPr>
          <w:p w14:paraId="78A6E0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Kaczynski AT et al.</w:t>
            </w:r>
          </w:p>
          <w:p w14:paraId="3501E9E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896" w:type="dxa"/>
            <w:tcBorders>
              <w:top w:val="nil"/>
              <w:left w:val="single" w:sz="6" w:space="0" w:color="auto"/>
              <w:bottom w:val="single" w:sz="6" w:space="0" w:color="auto"/>
              <w:right w:val="single" w:sz="6" w:space="0" w:color="auto"/>
            </w:tcBorders>
          </w:tcPr>
          <w:p w14:paraId="2576101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3D531FE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38FC0F4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893</w:t>
            </w:r>
          </w:p>
        </w:tc>
        <w:tc>
          <w:tcPr>
            <w:tcW w:w="1028" w:type="dxa"/>
            <w:tcBorders>
              <w:top w:val="nil"/>
              <w:left w:val="single" w:sz="6" w:space="0" w:color="auto"/>
              <w:bottom w:val="single" w:sz="6" w:space="0" w:color="auto"/>
              <w:right w:val="single" w:sz="6" w:space="0" w:color="auto"/>
            </w:tcBorders>
          </w:tcPr>
          <w:p w14:paraId="38E2E44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735BFD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18–98 years</w:t>
            </w:r>
          </w:p>
        </w:tc>
        <w:tc>
          <w:tcPr>
            <w:tcW w:w="1446" w:type="dxa"/>
            <w:tcBorders>
              <w:top w:val="nil"/>
              <w:left w:val="single" w:sz="6" w:space="0" w:color="auto"/>
              <w:bottom w:val="single" w:sz="6" w:space="0" w:color="auto"/>
              <w:right w:val="single" w:sz="6" w:space="0" w:color="auto"/>
            </w:tcBorders>
          </w:tcPr>
          <w:p w14:paraId="2B26D61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closest park;</w:t>
            </w:r>
          </w:p>
          <w:p w14:paraId="0BF0CD5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parks within 1 mile;</w:t>
            </w:r>
          </w:p>
          <w:p w14:paraId="3001211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park acreage within 1 mile.</w:t>
            </w:r>
          </w:p>
        </w:tc>
        <w:tc>
          <w:tcPr>
            <w:tcW w:w="1080" w:type="dxa"/>
            <w:tcBorders>
              <w:top w:val="nil"/>
              <w:left w:val="single" w:sz="6" w:space="0" w:color="auto"/>
              <w:bottom w:val="single" w:sz="6" w:space="0" w:color="auto"/>
              <w:right w:val="single" w:sz="6" w:space="0" w:color="auto"/>
            </w:tcBorders>
          </w:tcPr>
          <w:p w14:paraId="365E936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park</w:t>
            </w:r>
          </w:p>
        </w:tc>
        <w:tc>
          <w:tcPr>
            <w:tcW w:w="1080" w:type="dxa"/>
            <w:tcBorders>
              <w:top w:val="nil"/>
              <w:left w:val="single" w:sz="6" w:space="0" w:color="auto"/>
              <w:bottom w:val="single" w:sz="6" w:space="0" w:color="auto"/>
              <w:right w:val="single" w:sz="6" w:space="0" w:color="auto"/>
            </w:tcBorders>
          </w:tcPr>
          <w:p w14:paraId="654A4E9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of KCMO parks directory + on-site audits (n=146).</w:t>
            </w:r>
          </w:p>
        </w:tc>
        <w:tc>
          <w:tcPr>
            <w:tcW w:w="1530" w:type="dxa"/>
            <w:tcBorders>
              <w:top w:val="nil"/>
              <w:left w:val="single" w:sz="6" w:space="0" w:color="auto"/>
              <w:bottom w:val="single" w:sz="6" w:space="0" w:color="auto"/>
              <w:right w:val="single" w:sz="6" w:space="0" w:color="auto"/>
            </w:tcBorders>
          </w:tcPr>
          <w:p w14:paraId="6EB5746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Street-network distance</w:t>
            </w:r>
          </w:p>
          <w:p w14:paraId="423EADA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network buffer</w:t>
            </w:r>
          </w:p>
          <w:p w14:paraId="7999397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nearest park via park centroid.</w:t>
            </w:r>
          </w:p>
        </w:tc>
        <w:tc>
          <w:tcPr>
            <w:tcW w:w="1054" w:type="dxa"/>
            <w:tcBorders>
              <w:top w:val="nil"/>
              <w:left w:val="single" w:sz="6" w:space="0" w:color="auto"/>
              <w:bottom w:val="single" w:sz="6" w:space="0" w:color="auto"/>
              <w:right w:val="single" w:sz="6" w:space="0" w:color="auto"/>
            </w:tcBorders>
          </w:tcPr>
          <w:p w14:paraId="063F250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Closest park &lt;0.5, 0.5–1, &gt;1 mile</w:t>
            </w:r>
          </w:p>
          <w:p w14:paraId="3F7BAB5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buffer for counts/acreage.</w:t>
            </w:r>
          </w:p>
        </w:tc>
        <w:tc>
          <w:tcPr>
            <w:tcW w:w="1102" w:type="dxa"/>
            <w:tcBorders>
              <w:top w:val="nil"/>
              <w:left w:val="single" w:sz="6" w:space="0" w:color="auto"/>
              <w:bottom w:val="single" w:sz="6" w:space="0" w:color="auto"/>
              <w:right w:val="single" w:sz="6" w:space="0" w:color="auto"/>
            </w:tcBorders>
          </w:tcPr>
          <w:p w14:paraId="0669453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p w14:paraId="0F90CD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multilevel with census tract as level-2.</w:t>
            </w:r>
          </w:p>
        </w:tc>
        <w:tc>
          <w:tcPr>
            <w:tcW w:w="1354" w:type="dxa"/>
            <w:tcBorders>
              <w:top w:val="nil"/>
              <w:left w:val="single" w:sz="6" w:space="0" w:color="auto"/>
              <w:bottom w:val="single" w:sz="6" w:space="0" w:color="auto"/>
              <w:right w:val="single" w:sz="6" w:space="0" w:color="auto"/>
            </w:tcBorders>
          </w:tcPr>
          <w:p w14:paraId="41362E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Any park-based PA in a usual week.</w:t>
            </w:r>
          </w:p>
        </w:tc>
        <w:tc>
          <w:tcPr>
            <w:tcW w:w="1350" w:type="dxa"/>
            <w:tcBorders>
              <w:top w:val="nil"/>
              <w:left w:val="single" w:sz="6" w:space="0" w:color="auto"/>
              <w:bottom w:val="single" w:sz="6" w:space="0" w:color="auto"/>
              <w:right w:val="single" w:sz="6" w:space="0" w:color="auto"/>
            </w:tcBorders>
          </w:tcPr>
          <w:p w14:paraId="56B47C7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p w14:paraId="6518C1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(PA-PS questionnaire).</w:t>
            </w:r>
          </w:p>
        </w:tc>
        <w:tc>
          <w:tcPr>
            <w:tcW w:w="1080" w:type="dxa"/>
            <w:tcBorders>
              <w:top w:val="nil"/>
              <w:left w:val="single" w:sz="6" w:space="0" w:color="auto"/>
              <w:bottom w:val="single" w:sz="6" w:space="0" w:color="auto"/>
              <w:right w:val="single" w:sz="6" w:space="0" w:color="auto"/>
            </w:tcBorders>
          </w:tcPr>
          <w:p w14:paraId="01C5CE3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tc>
        <w:tc>
          <w:tcPr>
            <w:tcW w:w="1350" w:type="dxa"/>
            <w:tcBorders>
              <w:top w:val="nil"/>
              <w:left w:val="single" w:sz="6" w:space="0" w:color="auto"/>
              <w:bottom w:val="single" w:sz="6" w:space="0" w:color="auto"/>
              <w:right w:val="single" w:sz="6" w:space="0" w:color="auto"/>
            </w:tcBorders>
          </w:tcPr>
          <w:p w14:paraId="1C83AF0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02DD694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31B62F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4CB15A3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4ADF5D8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tc>
        <w:tc>
          <w:tcPr>
            <w:tcW w:w="990" w:type="dxa"/>
            <w:tcBorders>
              <w:top w:val="nil"/>
              <w:left w:val="single" w:sz="6" w:space="0" w:color="auto"/>
              <w:bottom w:val="single" w:sz="6" w:space="0" w:color="auto"/>
              <w:right w:val="single" w:sz="6" w:space="0" w:color="auto"/>
            </w:tcBorders>
          </w:tcPr>
          <w:p w14:paraId="7612C2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260" w:type="dxa"/>
            <w:tcBorders>
              <w:top w:val="nil"/>
              <w:left w:val="single" w:sz="6" w:space="0" w:color="auto"/>
              <w:bottom w:val="single" w:sz="6" w:space="0" w:color="auto"/>
              <w:right w:val="single" w:sz="6" w:space="0" w:color="auto"/>
            </w:tcBorders>
          </w:tcPr>
          <w:p w14:paraId="48AB62A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0.50 (0.25–0.99)</w:t>
            </w:r>
          </w:p>
        </w:tc>
        <w:tc>
          <w:tcPr>
            <w:tcW w:w="900" w:type="dxa"/>
            <w:tcBorders>
              <w:top w:val="nil"/>
              <w:left w:val="single" w:sz="6" w:space="0" w:color="auto"/>
              <w:bottom w:val="single" w:sz="6" w:space="0" w:color="auto"/>
              <w:right w:val="single" w:sz="6" w:space="0" w:color="auto"/>
            </w:tcBorders>
          </w:tcPr>
          <w:p w14:paraId="71F4C3A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1.21–5.31.</w:t>
            </w:r>
          </w:p>
        </w:tc>
        <w:tc>
          <w:tcPr>
            <w:tcW w:w="810" w:type="dxa"/>
            <w:tcBorders>
              <w:top w:val="nil"/>
              <w:left w:val="single" w:sz="6" w:space="0" w:color="auto"/>
              <w:bottom w:val="single" w:sz="6" w:space="0" w:color="auto"/>
              <w:right w:val="single" w:sz="6" w:space="0" w:color="auto"/>
            </w:tcBorders>
          </w:tcPr>
          <w:p w14:paraId="560220A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530" w:type="dxa"/>
            <w:tcBorders>
              <w:top w:val="nil"/>
              <w:left w:val="single" w:sz="6" w:space="0" w:color="auto"/>
              <w:bottom w:val="single" w:sz="6" w:space="0" w:color="auto"/>
              <w:right w:val="single" w:sz="6" w:space="0" w:color="auto"/>
            </w:tcBorders>
          </w:tcPr>
          <w:p w14:paraId="2AAC6C6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37619D" w:rsidRPr="000F3EBD" w14:paraId="16490023" w14:textId="77777777" w:rsidTr="00693EBB">
        <w:trPr>
          <w:trHeight w:val="2685"/>
        </w:trPr>
        <w:tc>
          <w:tcPr>
            <w:tcW w:w="1072" w:type="dxa"/>
            <w:tcBorders>
              <w:top w:val="nil"/>
              <w:left w:val="single" w:sz="6" w:space="0" w:color="auto"/>
              <w:bottom w:val="single" w:sz="6" w:space="0" w:color="auto"/>
              <w:right w:val="single" w:sz="6" w:space="0" w:color="auto"/>
            </w:tcBorders>
          </w:tcPr>
          <w:p w14:paraId="69388C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 xml:space="preserve">Jilcott et al.,</w:t>
            </w:r>
          </w:p>
          <w:p w14:paraId="397C8C7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2007</w:t>
            </w:r>
          </w:p>
        </w:tc>
        <w:tc>
          <w:tcPr>
            <w:tcW w:w="896" w:type="dxa"/>
            <w:tcBorders>
              <w:top w:val="nil"/>
              <w:left w:val="single" w:sz="6" w:space="0" w:color="auto"/>
              <w:bottom w:val="single" w:sz="6" w:space="0" w:color="auto"/>
              <w:right w:val="single" w:sz="6" w:space="0" w:color="auto"/>
            </w:tcBorders>
          </w:tcPr>
          <w:p w14:paraId="7A24E46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745C22D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0DB11B5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184</w:t>
            </w:r>
          </w:p>
        </w:tc>
        <w:tc>
          <w:tcPr>
            <w:tcW w:w="1028" w:type="dxa"/>
            <w:tcBorders>
              <w:top w:val="nil"/>
              <w:left w:val="single" w:sz="6" w:space="0" w:color="auto"/>
              <w:bottom w:val="single" w:sz="6" w:space="0" w:color="auto"/>
              <w:right w:val="single" w:sz="6" w:space="0" w:color="auto"/>
            </w:tcBorders>
          </w:tcPr>
          <w:p w14:paraId="5E71FFD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Under/uninsured midlife women</w:t>
            </w:r>
          </w:p>
          <w:p w14:paraId="566FC5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40-46 years</w:t>
            </w:r>
          </w:p>
        </w:tc>
        <w:tc>
          <w:tcPr>
            <w:tcW w:w="1446" w:type="dxa"/>
            <w:tcBorders>
              <w:top w:val="nil"/>
              <w:left w:val="single" w:sz="6" w:space="0" w:color="auto"/>
              <w:bottom w:val="single" w:sz="6" w:space="0" w:color="auto"/>
              <w:right w:val="single" w:sz="6" w:space="0" w:color="auto"/>
            </w:tcBorders>
          </w:tcPr>
          <w:p w14:paraId="18F4B70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 GIS network distance (miles) to nearest park/gym/school</w:t>
            </w:r>
          </w:p>
          <w:p w14:paraId="7F1EE46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count of each resource within 1- &amp; 2-mile buffers;</w:t>
            </w:r>
          </w:p>
          <w:p w14:paraId="5F2E3C1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 perceived distance (miles) &amp; perceived existence within a 10-min drive</w:t>
            </w:r>
          </w:p>
        </w:tc>
        <w:tc>
          <w:tcPr>
            <w:tcW w:w="1080" w:type="dxa"/>
            <w:tcBorders>
              <w:top w:val="nil"/>
              <w:left w:val="single" w:sz="6" w:space="0" w:color="auto"/>
              <w:bottom w:val="single" w:sz="6" w:space="0" w:color="auto"/>
              <w:right w:val="single" w:sz="6" w:space="0" w:color="auto"/>
            </w:tcBorders>
          </w:tcPr>
          <w:p w14:paraId="0BC3CFA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Parks/trails</w:t>
            </w:r>
          </w:p>
        </w:tc>
        <w:tc>
          <w:tcPr>
            <w:tcW w:w="1080" w:type="dxa"/>
            <w:tcBorders>
              <w:top w:val="nil"/>
              <w:left w:val="single" w:sz="6" w:space="0" w:color="auto"/>
              <w:bottom w:val="single" w:sz="6" w:space="0" w:color="auto"/>
              <w:right w:val="single" w:sz="6" w:space="0" w:color="auto"/>
            </w:tcBorders>
          </w:tcPr>
          <w:p w14:paraId="7202850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County/city parks &amp; recreation lists;</w:t>
            </w:r>
          </w:p>
          <w:p w14:paraId="65B60F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internet verification</w:t>
            </w:r>
          </w:p>
          <w:p w14:paraId="148F806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geocoded points</w:t>
            </w:r>
          </w:p>
        </w:tc>
        <w:tc>
          <w:tcPr>
            <w:tcW w:w="1530" w:type="dxa"/>
            <w:tcBorders>
              <w:top w:val="nil"/>
              <w:left w:val="single" w:sz="6" w:space="0" w:color="auto"/>
              <w:bottom w:val="single" w:sz="6" w:space="0" w:color="auto"/>
              <w:right w:val="single" w:sz="6" w:space="0" w:color="auto"/>
            </w:tcBorders>
          </w:tcPr>
          <w:p w14:paraId="603CB03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GIS road-network distance; Euclidean 1–2 mile buffers; surveys for perceptions</w:t>
            </w:r>
          </w:p>
        </w:tc>
        <w:tc>
          <w:tcPr>
            <w:tcW w:w="1054" w:type="dxa"/>
            <w:tcBorders>
              <w:top w:val="nil"/>
              <w:left w:val="single" w:sz="6" w:space="0" w:color="auto"/>
              <w:bottom w:val="single" w:sz="6" w:space="0" w:color="auto"/>
              <w:right w:val="single" w:sz="6" w:space="0" w:color="auto"/>
            </w:tcBorders>
          </w:tcPr>
          <w:p w14:paraId="13407FC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buffer for main models (2-mile used for agreement only);</w:t>
            </w:r>
          </w:p>
          <w:p w14:paraId="2C71BFD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 10-min drive (perceived)</w:t>
            </w:r>
          </w:p>
        </w:tc>
        <w:tc>
          <w:tcPr>
            <w:tcW w:w="1102" w:type="dxa"/>
            <w:tcBorders>
              <w:top w:val="nil"/>
              <w:left w:val="single" w:sz="6" w:space="0" w:color="auto"/>
              <w:bottom w:val="single" w:sz="6" w:space="0" w:color="auto"/>
              <w:right w:val="single" w:sz="6" w:space="0" w:color="auto"/>
            </w:tcBorders>
          </w:tcPr>
          <w:p w14:paraId="22D8915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address;</w:t>
            </w:r>
          </w:p>
          <w:p w14:paraId="694B827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buffers around residence</w:t>
            </w:r>
          </w:p>
        </w:tc>
        <w:tc>
          <w:tcPr>
            <w:tcW w:w="1354" w:type="dxa"/>
            <w:tcBorders>
              <w:top w:val="nil"/>
              <w:left w:val="single" w:sz="6" w:space="0" w:color="auto"/>
              <w:bottom w:val="single" w:sz="6" w:space="0" w:color="auto"/>
              <w:right w:val="single" w:sz="6" w:space="0" w:color="auto"/>
            </w:tcBorders>
          </w:tcPr>
          <w:p w14:paraId="10D969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Minutes/day of MVPA</w:t>
            </w:r>
          </w:p>
        </w:tc>
        <w:tc>
          <w:tcPr>
            <w:tcW w:w="1350" w:type="dxa"/>
            <w:tcBorders>
              <w:top w:val="nil"/>
              <w:left w:val="single" w:sz="6" w:space="0" w:color="auto"/>
              <w:bottom w:val="single" w:sz="6" w:space="0" w:color="auto"/>
              <w:right w:val="single" w:sz="6" w:space="0" w:color="auto"/>
            </w:tcBorders>
          </w:tcPr>
          <w:p w14:paraId="7F9FCC5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(ActiGraph</w:t>
            </w:r>
          </w:p>
        </w:tc>
        <w:tc>
          <w:tcPr>
            <w:tcW w:w="1080" w:type="dxa"/>
            <w:tcBorders>
              <w:top w:val="nil"/>
              <w:left w:val="single" w:sz="6" w:space="0" w:color="auto"/>
              <w:bottom w:val="single" w:sz="6" w:space="0" w:color="auto"/>
              <w:right w:val="single" w:sz="6" w:space="0" w:color="auto"/>
            </w:tcBorders>
          </w:tcPr>
          <w:p w14:paraId="306E534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350" w:type="dxa"/>
            <w:tcBorders>
              <w:top w:val="nil"/>
              <w:left w:val="single" w:sz="6" w:space="0" w:color="auto"/>
              <w:bottom w:val="single" w:sz="6" w:space="0" w:color="auto"/>
              <w:right w:val="single" w:sz="6" w:space="0" w:color="auto"/>
            </w:tcBorders>
          </w:tcPr>
          <w:p w14:paraId="137CF35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B909E82"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BMI intervention group, race</w:t>
            </w:r>
          </w:p>
          <w:p w14:paraId="361DC0C3"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2E78C305"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69DE69E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w:t>
            </w:r>
          </w:p>
        </w:tc>
        <w:tc>
          <w:tcPr>
            <w:tcW w:w="990" w:type="dxa"/>
            <w:tcBorders>
              <w:top w:val="nil"/>
              <w:left w:val="single" w:sz="6" w:space="0" w:color="auto"/>
              <w:bottom w:val="single" w:sz="6" w:space="0" w:color="auto"/>
              <w:right w:val="single" w:sz="6" w:space="0" w:color="auto"/>
            </w:tcBorders>
          </w:tcPr>
          <w:p w14:paraId="1491FA5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β</w:t>
            </w:r>
          </w:p>
        </w:tc>
        <w:tc>
          <w:tcPr>
            <w:tcW w:w="4500" w:type="dxa"/>
            <w:gridSpan w:val="4"/>
            <w:tcBorders>
              <w:top w:val="nil"/>
              <w:left w:val="single" w:sz="6" w:space="0" w:color="auto"/>
              <w:bottom w:val="single" w:sz="6" w:space="0" w:color="auto"/>
              <w:right w:val="single" w:sz="6" w:space="0" w:color="auto"/>
            </w:tcBorders>
          </w:tcPr>
          <w:p w14:paraId="3F3DCE9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Objective proximity (distance to nearest park, GIS): standardized β = –0.05; p = 0.56 → null. </w:t>
            </w:r>
          </w:p>
          <w:p w14:paraId="412C7CA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2B628A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proximity (distance to nearest park): standardized β = 0.02; p = 0.81 → null. </w:t>
            </w:r>
          </w:p>
          <w:p w14:paraId="01421A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010FA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Objective availability (no. of parks in 1-mile buffer): standardized β = –0.06; p = 0.41 → null. </w:t>
            </w:r>
          </w:p>
          <w:p w14:paraId="067078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3BC9F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availability (park exists in neighborhood): standardized β = 0.08; p = 0.34 → null.</w:t>
            </w:r>
          </w:p>
        </w:tc>
      </w:tr>
      <w:tr w:rsidR="0037619D" w:rsidRPr="000F3EBD" w14:paraId="6C961CFC" w14:textId="77777777" w:rsidTr="00693EBB">
        <w:trPr>
          <w:trHeight w:val="2325"/>
        </w:trPr>
        <w:tc>
          <w:tcPr>
            <w:tcW w:w="1072" w:type="dxa"/>
            <w:tcBorders>
              <w:top w:val="nil"/>
              <w:left w:val="single" w:sz="6" w:space="0" w:color="auto"/>
              <w:bottom w:val="single" w:sz="6" w:space="0" w:color="auto"/>
              <w:right w:val="single" w:sz="6" w:space="0" w:color="auto"/>
            </w:tcBorders>
          </w:tcPr>
          <w:p w14:paraId="0996F67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Sun Y. et al.</w:t>
            </w:r>
          </w:p>
          <w:p w14:paraId="7F79EC1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896" w:type="dxa"/>
            <w:tcBorders>
              <w:top w:val="nil"/>
              <w:left w:val="single" w:sz="6" w:space="0" w:color="auto"/>
              <w:bottom w:val="single" w:sz="6" w:space="0" w:color="auto"/>
              <w:right w:val="single" w:sz="6" w:space="0" w:color="auto"/>
            </w:tcBorders>
          </w:tcPr>
          <w:p w14:paraId="0363761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19B71A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Retrospective cohort</w:t>
            </w:r>
          </w:p>
        </w:tc>
        <w:tc>
          <w:tcPr>
            <w:tcW w:w="771" w:type="dxa"/>
            <w:tcBorders>
              <w:top w:val="nil"/>
              <w:left w:val="single" w:sz="6" w:space="0" w:color="auto"/>
              <w:bottom w:val="single" w:sz="6" w:space="0" w:color="auto"/>
              <w:right w:val="single" w:sz="6" w:space="0" w:color="auto"/>
            </w:tcBorders>
          </w:tcPr>
          <w:p w14:paraId="2077737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415,020</w:t>
            </w:r>
          </w:p>
        </w:tc>
        <w:tc>
          <w:tcPr>
            <w:tcW w:w="1028" w:type="dxa"/>
            <w:tcBorders>
              <w:top w:val="nil"/>
              <w:left w:val="single" w:sz="6" w:space="0" w:color="auto"/>
              <w:bottom w:val="single" w:sz="6" w:space="0" w:color="auto"/>
              <w:right w:val="single" w:sz="6" w:space="0" w:color="auto"/>
            </w:tcBorders>
          </w:tcPr>
          <w:p w14:paraId="2195E1D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singleton pregnancies (KPSC members)</w:t>
            </w:r>
          </w:p>
          <w:p w14:paraId="0E04E83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30.2 ± 5.8</w:t>
            </w:r>
          </w:p>
        </w:tc>
        <w:tc>
          <w:tcPr>
            <w:tcW w:w="1446" w:type="dxa"/>
            <w:tcBorders>
              <w:top w:val="nil"/>
              <w:left w:val="single" w:sz="6" w:space="0" w:color="auto"/>
              <w:bottom w:val="single" w:sz="6" w:space="0" w:color="auto"/>
              <w:right w:val="single" w:sz="6" w:space="0" w:color="auto"/>
            </w:tcBorders>
          </w:tcPr>
          <w:p w14:paraId="6D4E59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distance (km) to nearest park</w:t>
            </w:r>
          </w:p>
        </w:tc>
        <w:tc>
          <w:tcPr>
            <w:tcW w:w="1080" w:type="dxa"/>
            <w:tcBorders>
              <w:top w:val="nil"/>
              <w:left w:val="single" w:sz="6" w:space="0" w:color="auto"/>
              <w:bottom w:val="single" w:sz="6" w:space="0" w:color="auto"/>
              <w:right w:val="single" w:sz="6" w:space="0" w:color="auto"/>
            </w:tcBorders>
          </w:tcPr>
          <w:p w14:paraId="71D71D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tree; low-lying vegetation; grass)</w:t>
            </w:r>
          </w:p>
        </w:tc>
        <w:tc>
          <w:tcPr>
            <w:tcW w:w="1080" w:type="dxa"/>
            <w:tcBorders>
              <w:top w:val="nil"/>
              <w:left w:val="single" w:sz="6" w:space="0" w:color="auto"/>
              <w:bottom w:val="single" w:sz="6" w:space="0" w:color="auto"/>
              <w:right w:val="single" w:sz="6" w:space="0" w:color="auto"/>
            </w:tcBorders>
          </w:tcPr>
          <w:p w14:paraId="6494B62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Bing Maps Street View</w:t>
            </w:r>
          </w:p>
          <w:p w14:paraId="381D0EF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MODIS Terra (MOD13Q1)</w:t>
            </w:r>
          </w:p>
          <w:p w14:paraId="4DD341C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NLCD</w:t>
            </w:r>
          </w:p>
          <w:p w14:paraId="3C8ECC9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CPAD (parks)</w:t>
            </w:r>
          </w:p>
        </w:tc>
        <w:tc>
          <w:tcPr>
            <w:tcW w:w="1530" w:type="dxa"/>
            <w:tcBorders>
              <w:top w:val="nil"/>
              <w:left w:val="single" w:sz="6" w:space="0" w:color="auto"/>
              <w:bottom w:val="single" w:sz="6" w:space="0" w:color="auto"/>
              <w:right w:val="single" w:sz="6" w:space="0" w:color="auto"/>
            </w:tcBorders>
          </w:tcPr>
          <w:p w14:paraId="4D4C05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Residential circular buffers (200/500/1000 m) + straight-line park distance</w:t>
            </w:r>
          </w:p>
        </w:tc>
        <w:tc>
          <w:tcPr>
            <w:tcW w:w="1054" w:type="dxa"/>
            <w:tcBorders>
              <w:top w:val="nil"/>
              <w:left w:val="single" w:sz="6" w:space="0" w:color="auto"/>
              <w:bottom w:val="single" w:sz="6" w:space="0" w:color="auto"/>
              <w:right w:val="single" w:sz="6" w:space="0" w:color="auto"/>
            </w:tcBorders>
          </w:tcPr>
          <w:p w14:paraId="788D9C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Within 500 m to park (binary); continuous exposures per IQR</w:t>
            </w:r>
          </w:p>
        </w:tc>
        <w:tc>
          <w:tcPr>
            <w:tcW w:w="1102" w:type="dxa"/>
            <w:tcBorders>
              <w:top w:val="nil"/>
              <w:left w:val="single" w:sz="6" w:space="0" w:color="auto"/>
              <w:bottom w:val="single" w:sz="6" w:space="0" w:color="auto"/>
              <w:right w:val="single" w:sz="6" w:space="0" w:color="auto"/>
            </w:tcBorders>
          </w:tcPr>
          <w:p w14:paraId="6BB188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residence</w:t>
            </w:r>
          </w:p>
          <w:p w14:paraId="14C57A5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(ZIP code random effect)</w:t>
            </w:r>
          </w:p>
        </w:tc>
        <w:tc>
          <w:tcPr>
            <w:tcW w:w="1354" w:type="dxa"/>
            <w:tcBorders>
              <w:top w:val="nil"/>
              <w:left w:val="single" w:sz="6" w:space="0" w:color="auto"/>
              <w:bottom w:val="single" w:sz="6" w:space="0" w:color="auto"/>
              <w:right w:val="single" w:sz="6" w:space="0" w:color="auto"/>
            </w:tcBorders>
          </w:tcPr>
          <w:p w14:paraId="76F302C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Minutes/week during pregnancy</w:t>
            </w:r>
          </w:p>
        </w:tc>
        <w:tc>
          <w:tcPr>
            <w:tcW w:w="1350" w:type="dxa"/>
            <w:tcBorders>
              <w:top w:val="nil"/>
              <w:left w:val="single" w:sz="6" w:space="0" w:color="auto"/>
              <w:bottom w:val="single" w:sz="6" w:space="0" w:color="auto"/>
              <w:right w:val="single" w:sz="6" w:space="0" w:color="auto"/>
            </w:tcBorders>
          </w:tcPr>
          <w:p w14:paraId="63BEFF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in EHR at prenatal visits</w:t>
            </w:r>
          </w:p>
        </w:tc>
        <w:tc>
          <w:tcPr>
            <w:tcW w:w="1080" w:type="dxa"/>
            <w:tcBorders>
              <w:top w:val="nil"/>
              <w:left w:val="single" w:sz="6" w:space="0" w:color="auto"/>
              <w:bottom w:val="single" w:sz="6" w:space="0" w:color="auto"/>
              <w:right w:val="single" w:sz="6" w:space="0" w:color="auto"/>
            </w:tcBorders>
          </w:tcPr>
          <w:p w14:paraId="315D0F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p w14:paraId="5A264D7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 (PA vs green space)</w:t>
            </w:r>
          </w:p>
        </w:tc>
        <w:tc>
          <w:tcPr>
            <w:tcW w:w="1350" w:type="dxa"/>
            <w:tcBorders>
              <w:top w:val="nil"/>
              <w:left w:val="single" w:sz="6" w:space="0" w:color="auto"/>
              <w:bottom w:val="single" w:sz="6" w:space="0" w:color="auto"/>
              <w:right w:val="single" w:sz="6" w:space="0" w:color="auto"/>
            </w:tcBorders>
          </w:tcPr>
          <w:p w14:paraId="0A77ED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Maternal age</w:t>
            </w:r>
          </w:p>
          <w:p w14:paraId="35D01B3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0BB026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7FC9A38D"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block-group income (main)</w:t>
            </w:r>
          </w:p>
          <w:p w14:paraId="759442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w:t>
            </w:r>
          </w:p>
          <w:p w14:paraId="53B885E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season</w:t>
            </w:r>
          </w:p>
          <w:p w14:paraId="68F50FF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year</w:t>
            </w:r>
          </w:p>
          <w:p w14:paraId="1C730B1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insurance</w:t>
            </w:r>
          </w:p>
          <w:p w14:paraId="047C60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preterm birth</w:t>
            </w:r>
          </w:p>
          <w:p w14:paraId="329B235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tc>
        <w:tc>
          <w:tcPr>
            <w:tcW w:w="990" w:type="dxa"/>
            <w:tcBorders>
              <w:top w:val="nil"/>
              <w:left w:val="single" w:sz="6" w:space="0" w:color="auto"/>
              <w:bottom w:val="single" w:sz="6" w:space="0" w:color="auto"/>
              <w:right w:val="single" w:sz="6" w:space="0" w:color="auto"/>
            </w:tcBorders>
          </w:tcPr>
          <w:p w14:paraId="04A8A72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per IQR (PPD)</w:t>
            </w:r>
          </w:p>
          <w:p w14:paraId="5520C95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change in PA per 10% increase in green space</w:t>
            </w:r>
          </w:p>
        </w:tc>
        <w:tc>
          <w:tcPr>
            <w:tcW w:w="2970" w:type="dxa"/>
            <w:gridSpan w:val="3"/>
            <w:tcBorders>
              <w:top w:val="nil"/>
              <w:left w:val="single" w:sz="6" w:space="0" w:color="auto"/>
              <w:bottom w:val="single" w:sz="6" w:space="0" w:color="auto"/>
              <w:right w:val="single" w:sz="6" w:space="0" w:color="auto"/>
            </w:tcBorders>
          </w:tcPr>
          <w:p w14:paraId="65D8464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Proximity to park (distance / within 500 m): null (ns; exact OR NR)</w:t>
            </w:r>
          </w:p>
        </w:tc>
        <w:tc>
          <w:tcPr>
            <w:tcW w:w="1530" w:type="dxa"/>
            <w:tcBorders>
              <w:top w:val="nil"/>
              <w:left w:val="single" w:sz="6" w:space="0" w:color="auto"/>
              <w:bottom w:val="single" w:sz="6" w:space="0" w:color="auto"/>
              <w:right w:val="single" w:sz="6" w:space="0" w:color="auto"/>
            </w:tcBorders>
          </w:tcPr>
          <w:p w14:paraId="350DC6F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for park proximity</w:t>
            </w:r>
          </w:p>
        </w:tc>
      </w:tr>
      <w:tr w:rsidR="0037619D" w:rsidRPr="000F3EBD" w14:paraId="2544D891" w14:textId="77777777" w:rsidTr="00693EBB">
        <w:trPr>
          <w:trHeight w:val="1344"/>
        </w:trPr>
        <w:tc>
          <w:tcPr>
            <w:tcW w:w="1072" w:type="dxa"/>
            <w:tcBorders>
              <w:top w:val="nil"/>
              <w:left w:val="single" w:sz="6" w:space="0" w:color="auto"/>
              <w:bottom w:val="single" w:sz="6" w:space="0" w:color="auto"/>
              <w:right w:val="single" w:sz="6" w:space="0" w:color="auto"/>
            </w:tcBorders>
          </w:tcPr>
          <w:p w14:paraId="55E2DF0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Kaczynski et al.,</w:t>
            </w:r>
          </w:p>
          <w:p w14:paraId="7B93674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2008</w:t>
            </w:r>
          </w:p>
        </w:tc>
        <w:tc>
          <w:tcPr>
            <w:tcW w:w="896" w:type="dxa"/>
            <w:tcBorders>
              <w:top w:val="nil"/>
              <w:left w:val="single" w:sz="6" w:space="0" w:color="auto"/>
              <w:bottom w:val="single" w:sz="6" w:space="0" w:color="auto"/>
              <w:right w:val="single" w:sz="6" w:space="0" w:color="auto"/>
            </w:tcBorders>
          </w:tcPr>
          <w:p w14:paraId="60ED4D0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899" w:type="dxa"/>
            <w:tcBorders>
              <w:top w:val="nil"/>
              <w:left w:val="single" w:sz="6" w:space="0" w:color="auto"/>
              <w:bottom w:val="single" w:sz="6" w:space="0" w:color="auto"/>
              <w:right w:val="single" w:sz="6" w:space="0" w:color="auto"/>
            </w:tcBorders>
          </w:tcPr>
          <w:p w14:paraId="0AB00D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1EFA6EE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380 adults;</w:t>
            </w:r>
          </w:p>
          <w:p w14:paraId="087D756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33 parks</w:t>
            </w:r>
          </w:p>
        </w:tc>
        <w:tc>
          <w:tcPr>
            <w:tcW w:w="1028" w:type="dxa"/>
            <w:tcBorders>
              <w:top w:val="nil"/>
              <w:left w:val="single" w:sz="6" w:space="0" w:color="auto"/>
              <w:bottom w:val="single" w:sz="6" w:space="0" w:color="auto"/>
              <w:right w:val="single" w:sz="6" w:space="0" w:color="auto"/>
            </w:tcBorders>
          </w:tcPr>
          <w:p w14:paraId="500DAFF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 neighborhood residents</w:t>
            </w:r>
          </w:p>
          <w:p w14:paraId="3824250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18–88</w:t>
            </w:r>
          </w:p>
        </w:tc>
        <w:tc>
          <w:tcPr>
            <w:tcW w:w="1446" w:type="dxa"/>
            <w:tcBorders>
              <w:top w:val="nil"/>
              <w:left w:val="single" w:sz="6" w:space="0" w:color="auto"/>
              <w:bottom w:val="single" w:sz="6" w:space="0" w:color="auto"/>
              <w:right w:val="single" w:sz="6" w:space="0" w:color="auto"/>
            </w:tcBorders>
          </w:tcPr>
          <w:p w14:paraId="5DADE51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distance from homes to park centroid</w:t>
            </w:r>
          </w:p>
        </w:tc>
        <w:tc>
          <w:tcPr>
            <w:tcW w:w="1080" w:type="dxa"/>
            <w:tcBorders>
              <w:top w:val="nil"/>
              <w:left w:val="single" w:sz="6" w:space="0" w:color="auto"/>
              <w:bottom w:val="single" w:sz="6" w:space="0" w:color="auto"/>
              <w:right w:val="single" w:sz="6" w:space="0" w:color="auto"/>
            </w:tcBorders>
          </w:tcPr>
          <w:p w14:paraId="7339C7B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public parks</w:t>
            </w:r>
          </w:p>
        </w:tc>
        <w:tc>
          <w:tcPr>
            <w:tcW w:w="1080" w:type="dxa"/>
            <w:tcBorders>
              <w:top w:val="nil"/>
              <w:left w:val="single" w:sz="6" w:space="0" w:color="auto"/>
              <w:bottom w:val="single" w:sz="6" w:space="0" w:color="auto"/>
              <w:right w:val="single" w:sz="6" w:space="0" w:color="auto"/>
            </w:tcBorders>
          </w:tcPr>
          <w:p w14:paraId="0AAFB21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GIS (parks)</w:t>
            </w:r>
          </w:p>
        </w:tc>
        <w:tc>
          <w:tcPr>
            <w:tcW w:w="1530" w:type="dxa"/>
            <w:tcBorders>
              <w:top w:val="nil"/>
              <w:left w:val="single" w:sz="6" w:space="0" w:color="auto"/>
              <w:bottom w:val="single" w:sz="6" w:space="0" w:color="auto"/>
              <w:right w:val="single" w:sz="6" w:space="0" w:color="auto"/>
            </w:tcBorders>
          </w:tcPr>
          <w:p w14:paraId="114EEFF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distance</w:t>
            </w:r>
          </w:p>
          <w:p w14:paraId="1C57F27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address geocoding to (x,y)</w:t>
            </w:r>
          </w:p>
        </w:tc>
        <w:tc>
          <w:tcPr>
            <w:tcW w:w="1054" w:type="dxa"/>
            <w:tcBorders>
              <w:top w:val="nil"/>
              <w:left w:val="single" w:sz="6" w:space="0" w:color="auto"/>
              <w:bottom w:val="single" w:sz="6" w:space="0" w:color="auto"/>
              <w:right w:val="single" w:sz="6" w:space="0" w:color="auto"/>
            </w:tcBorders>
          </w:tcPr>
          <w:p w14:paraId="74FE0AC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102" w:type="dxa"/>
            <w:tcBorders>
              <w:top w:val="nil"/>
              <w:left w:val="single" w:sz="6" w:space="0" w:color="auto"/>
              <w:bottom w:val="single" w:sz="6" w:space="0" w:color="auto"/>
              <w:right w:val="single" w:sz="6" w:space="0" w:color="auto"/>
            </w:tcBorders>
          </w:tcPr>
          <w:p w14:paraId="50F194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level</w:t>
            </w:r>
          </w:p>
        </w:tc>
        <w:tc>
          <w:tcPr>
            <w:tcW w:w="1354" w:type="dxa"/>
            <w:tcBorders>
              <w:top w:val="nil"/>
              <w:left w:val="single" w:sz="6" w:space="0" w:color="auto"/>
              <w:bottom w:val="single" w:sz="6" w:space="0" w:color="auto"/>
              <w:right w:val="single" w:sz="6" w:space="0" w:color="auto"/>
            </w:tcBorders>
          </w:tcPr>
          <w:p w14:paraId="5EE9EC0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Any park-based PA occurrence</w:t>
            </w:r>
          </w:p>
        </w:tc>
        <w:tc>
          <w:tcPr>
            <w:tcW w:w="1350" w:type="dxa"/>
            <w:tcBorders>
              <w:top w:val="nil"/>
              <w:left w:val="single" w:sz="6" w:space="0" w:color="auto"/>
              <w:bottom w:val="single" w:sz="6" w:space="0" w:color="auto"/>
              <w:right w:val="single" w:sz="6" w:space="0" w:color="auto"/>
            </w:tcBorders>
          </w:tcPr>
          <w:p w14:paraId="4F10DC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7-day self-reported PA logs with open-ended location coding</w:t>
            </w:r>
          </w:p>
        </w:tc>
        <w:tc>
          <w:tcPr>
            <w:tcW w:w="1080" w:type="dxa"/>
            <w:tcBorders>
              <w:top w:val="nil"/>
              <w:left w:val="single" w:sz="6" w:space="0" w:color="auto"/>
              <w:bottom w:val="single" w:sz="6" w:space="0" w:color="auto"/>
              <w:right w:val="single" w:sz="6" w:space="0" w:color="auto"/>
            </w:tcBorders>
          </w:tcPr>
          <w:p w14:paraId="54F196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logistic regression</w:t>
            </w:r>
          </w:p>
        </w:tc>
        <w:tc>
          <w:tcPr>
            <w:tcW w:w="1350" w:type="dxa"/>
            <w:tcBorders>
              <w:top w:val="nil"/>
              <w:left w:val="single" w:sz="6" w:space="0" w:color="auto"/>
              <w:bottom w:val="single" w:sz="6" w:space="0" w:color="auto"/>
              <w:right w:val="single" w:sz="6" w:space="0" w:color="auto"/>
            </w:tcBorders>
          </w:tcPr>
          <w:p w14:paraId="53289EA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neighborhood safety</w:t>
            </w:r>
          </w:p>
          <w:p w14:paraId="585B057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neighborhood aesthetics</w:t>
            </w:r>
          </w:p>
        </w:tc>
        <w:tc>
          <w:tcPr>
            <w:tcW w:w="990" w:type="dxa"/>
            <w:tcBorders>
              <w:top w:val="nil"/>
              <w:left w:val="single" w:sz="6" w:space="0" w:color="auto"/>
              <w:bottom w:val="single" w:sz="6" w:space="0" w:color="auto"/>
              <w:right w:val="single" w:sz="6" w:space="0" w:color="auto"/>
            </w:tcBorders>
          </w:tcPr>
          <w:p w14:paraId="36EDAB2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2160" w:type="dxa"/>
            <w:gridSpan w:val="2"/>
            <w:tcBorders>
              <w:top w:val="nil"/>
              <w:left w:val="single" w:sz="6" w:space="0" w:color="auto"/>
              <w:bottom w:val="single" w:sz="6" w:space="0" w:color="auto"/>
              <w:right w:val="single" w:sz="6" w:space="0" w:color="auto"/>
            </w:tcBorders>
          </w:tcPr>
          <w:p w14:paraId="56CBD9D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Average distance to park: OR 1.02 (0.83–1.29), ns</w:t>
            </w:r>
          </w:p>
        </w:tc>
        <w:tc>
          <w:tcPr>
            <w:tcW w:w="810" w:type="dxa"/>
            <w:tcBorders>
              <w:top w:val="nil"/>
              <w:left w:val="single" w:sz="6" w:space="0" w:color="auto"/>
              <w:bottom w:val="single" w:sz="6" w:space="0" w:color="auto"/>
              <w:right w:val="single" w:sz="6" w:space="0" w:color="auto"/>
            </w:tcBorders>
          </w:tcPr>
          <w:p w14:paraId="65713C2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530" w:type="dxa"/>
            <w:tcBorders>
              <w:top w:val="nil"/>
              <w:left w:val="single" w:sz="6" w:space="0" w:color="auto"/>
              <w:bottom w:val="single" w:sz="6" w:space="0" w:color="auto"/>
              <w:right w:val="single" w:sz="6" w:space="0" w:color="auto"/>
            </w:tcBorders>
          </w:tcPr>
          <w:p w14:paraId="441CF0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w:t>
            </w:r>
          </w:p>
        </w:tc>
      </w:tr>
      <w:tr w:rsidR="0037619D" w:rsidRPr="000F3EBD" w14:paraId="3B5A235D" w14:textId="77777777" w:rsidTr="00693EBB">
        <w:trPr>
          <w:trHeight w:val="1434"/>
        </w:trPr>
        <w:tc>
          <w:tcPr>
            <w:tcW w:w="1072" w:type="dxa"/>
            <w:tcBorders>
              <w:top w:val="nil"/>
              <w:left w:val="single" w:sz="6" w:space="0" w:color="auto"/>
              <w:bottom w:val="single" w:sz="6" w:space="0" w:color="auto"/>
              <w:right w:val="single" w:sz="6" w:space="0" w:color="auto"/>
            </w:tcBorders>
          </w:tcPr>
          <w:p w14:paraId="5D3504D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Kaczynski et al.,</w:t>
            </w:r>
          </w:p>
          <w:p w14:paraId="5608C2D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2009</w:t>
            </w:r>
          </w:p>
        </w:tc>
        <w:tc>
          <w:tcPr>
            <w:tcW w:w="896" w:type="dxa"/>
            <w:tcBorders>
              <w:top w:val="nil"/>
              <w:left w:val="single" w:sz="6" w:space="0" w:color="auto"/>
              <w:bottom w:val="single" w:sz="6" w:space="0" w:color="auto"/>
              <w:right w:val="single" w:sz="6" w:space="0" w:color="auto"/>
            </w:tcBorders>
          </w:tcPr>
          <w:p w14:paraId="2926A3A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899" w:type="dxa"/>
            <w:tcBorders>
              <w:top w:val="nil"/>
              <w:left w:val="single" w:sz="6" w:space="0" w:color="auto"/>
              <w:bottom w:val="single" w:sz="6" w:space="0" w:color="auto"/>
              <w:right w:val="single" w:sz="6" w:space="0" w:color="auto"/>
            </w:tcBorders>
          </w:tcPr>
          <w:p w14:paraId="4A61A57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1F16D2D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384</w:t>
            </w:r>
          </w:p>
        </w:tc>
        <w:tc>
          <w:tcPr>
            <w:tcW w:w="1028" w:type="dxa"/>
            <w:tcBorders>
              <w:top w:val="nil"/>
              <w:left w:val="single" w:sz="6" w:space="0" w:color="auto"/>
              <w:bottom w:val="single" w:sz="6" w:space="0" w:color="auto"/>
              <w:right w:val="single" w:sz="6" w:space="0" w:color="auto"/>
            </w:tcBorders>
          </w:tcPr>
          <w:p w14:paraId="49A2D2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 neighborhood residents</w:t>
            </w:r>
          </w:p>
          <w:p w14:paraId="067BF16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18–89</w:t>
            </w:r>
          </w:p>
        </w:tc>
        <w:tc>
          <w:tcPr>
            <w:tcW w:w="1446" w:type="dxa"/>
            <w:tcBorders>
              <w:top w:val="nil"/>
              <w:left w:val="single" w:sz="6" w:space="0" w:color="auto"/>
              <w:bottom w:val="single" w:sz="6" w:space="0" w:color="auto"/>
              <w:right w:val="single" w:sz="6" w:space="0" w:color="auto"/>
            </w:tcBorders>
          </w:tcPr>
          <w:p w14:paraId="5BE80A1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Number of parks within 1 km</w:t>
            </w:r>
          </w:p>
          <w:p w14:paraId="6FD7740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Total park area within 1 km</w:t>
            </w:r>
          </w:p>
          <w:p w14:paraId="378C58A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 Distance to closest park.</w:t>
            </w:r>
          </w:p>
        </w:tc>
        <w:tc>
          <w:tcPr>
            <w:tcW w:w="1080" w:type="dxa"/>
            <w:tcBorders>
              <w:top w:val="nil"/>
              <w:left w:val="single" w:sz="6" w:space="0" w:color="auto"/>
              <w:bottom w:val="single" w:sz="6" w:space="0" w:color="auto"/>
              <w:right w:val="single" w:sz="6" w:space="0" w:color="auto"/>
            </w:tcBorders>
          </w:tcPr>
          <w:p w14:paraId="1E31425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neighborhood parks</w:t>
            </w:r>
          </w:p>
        </w:tc>
        <w:tc>
          <w:tcPr>
            <w:tcW w:w="1080" w:type="dxa"/>
            <w:tcBorders>
              <w:top w:val="nil"/>
              <w:left w:val="single" w:sz="6" w:space="0" w:color="auto"/>
              <w:bottom w:val="single" w:sz="6" w:space="0" w:color="auto"/>
              <w:right w:val="single" w:sz="6" w:space="0" w:color="auto"/>
            </w:tcBorders>
          </w:tcPr>
          <w:p w14:paraId="62CB481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planning/GIS maps and municipality database.</w:t>
            </w:r>
          </w:p>
        </w:tc>
        <w:tc>
          <w:tcPr>
            <w:tcW w:w="1530" w:type="dxa"/>
            <w:tcBorders>
              <w:top w:val="nil"/>
              <w:left w:val="single" w:sz="6" w:space="0" w:color="auto"/>
              <w:bottom w:val="single" w:sz="6" w:space="0" w:color="auto"/>
              <w:right w:val="single" w:sz="6" w:space="0" w:color="auto"/>
            </w:tcBorders>
          </w:tcPr>
          <w:p w14:paraId="2B98980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distance using park/home centroids</w:t>
            </w:r>
          </w:p>
        </w:tc>
        <w:tc>
          <w:tcPr>
            <w:tcW w:w="1054" w:type="dxa"/>
            <w:tcBorders>
              <w:top w:val="nil"/>
              <w:left w:val="single" w:sz="6" w:space="0" w:color="auto"/>
              <w:bottom w:val="single" w:sz="6" w:space="0" w:color="auto"/>
              <w:right w:val="single" w:sz="6" w:space="0" w:color="auto"/>
            </w:tcBorders>
          </w:tcPr>
          <w:p w14:paraId="180E2FC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1-km buffer for exposure</w:t>
            </w:r>
          </w:p>
        </w:tc>
        <w:tc>
          <w:tcPr>
            <w:tcW w:w="1102" w:type="dxa"/>
            <w:tcBorders>
              <w:top w:val="nil"/>
              <w:left w:val="single" w:sz="6" w:space="0" w:color="auto"/>
              <w:bottom w:val="single" w:sz="6" w:space="0" w:color="auto"/>
              <w:right w:val="single" w:sz="6" w:space="0" w:color="auto"/>
            </w:tcBorders>
          </w:tcPr>
          <w:p w14:paraId="734C6F5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p w14:paraId="56591CD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(participant home).</w:t>
            </w:r>
          </w:p>
        </w:tc>
        <w:tc>
          <w:tcPr>
            <w:tcW w:w="1354" w:type="dxa"/>
            <w:tcBorders>
              <w:top w:val="nil"/>
              <w:left w:val="single" w:sz="6" w:space="0" w:color="auto"/>
              <w:bottom w:val="single" w:sz="6" w:space="0" w:color="auto"/>
              <w:right w:val="single" w:sz="6" w:space="0" w:color="auto"/>
            </w:tcBorders>
          </w:tcPr>
          <w:p w14:paraId="33B4978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Moderate-to-strenuous PA (MSPA)</w:t>
            </w:r>
          </w:p>
          <w:p w14:paraId="322723E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w:t>
            </w:r>
          </w:p>
          <w:p w14:paraId="22998F1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neighborhood-based</w:t>
            </w:r>
          </w:p>
          <w:p w14:paraId="781433D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park-based.</w:t>
            </w:r>
          </w:p>
        </w:tc>
        <w:tc>
          <w:tcPr>
            <w:tcW w:w="1350" w:type="dxa"/>
            <w:tcBorders>
              <w:top w:val="nil"/>
              <w:left w:val="single" w:sz="6" w:space="0" w:color="auto"/>
              <w:bottom w:val="single" w:sz="6" w:space="0" w:color="auto"/>
              <w:right w:val="single" w:sz="6" w:space="0" w:color="auto"/>
            </w:tcBorders>
          </w:tcPr>
          <w:p w14:paraId="3A156C9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7-day self-reported PA log</w:t>
            </w:r>
          </w:p>
        </w:tc>
        <w:tc>
          <w:tcPr>
            <w:tcW w:w="1080" w:type="dxa"/>
            <w:tcBorders>
              <w:top w:val="nil"/>
              <w:left w:val="single" w:sz="6" w:space="0" w:color="auto"/>
              <w:bottom w:val="single" w:sz="6" w:space="0" w:color="auto"/>
              <w:right w:val="single" w:sz="6" w:space="0" w:color="auto"/>
            </w:tcBorders>
          </w:tcPr>
          <w:p w14:paraId="62F39A3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logistic regression</w:t>
            </w:r>
          </w:p>
        </w:tc>
        <w:tc>
          <w:tcPr>
            <w:tcW w:w="1350" w:type="dxa"/>
            <w:tcBorders>
              <w:top w:val="nil"/>
              <w:left w:val="single" w:sz="6" w:space="0" w:color="auto"/>
              <w:bottom w:val="single" w:sz="6" w:space="0" w:color="auto"/>
              <w:right w:val="single" w:sz="6" w:space="0" w:color="auto"/>
            </w:tcBorders>
          </w:tcPr>
          <w:p w14:paraId="36704D7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D593A2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3319D00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004E63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temporary injury.</w:t>
            </w:r>
          </w:p>
        </w:tc>
        <w:tc>
          <w:tcPr>
            <w:tcW w:w="990" w:type="dxa"/>
            <w:tcBorders>
              <w:top w:val="nil"/>
              <w:left w:val="single" w:sz="6" w:space="0" w:color="auto"/>
              <w:bottom w:val="single" w:sz="6" w:space="0" w:color="auto"/>
              <w:right w:val="single" w:sz="6" w:space="0" w:color="auto"/>
            </w:tcBorders>
          </w:tcPr>
          <w:p w14:paraId="5A577F5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1260" w:type="dxa"/>
            <w:tcBorders>
              <w:top w:val="nil"/>
              <w:left w:val="single" w:sz="6" w:space="0" w:color="auto"/>
              <w:bottom w:val="single" w:sz="6" w:space="0" w:color="auto"/>
              <w:right w:val="single" w:sz="6" w:space="0" w:color="auto"/>
            </w:tcBorders>
          </w:tcPr>
          <w:p w14:paraId="69BD44E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(OR=1.05, 95% CI 0.86–1.32).</w:t>
            </w:r>
          </w:p>
        </w:tc>
        <w:tc>
          <w:tcPr>
            <w:tcW w:w="900" w:type="dxa"/>
            <w:tcBorders>
              <w:top w:val="nil"/>
              <w:left w:val="single" w:sz="6" w:space="0" w:color="auto"/>
              <w:bottom w:val="single" w:sz="6" w:space="0" w:color="auto"/>
              <w:right w:val="single" w:sz="6" w:space="0" w:color="auto"/>
            </w:tcBorders>
          </w:tcPr>
          <w:p w14:paraId="1D0A77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810" w:type="dxa"/>
            <w:tcBorders>
              <w:top w:val="nil"/>
              <w:left w:val="single" w:sz="6" w:space="0" w:color="auto"/>
              <w:bottom w:val="single" w:sz="6" w:space="0" w:color="auto"/>
              <w:right w:val="single" w:sz="6" w:space="0" w:color="auto"/>
            </w:tcBorders>
          </w:tcPr>
          <w:p w14:paraId="359BA65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530" w:type="dxa"/>
            <w:tcBorders>
              <w:top w:val="nil"/>
              <w:left w:val="single" w:sz="6" w:space="0" w:color="auto"/>
              <w:bottom w:val="single" w:sz="6" w:space="0" w:color="auto"/>
              <w:right w:val="single" w:sz="6" w:space="0" w:color="auto"/>
            </w:tcBorders>
          </w:tcPr>
          <w:p w14:paraId="2F4A1FF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More parks/park area = higher MSPA;</w:t>
            </w:r>
          </w:p>
          <w:p w14:paraId="49B8387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nearest park = null.</w:t>
            </w:r>
          </w:p>
        </w:tc>
      </w:tr>
      <w:tr w:rsidR="0037619D" w:rsidRPr="000F3EBD" w14:paraId="74ED4333" w14:textId="77777777" w:rsidTr="00693EBB">
        <w:trPr>
          <w:trHeight w:val="3027"/>
        </w:trPr>
        <w:tc>
          <w:tcPr>
            <w:tcW w:w="1072" w:type="dxa"/>
            <w:tcBorders>
              <w:top w:val="nil"/>
              <w:left w:val="single" w:sz="6" w:space="0" w:color="auto"/>
              <w:bottom w:val="single" w:sz="6" w:space="0" w:color="auto"/>
              <w:right w:val="single" w:sz="6" w:space="0" w:color="auto"/>
            </w:tcBorders>
          </w:tcPr>
          <w:p w14:paraId="0C0B78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Petrunoff et al.,</w:t>
            </w:r>
          </w:p>
          <w:p w14:paraId="2F105A4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6" w:type="dxa"/>
            <w:tcBorders>
              <w:top w:val="nil"/>
              <w:left w:val="single" w:sz="6" w:space="0" w:color="auto"/>
              <w:bottom w:val="single" w:sz="6" w:space="0" w:color="auto"/>
              <w:right w:val="single" w:sz="6" w:space="0" w:color="auto"/>
            </w:tcBorders>
          </w:tcPr>
          <w:p w14:paraId="216456B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Singapore</w:t>
            </w:r>
          </w:p>
        </w:tc>
        <w:tc>
          <w:tcPr>
            <w:tcW w:w="899" w:type="dxa"/>
            <w:tcBorders>
              <w:top w:val="nil"/>
              <w:left w:val="single" w:sz="6" w:space="0" w:color="auto"/>
              <w:bottom w:val="single" w:sz="6" w:space="0" w:color="auto"/>
              <w:right w:val="single" w:sz="6" w:space="0" w:color="auto"/>
            </w:tcBorders>
          </w:tcPr>
          <w:p w14:paraId="2160A80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141A780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3,435</w:t>
            </w:r>
          </w:p>
        </w:tc>
        <w:tc>
          <w:tcPr>
            <w:tcW w:w="1028" w:type="dxa"/>
            <w:tcBorders>
              <w:top w:val="nil"/>
              <w:left w:val="single" w:sz="6" w:space="0" w:color="auto"/>
              <w:bottom w:val="single" w:sz="6" w:space="0" w:color="auto"/>
              <w:right w:val="single" w:sz="6" w:space="0" w:color="auto"/>
            </w:tcBorders>
          </w:tcPr>
          <w:p w14:paraId="567A439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2B80869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mean 48.8 y</w:t>
            </w:r>
          </w:p>
        </w:tc>
        <w:tc>
          <w:tcPr>
            <w:tcW w:w="1446" w:type="dxa"/>
            <w:tcBorders>
              <w:top w:val="nil"/>
              <w:left w:val="single" w:sz="6" w:space="0" w:color="auto"/>
              <w:bottom w:val="single" w:sz="6" w:space="0" w:color="auto"/>
              <w:right w:val="single" w:sz="6" w:space="0" w:color="auto"/>
            </w:tcBorders>
          </w:tcPr>
          <w:p w14:paraId="7CB7732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 time to nearest park</w:t>
            </w:r>
          </w:p>
          <w:p w14:paraId="24C91FB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True (objective) network distance to nearest accessible park boundary</w:t>
            </w:r>
          </w:p>
        </w:tc>
        <w:tc>
          <w:tcPr>
            <w:tcW w:w="1080" w:type="dxa"/>
            <w:tcBorders>
              <w:top w:val="nil"/>
              <w:left w:val="single" w:sz="6" w:space="0" w:color="auto"/>
              <w:bottom w:val="single" w:sz="6" w:space="0" w:color="auto"/>
              <w:right w:val="single" w:sz="6" w:space="0" w:color="auto"/>
            </w:tcBorders>
          </w:tcPr>
          <w:p w14:paraId="52D1ADA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Public parks managed by Nparks</w:t>
            </w:r>
          </w:p>
        </w:tc>
        <w:tc>
          <w:tcPr>
            <w:tcW w:w="1080" w:type="dxa"/>
            <w:tcBorders>
              <w:top w:val="nil"/>
              <w:left w:val="single" w:sz="6" w:space="0" w:color="auto"/>
              <w:bottom w:val="single" w:sz="6" w:space="0" w:color="auto"/>
              <w:right w:val="single" w:sz="6" w:space="0" w:color="auto"/>
            </w:tcBorders>
          </w:tcPr>
          <w:p w14:paraId="50FEDBA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NParks geospatial data + mapped “truly accessible” park-boundary points;</w:t>
            </w:r>
          </w:p>
          <w:p w14:paraId="5C3D20D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citywide walkable street network</w:t>
            </w:r>
          </w:p>
        </w:tc>
        <w:tc>
          <w:tcPr>
            <w:tcW w:w="1530" w:type="dxa"/>
            <w:tcBorders>
              <w:top w:val="nil"/>
              <w:left w:val="single" w:sz="6" w:space="0" w:color="auto"/>
              <w:bottom w:val="single" w:sz="6" w:space="0" w:color="auto"/>
              <w:right w:val="single" w:sz="6" w:space="0" w:color="auto"/>
            </w:tcBorders>
          </w:tcPr>
          <w:p w14:paraId="302167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distance from home to nearest accessible boundary point</w:t>
            </w:r>
          </w:p>
        </w:tc>
        <w:tc>
          <w:tcPr>
            <w:tcW w:w="1054" w:type="dxa"/>
            <w:tcBorders>
              <w:top w:val="nil"/>
              <w:left w:val="single" w:sz="6" w:space="0" w:color="auto"/>
              <w:bottom w:val="single" w:sz="6" w:space="0" w:color="auto"/>
              <w:right w:val="single" w:sz="6" w:space="0" w:color="auto"/>
            </w:tcBorders>
          </w:tcPr>
          <w:p w14:paraId="0C93C2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1102" w:type="dxa"/>
            <w:tcBorders>
              <w:top w:val="nil"/>
              <w:left w:val="single" w:sz="6" w:space="0" w:color="auto"/>
              <w:bottom w:val="single" w:sz="6" w:space="0" w:color="auto"/>
              <w:right w:val="single" w:sz="6" w:space="0" w:color="auto"/>
            </w:tcBorders>
          </w:tcPr>
          <w:p w14:paraId="1BA3043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57E64C6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physical activity time</w:t>
            </w:r>
          </w:p>
        </w:tc>
        <w:tc>
          <w:tcPr>
            <w:tcW w:w="1350" w:type="dxa"/>
            <w:tcBorders>
              <w:top w:val="nil"/>
              <w:left w:val="single" w:sz="6" w:space="0" w:color="auto"/>
              <w:bottom w:val="single" w:sz="6" w:space="0" w:color="auto"/>
              <w:right w:val="single" w:sz="6" w:space="0" w:color="auto"/>
            </w:tcBorders>
          </w:tcPr>
          <w:p w14:paraId="390D3C9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Interviewer-assisted survey</w:t>
            </w:r>
          </w:p>
        </w:tc>
        <w:tc>
          <w:tcPr>
            <w:tcW w:w="1080" w:type="dxa"/>
            <w:tcBorders>
              <w:top w:val="nil"/>
              <w:left w:val="single" w:sz="6" w:space="0" w:color="auto"/>
              <w:bottom w:val="single" w:sz="6" w:space="0" w:color="auto"/>
              <w:right w:val="single" w:sz="6" w:space="0" w:color="auto"/>
            </w:tcBorders>
          </w:tcPr>
          <w:p w14:paraId="4BDA69C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350" w:type="dxa"/>
            <w:tcBorders>
              <w:top w:val="nil"/>
              <w:left w:val="single" w:sz="6" w:space="0" w:color="auto"/>
              <w:bottom w:val="single" w:sz="6" w:space="0" w:color="auto"/>
              <w:right w:val="single" w:sz="6" w:space="0" w:color="auto"/>
            </w:tcBorders>
          </w:tcPr>
          <w:p w14:paraId="15182FD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BEF0D7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7CE44B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ethnicity,</w:t>
            </w:r>
          </w:p>
          <w:p w14:paraId="5D435C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&amp; work status,</w:t>
            </w:r>
          </w:p>
          <w:p w14:paraId="7C48701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0200B7C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7097720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7CFF93B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chronic diseases,</w:t>
            </w:r>
          </w:p>
          <w:p w14:paraId="73D21A4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w:t>
            </w:r>
          </w:p>
          <w:p w14:paraId="5E48324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heavy alcohol,</w:t>
            </w:r>
          </w:p>
          <w:p w14:paraId="12BD7E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500-m walkability index</w:t>
            </w:r>
          </w:p>
        </w:tc>
        <w:tc>
          <w:tcPr>
            <w:tcW w:w="990" w:type="dxa"/>
            <w:tcBorders>
              <w:top w:val="nil"/>
              <w:left w:val="single" w:sz="6" w:space="0" w:color="auto"/>
              <w:bottom w:val="single" w:sz="6" w:space="0" w:color="auto"/>
              <w:right w:val="single" w:sz="6" w:space="0" w:color="auto"/>
            </w:tcBorders>
          </w:tcPr>
          <w:p w14:paraId="0AB34A2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w:t>
            </w:r>
          </w:p>
        </w:tc>
        <w:tc>
          <w:tcPr>
            <w:tcW w:w="2160" w:type="dxa"/>
            <w:gridSpan w:val="2"/>
            <w:tcBorders>
              <w:top w:val="nil"/>
              <w:left w:val="single" w:sz="6" w:space="0" w:color="auto"/>
              <w:bottom w:val="single" w:sz="6" w:space="0" w:color="auto"/>
              <w:right w:val="single" w:sz="6" w:space="0" w:color="auto"/>
            </w:tcBorders>
          </w:tcPr>
          <w:p w14:paraId="1B2FEC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Access → park PA time (adjusted)</w:t>
            </w:r>
          </w:p>
          <w:p w14:paraId="189B030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DD1007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access (ref 1–5 min): 6–10 min +0.10 (−1.66, 1.86); 11–20 min −1.69 (−3.82, 0.43); &gt;20 min −0.73 (−3.65, 2.18)</w:t>
            </w:r>
          </w:p>
          <w:p w14:paraId="260C6B1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457432B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True access (ref 0–399 m): 400–799 m −2.43 (−5.04, 0.19); 800–1599 m −2.62 (−5.28, 0.03); ≥1600 m −1.09 (−3.82, 1.64)</w:t>
            </w:r>
          </w:p>
        </w:tc>
        <w:tc>
          <w:tcPr>
            <w:tcW w:w="810" w:type="dxa"/>
            <w:tcBorders>
              <w:top w:val="nil"/>
              <w:left w:val="single" w:sz="6" w:space="0" w:color="auto"/>
              <w:bottom w:val="single" w:sz="6" w:space="0" w:color="auto"/>
              <w:right w:val="single" w:sz="6" w:space="0" w:color="auto"/>
            </w:tcBorders>
          </w:tcPr>
          <w:p w14:paraId="15CB1BA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Overall ns (perceived p=0.386; true p=0.125)</w:t>
            </w:r>
          </w:p>
        </w:tc>
        <w:tc>
          <w:tcPr>
            <w:tcW w:w="1530" w:type="dxa"/>
            <w:tcBorders>
              <w:top w:val="nil"/>
              <w:left w:val="single" w:sz="6" w:space="0" w:color="auto"/>
              <w:bottom w:val="single" w:sz="6" w:space="0" w:color="auto"/>
              <w:right w:val="single" w:sz="6" w:space="0" w:color="auto"/>
            </w:tcBorders>
          </w:tcPr>
          <w:p w14:paraId="2BF1C3B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(no association of perceived/true proximity with park PA time)</w:t>
            </w:r>
          </w:p>
        </w:tc>
      </w:tr>
      <w:tr w:rsidR="0037619D" w:rsidRPr="000F3EBD" w14:paraId="72A9BFFD" w14:textId="77777777" w:rsidTr="003B2FCF">
        <w:trPr>
          <w:trHeight w:val="1506"/>
        </w:trPr>
        <w:tc>
          <w:tcPr>
            <w:tcW w:w="1072" w:type="dxa"/>
            <w:tcBorders>
              <w:top w:val="nil"/>
              <w:left w:val="single" w:sz="6" w:space="0" w:color="auto"/>
              <w:bottom w:val="single" w:sz="6" w:space="0" w:color="auto"/>
              <w:right w:val="single" w:sz="6" w:space="0" w:color="auto"/>
            </w:tcBorders>
          </w:tcPr>
          <w:p w14:paraId="4D37FCE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Cohen et al.,</w:t>
            </w:r>
          </w:p>
          <w:p w14:paraId="77EF049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2007</w:t>
            </w:r>
          </w:p>
        </w:tc>
        <w:tc>
          <w:tcPr>
            <w:tcW w:w="896" w:type="dxa"/>
            <w:tcBorders>
              <w:top w:val="nil"/>
              <w:left w:val="single" w:sz="6" w:space="0" w:color="auto"/>
              <w:bottom w:val="single" w:sz="6" w:space="0" w:color="auto"/>
              <w:right w:val="single" w:sz="6" w:space="0" w:color="auto"/>
            </w:tcBorders>
          </w:tcPr>
          <w:p w14:paraId="2790BFD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771BAB8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7B90953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14,791</w:t>
            </w:r>
          </w:p>
        </w:tc>
        <w:tc>
          <w:tcPr>
            <w:tcW w:w="1028" w:type="dxa"/>
            <w:tcBorders>
              <w:top w:val="nil"/>
              <w:left w:val="single" w:sz="6" w:space="0" w:color="auto"/>
              <w:bottom w:val="single" w:sz="6" w:space="0" w:color="auto"/>
              <w:right w:val="single" w:sz="6" w:space="0" w:color="auto"/>
            </w:tcBorders>
          </w:tcPr>
          <w:p w14:paraId="74B92EED" w14:textId="77777777" w:rsidR="0037619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7F4A331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18–84 years</w:t>
            </w:r>
          </w:p>
        </w:tc>
        <w:tc>
          <w:tcPr>
            <w:tcW w:w="1446" w:type="dxa"/>
            <w:tcBorders>
              <w:top w:val="nil"/>
              <w:left w:val="single" w:sz="6" w:space="0" w:color="auto"/>
              <w:bottom w:val="single" w:sz="6" w:space="0" w:color="auto"/>
              <w:right w:val="single" w:sz="6" w:space="0" w:color="auto"/>
            </w:tcBorders>
          </w:tcPr>
          <w:p w14:paraId="5C977A2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Residential distance to park</w:t>
            </w:r>
          </w:p>
        </w:tc>
        <w:tc>
          <w:tcPr>
            <w:tcW w:w="1080" w:type="dxa"/>
            <w:tcBorders>
              <w:top w:val="nil"/>
              <w:left w:val="single" w:sz="6" w:space="0" w:color="auto"/>
              <w:bottom w:val="single" w:sz="6" w:space="0" w:color="auto"/>
              <w:right w:val="single" w:sz="6" w:space="0" w:color="auto"/>
            </w:tcBorders>
          </w:tcPr>
          <w:p w14:paraId="3A3556C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urban neighborhood parks</w:t>
            </w:r>
          </w:p>
        </w:tc>
        <w:tc>
          <w:tcPr>
            <w:tcW w:w="1080" w:type="dxa"/>
            <w:tcBorders>
              <w:top w:val="nil"/>
              <w:left w:val="single" w:sz="6" w:space="0" w:color="auto"/>
              <w:bottom w:val="single" w:sz="6" w:space="0" w:color="auto"/>
              <w:right w:val="single" w:sz="6" w:space="0" w:color="auto"/>
            </w:tcBorders>
          </w:tcPr>
          <w:p w14:paraId="2B4EBD6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of Los Angeles parks</w:t>
            </w:r>
          </w:p>
        </w:tc>
        <w:tc>
          <w:tcPr>
            <w:tcW w:w="1530" w:type="dxa"/>
            <w:tcBorders>
              <w:top w:val="nil"/>
              <w:left w:val="single" w:sz="6" w:space="0" w:color="auto"/>
              <w:bottom w:val="single" w:sz="6" w:space="0" w:color="auto"/>
              <w:right w:val="single" w:sz="6" w:space="0" w:color="auto"/>
            </w:tcBorders>
          </w:tcPr>
          <w:p w14:paraId="06C4D9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Euclidean buffers/radii in ArcView</w:t>
            </w:r>
          </w:p>
        </w:tc>
        <w:tc>
          <w:tcPr>
            <w:tcW w:w="1054" w:type="dxa"/>
            <w:tcBorders>
              <w:top w:val="nil"/>
              <w:left w:val="single" w:sz="6" w:space="0" w:color="auto"/>
              <w:bottom w:val="single" w:sz="6" w:space="0" w:color="auto"/>
              <w:right w:val="single" w:sz="6" w:space="0" w:color="auto"/>
            </w:tcBorders>
          </w:tcPr>
          <w:p w14:paraId="48CE8AD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mile</w:t>
            </w:r>
          </w:p>
        </w:tc>
        <w:tc>
          <w:tcPr>
            <w:tcW w:w="1102" w:type="dxa"/>
            <w:tcBorders>
              <w:top w:val="nil"/>
              <w:left w:val="single" w:sz="6" w:space="0" w:color="auto"/>
              <w:bottom w:val="single" w:sz="6" w:space="0" w:color="auto"/>
              <w:right w:val="single" w:sz="6" w:space="0" w:color="auto"/>
            </w:tcBorders>
          </w:tcPr>
          <w:p w14:paraId="36B1553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4C1EE32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Weekly leisure exercise sessions</w:t>
            </w:r>
          </w:p>
        </w:tc>
        <w:tc>
          <w:tcPr>
            <w:tcW w:w="1350" w:type="dxa"/>
            <w:tcBorders>
              <w:top w:val="nil"/>
              <w:left w:val="single" w:sz="6" w:space="0" w:color="auto"/>
              <w:bottom w:val="single" w:sz="6" w:space="0" w:color="auto"/>
              <w:right w:val="single" w:sz="6" w:space="0" w:color="auto"/>
            </w:tcBorders>
          </w:tcPr>
          <w:p w14:paraId="57FDA75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survey (adults);</w:t>
            </w:r>
          </w:p>
          <w:p w14:paraId="3909695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separate SOPARC area observations for activity levels</w:t>
            </w:r>
          </w:p>
        </w:tc>
        <w:tc>
          <w:tcPr>
            <w:tcW w:w="1080" w:type="dxa"/>
            <w:tcBorders>
              <w:top w:val="nil"/>
              <w:left w:val="single" w:sz="6" w:space="0" w:color="auto"/>
              <w:bottom w:val="single" w:sz="6" w:space="0" w:color="auto"/>
              <w:right w:val="single" w:sz="6" w:space="0" w:color="auto"/>
            </w:tcBorders>
          </w:tcPr>
          <w:p w14:paraId="391B9D1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binomial regression</w:t>
            </w:r>
          </w:p>
        </w:tc>
        <w:tc>
          <w:tcPr>
            <w:tcW w:w="1350" w:type="dxa"/>
            <w:tcBorders>
              <w:top w:val="nil"/>
              <w:left w:val="single" w:sz="6" w:space="0" w:color="auto"/>
              <w:bottom w:val="single" w:sz="6" w:space="0" w:color="auto"/>
              <w:right w:val="single" w:sz="6" w:space="0" w:color="auto"/>
            </w:tcBorders>
          </w:tcPr>
          <w:p w14:paraId="7366CE8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4A0CFF7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6FB1083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race/ethnicity,</w:t>
            </w:r>
          </w:p>
          <w:p w14:paraId="75940D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safety,</w:t>
            </w:r>
          </w:p>
          <w:p w14:paraId="4BDF6ED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fixed effects</w:t>
            </w:r>
          </w:p>
        </w:tc>
        <w:tc>
          <w:tcPr>
            <w:tcW w:w="990" w:type="dxa"/>
            <w:tcBorders>
              <w:top w:val="nil"/>
              <w:left w:val="single" w:sz="6" w:space="0" w:color="auto"/>
              <w:bottom w:val="single" w:sz="6" w:space="0" w:color="auto"/>
              <w:right w:val="single" w:sz="6" w:space="0" w:color="auto"/>
            </w:tcBorders>
          </w:tcPr>
          <w:p w14:paraId="55AAFE1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IRR</w:t>
            </w:r>
          </w:p>
        </w:tc>
        <w:tc>
          <w:tcPr>
            <w:tcW w:w="1260" w:type="dxa"/>
            <w:tcBorders>
              <w:top w:val="nil"/>
              <w:left w:val="single" w:sz="6" w:space="0" w:color="auto"/>
              <w:bottom w:val="single" w:sz="6" w:space="0" w:color="auto"/>
              <w:right w:val="single" w:sz="6" w:space="0" w:color="auto"/>
            </w:tcBorders>
          </w:tcPr>
          <w:p w14:paraId="1BE2EB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IRR=1.38</w:t>
            </w:r>
          </w:p>
        </w:tc>
        <w:tc>
          <w:tcPr>
            <w:tcW w:w="900" w:type="dxa"/>
            <w:tcBorders>
              <w:top w:val="nil"/>
              <w:left w:val="single" w:sz="6" w:space="0" w:color="auto"/>
              <w:bottom w:val="single" w:sz="6" w:space="0" w:color="auto"/>
              <w:right w:val="single" w:sz="6" w:space="0" w:color="auto"/>
            </w:tcBorders>
          </w:tcPr>
          <w:p w14:paraId="6B6EDF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1.04–1.84</w:t>
            </w:r>
          </w:p>
        </w:tc>
        <w:tc>
          <w:tcPr>
            <w:tcW w:w="810" w:type="dxa"/>
            <w:tcBorders>
              <w:top w:val="nil"/>
              <w:left w:val="single" w:sz="6" w:space="0" w:color="auto"/>
              <w:bottom w:val="single" w:sz="6" w:space="0" w:color="auto"/>
              <w:right w:val="single" w:sz="6" w:space="0" w:color="auto"/>
            </w:tcBorders>
          </w:tcPr>
          <w:p w14:paraId="178CE3E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p&lt;0.001</w:t>
            </w:r>
          </w:p>
        </w:tc>
        <w:tc>
          <w:tcPr>
            <w:tcW w:w="1530" w:type="dxa"/>
            <w:tcBorders>
              <w:top w:val="nil"/>
              <w:left w:val="single" w:sz="6" w:space="0" w:color="auto"/>
              <w:bottom w:val="single" w:sz="6" w:space="0" w:color="auto"/>
              <w:right w:val="single" w:sz="6" w:space="0" w:color="auto"/>
            </w:tcBorders>
          </w:tcPr>
          <w:p w14:paraId="1310481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(closer distance → more exercise)</w:t>
            </w:r>
          </w:p>
        </w:tc>
      </w:tr>
      <w:tr w:rsidR="0037619D" w:rsidRPr="000F3EBD" w14:paraId="590D579A" w14:textId="77777777" w:rsidTr="003B2FCF">
        <w:trPr>
          <w:trHeight w:val="3063"/>
        </w:trPr>
        <w:tc>
          <w:tcPr>
            <w:tcW w:w="1072" w:type="dxa"/>
            <w:tcBorders>
              <w:top w:val="nil"/>
              <w:left w:val="single" w:sz="6" w:space="0" w:color="auto"/>
              <w:bottom w:val="single" w:sz="6" w:space="0" w:color="auto"/>
              <w:right w:val="single" w:sz="6" w:space="0" w:color="auto"/>
            </w:tcBorders>
          </w:tcPr>
          <w:p w14:paraId="75374AD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Lackey et al.,</w:t>
            </w:r>
          </w:p>
          <w:p w14:paraId="653FE72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2009</w:t>
            </w:r>
          </w:p>
        </w:tc>
        <w:tc>
          <w:tcPr>
            <w:tcW w:w="896" w:type="dxa"/>
            <w:tcBorders>
              <w:top w:val="nil"/>
              <w:left w:val="single" w:sz="6" w:space="0" w:color="auto"/>
              <w:bottom w:val="single" w:sz="6" w:space="0" w:color="auto"/>
              <w:right w:val="single" w:sz="6" w:space="0" w:color="auto"/>
            </w:tcBorders>
          </w:tcPr>
          <w:p w14:paraId="5F93F8D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899" w:type="dxa"/>
            <w:tcBorders>
              <w:top w:val="nil"/>
              <w:left w:val="single" w:sz="6" w:space="0" w:color="auto"/>
              <w:bottom w:val="single" w:sz="6" w:space="0" w:color="auto"/>
              <w:right w:val="single" w:sz="6" w:space="0" w:color="auto"/>
            </w:tcBorders>
          </w:tcPr>
          <w:p w14:paraId="4ABF48D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275A6B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574</w:t>
            </w:r>
          </w:p>
        </w:tc>
        <w:tc>
          <w:tcPr>
            <w:tcW w:w="1028" w:type="dxa"/>
            <w:tcBorders>
              <w:top w:val="nil"/>
              <w:left w:val="single" w:sz="6" w:space="0" w:color="auto"/>
              <w:bottom w:val="single" w:sz="6" w:space="0" w:color="auto"/>
              <w:right w:val="single" w:sz="6" w:space="0" w:color="auto"/>
            </w:tcBorders>
          </w:tcPr>
          <w:p w14:paraId="52D6F53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1B8AB5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18–88 years</w:t>
            </w:r>
          </w:p>
        </w:tc>
        <w:tc>
          <w:tcPr>
            <w:tcW w:w="1446" w:type="dxa"/>
            <w:tcBorders>
              <w:top w:val="nil"/>
              <w:left w:val="single" w:sz="6" w:space="0" w:color="auto"/>
              <w:bottom w:val="single" w:sz="6" w:space="0" w:color="auto"/>
              <w:right w:val="single" w:sz="6" w:space="0" w:color="auto"/>
            </w:tcBorders>
          </w:tcPr>
          <w:p w14:paraId="336A332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self-reported walk time to nearest park, converted to distance categories</w:t>
            </w:r>
          </w:p>
          <w:p w14:paraId="0C393AC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A91D04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GIS distance from home to closest park centroid; both dichotomized at ≤750 m vs &gt;750 m</w:t>
            </w:r>
          </w:p>
        </w:tc>
        <w:tc>
          <w:tcPr>
            <w:tcW w:w="1080" w:type="dxa"/>
            <w:tcBorders>
              <w:top w:val="nil"/>
              <w:left w:val="single" w:sz="6" w:space="0" w:color="auto"/>
              <w:bottom w:val="single" w:sz="6" w:space="0" w:color="auto"/>
              <w:right w:val="single" w:sz="6" w:space="0" w:color="auto"/>
            </w:tcBorders>
          </w:tcPr>
          <w:p w14:paraId="16F0B6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080" w:type="dxa"/>
            <w:tcBorders>
              <w:top w:val="nil"/>
              <w:left w:val="single" w:sz="6" w:space="0" w:color="auto"/>
              <w:bottom w:val="single" w:sz="6" w:space="0" w:color="auto"/>
              <w:right w:val="single" w:sz="6" w:space="0" w:color="auto"/>
            </w:tcBorders>
          </w:tcPr>
          <w:p w14:paraId="2BA26D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GIS; park features audited via EAPRS</w:t>
            </w:r>
          </w:p>
        </w:tc>
        <w:tc>
          <w:tcPr>
            <w:tcW w:w="1530" w:type="dxa"/>
            <w:tcBorders>
              <w:top w:val="nil"/>
              <w:left w:val="single" w:sz="6" w:space="0" w:color="auto"/>
              <w:bottom w:val="single" w:sz="6" w:space="0" w:color="auto"/>
              <w:right w:val="single" w:sz="6" w:space="0" w:color="auto"/>
            </w:tcBorders>
          </w:tcPr>
          <w:p w14:paraId="114FD83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(straight-line) GIS distance to park centroid</w:t>
            </w:r>
          </w:p>
        </w:tc>
        <w:tc>
          <w:tcPr>
            <w:tcW w:w="1054" w:type="dxa"/>
            <w:tcBorders>
              <w:top w:val="nil"/>
              <w:left w:val="single" w:sz="6" w:space="0" w:color="auto"/>
              <w:bottom w:val="single" w:sz="6" w:space="0" w:color="auto"/>
              <w:right w:val="single" w:sz="6" w:space="0" w:color="auto"/>
            </w:tcBorders>
          </w:tcPr>
          <w:p w14:paraId="3F25799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750 m</w:t>
            </w:r>
          </w:p>
        </w:tc>
        <w:tc>
          <w:tcPr>
            <w:tcW w:w="1102" w:type="dxa"/>
            <w:tcBorders>
              <w:top w:val="nil"/>
              <w:left w:val="single" w:sz="6" w:space="0" w:color="auto"/>
              <w:bottom w:val="single" w:sz="6" w:space="0" w:color="auto"/>
              <w:right w:val="single" w:sz="6" w:space="0" w:color="auto"/>
            </w:tcBorders>
          </w:tcPr>
          <w:p w14:paraId="1BB73D2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5FB1AE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Any neighborhood-based PA (yes/no)</w:t>
            </w:r>
          </w:p>
          <w:p w14:paraId="3E88D9D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31986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Any park-based PA (yes/no)</w:t>
            </w:r>
          </w:p>
        </w:tc>
        <w:tc>
          <w:tcPr>
            <w:tcW w:w="1350" w:type="dxa"/>
            <w:tcBorders>
              <w:top w:val="nil"/>
              <w:left w:val="single" w:sz="6" w:space="0" w:color="auto"/>
              <w:bottom w:val="single" w:sz="6" w:space="0" w:color="auto"/>
              <w:right w:val="single" w:sz="6" w:space="0" w:color="auto"/>
            </w:tcBorders>
          </w:tcPr>
          <w:p w14:paraId="2538EA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7-day self-reported PA logbooks with location</w:t>
            </w:r>
          </w:p>
        </w:tc>
        <w:tc>
          <w:tcPr>
            <w:tcW w:w="1080" w:type="dxa"/>
            <w:tcBorders>
              <w:top w:val="nil"/>
              <w:left w:val="single" w:sz="6" w:space="0" w:color="auto"/>
              <w:bottom w:val="single" w:sz="6" w:space="0" w:color="auto"/>
              <w:right w:val="single" w:sz="6" w:space="0" w:color="auto"/>
            </w:tcBorders>
          </w:tcPr>
          <w:p w14:paraId="1394B64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350" w:type="dxa"/>
            <w:tcBorders>
              <w:top w:val="nil"/>
              <w:left w:val="single" w:sz="6" w:space="0" w:color="auto"/>
              <w:bottom w:val="single" w:sz="6" w:space="0" w:color="auto"/>
              <w:right w:val="single" w:sz="6" w:space="0" w:color="auto"/>
            </w:tcBorders>
          </w:tcPr>
          <w:p w14:paraId="4B20B82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4145702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1FEC8D0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self-efficacy,</w:t>
            </w:r>
          </w:p>
          <w:p w14:paraId="50EAAE2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safety,</w:t>
            </w:r>
          </w:p>
          <w:p w14:paraId="562867A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aesthetics,</w:t>
            </w:r>
          </w:p>
          <w:p w14:paraId="671E8A0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cohesion</w:t>
            </w:r>
          </w:p>
        </w:tc>
        <w:tc>
          <w:tcPr>
            <w:tcW w:w="990" w:type="dxa"/>
            <w:tcBorders>
              <w:top w:val="nil"/>
              <w:left w:val="single" w:sz="6" w:space="0" w:color="auto"/>
              <w:bottom w:val="single" w:sz="6" w:space="0" w:color="auto"/>
              <w:right w:val="single" w:sz="6" w:space="0" w:color="auto"/>
            </w:tcBorders>
          </w:tcPr>
          <w:p w14:paraId="19A2062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2970" w:type="dxa"/>
            <w:gridSpan w:val="3"/>
            <w:tcBorders>
              <w:top w:val="nil"/>
              <w:left w:val="single" w:sz="6" w:space="0" w:color="auto"/>
              <w:bottom w:val="single" w:sz="6" w:space="0" w:color="auto"/>
              <w:right w:val="single" w:sz="6" w:space="0" w:color="auto"/>
            </w:tcBorders>
          </w:tcPr>
          <w:p w14:paraId="551B1319" w14:textId="4DCAEFC6"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proximity ≤750 m → Neighborhood PA: OR = 1.12 (sig.), (1.01–1.25)</w:t>
            </w:r>
          </w:p>
          <w:p w14:paraId="65663781" w14:textId="7DE82471"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proximity ≤750 m → Park-based PA: OR = 0.96 (ns), (0.69–1.33)</w:t>
            </w:r>
          </w:p>
          <w:p w14:paraId="5D3D4562" w14:textId="00C41862"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proximity ≤750 m → Neighborhood PA: OR = 0.90 (ns), (0.47–1.72)</w:t>
            </w:r>
          </w:p>
          <w:p w14:paraId="799A0F07" w14:textId="62FC3683"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proximity ≤750 m → Park-based PA: OR = 1.10 (ns), (0.75–1.47)</w:t>
            </w:r>
          </w:p>
          <w:p w14:paraId="263F666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Match (perceived=objective ≤750 m) → Park-based PA: OR = 1.63 (sig.), (1.29–2.02)</w:t>
            </w:r>
          </w:p>
        </w:tc>
        <w:tc>
          <w:tcPr>
            <w:tcW w:w="1530" w:type="dxa"/>
            <w:tcBorders>
              <w:top w:val="nil"/>
              <w:left w:val="single" w:sz="6" w:space="0" w:color="auto"/>
              <w:bottom w:val="single" w:sz="6" w:space="0" w:color="auto"/>
              <w:right w:val="single" w:sz="6" w:space="0" w:color="auto"/>
            </w:tcBorders>
          </w:tcPr>
          <w:p w14:paraId="6948FFD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proximity → Neighborhood PA: positive</w:t>
            </w:r>
          </w:p>
          <w:p w14:paraId="308BEDA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32977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Objective/perceived proximity → Park-based PA: null</w:t>
            </w:r>
          </w:p>
          <w:p w14:paraId="68E168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A63FD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Match → Park-based PA: positive</w:t>
            </w:r>
          </w:p>
        </w:tc>
      </w:tr>
      <w:tr w:rsidR="0037619D" w:rsidRPr="000F3EBD" w14:paraId="7BADA471" w14:textId="77777777" w:rsidTr="00693EBB">
        <w:trPr>
          <w:trHeight w:val="1092"/>
        </w:trPr>
        <w:tc>
          <w:tcPr>
            <w:tcW w:w="1072" w:type="dxa"/>
            <w:tcBorders>
              <w:top w:val="nil"/>
              <w:left w:val="single" w:sz="6" w:space="0" w:color="auto"/>
              <w:bottom w:val="single" w:sz="6" w:space="0" w:color="auto"/>
              <w:right w:val="single" w:sz="6" w:space="0" w:color="auto"/>
            </w:tcBorders>
          </w:tcPr>
          <w:p w14:paraId="6FE6818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Dias et al.,</w:t>
            </w:r>
          </w:p>
          <w:p w14:paraId="790385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2019</w:t>
            </w:r>
          </w:p>
        </w:tc>
        <w:tc>
          <w:tcPr>
            <w:tcW w:w="896" w:type="dxa"/>
            <w:tcBorders>
              <w:top w:val="nil"/>
              <w:left w:val="single" w:sz="6" w:space="0" w:color="auto"/>
              <w:bottom w:val="single" w:sz="6" w:space="0" w:color="auto"/>
              <w:right w:val="single" w:sz="6" w:space="0" w:color="auto"/>
            </w:tcBorders>
          </w:tcPr>
          <w:p w14:paraId="171B386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Brazil</w:t>
            </w:r>
          </w:p>
        </w:tc>
        <w:tc>
          <w:tcPr>
            <w:tcW w:w="899" w:type="dxa"/>
            <w:tcBorders>
              <w:top w:val="nil"/>
              <w:left w:val="single" w:sz="6" w:space="0" w:color="auto"/>
              <w:bottom w:val="single" w:sz="6" w:space="0" w:color="auto"/>
              <w:right w:val="single" w:sz="6" w:space="0" w:color="auto"/>
            </w:tcBorders>
          </w:tcPr>
          <w:p w14:paraId="0A4E6BC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7D8A88C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1130</w:t>
            </w:r>
          </w:p>
        </w:tc>
        <w:tc>
          <w:tcPr>
            <w:tcW w:w="1028" w:type="dxa"/>
            <w:tcBorders>
              <w:top w:val="nil"/>
              <w:left w:val="single" w:sz="6" w:space="0" w:color="auto"/>
              <w:bottom w:val="single" w:sz="6" w:space="0" w:color="auto"/>
              <w:right w:val="single" w:sz="6" w:space="0" w:color="auto"/>
            </w:tcBorders>
          </w:tcPr>
          <w:p w14:paraId="46AD934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High school adolescent</w:t>
            </w:r>
          </w:p>
          <w:p w14:paraId="0BF70C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14–20 years</w:t>
            </w:r>
          </w:p>
        </w:tc>
        <w:tc>
          <w:tcPr>
            <w:tcW w:w="1446" w:type="dxa"/>
            <w:tcBorders>
              <w:top w:val="nil"/>
              <w:left w:val="single" w:sz="6" w:space="0" w:color="auto"/>
              <w:bottom w:val="single" w:sz="6" w:space="0" w:color="auto"/>
              <w:right w:val="single" w:sz="6" w:space="0" w:color="auto"/>
            </w:tcBorders>
          </w:tcPr>
          <w:p w14:paraId="1FA8E18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Street-network distance (m) from home to nearest park</w:t>
            </w:r>
          </w:p>
        </w:tc>
        <w:tc>
          <w:tcPr>
            <w:tcW w:w="1080" w:type="dxa"/>
            <w:tcBorders>
              <w:top w:val="nil"/>
              <w:left w:val="single" w:sz="6" w:space="0" w:color="auto"/>
              <w:bottom w:val="single" w:sz="6" w:space="0" w:color="auto"/>
              <w:right w:val="single" w:sz="6" w:space="0" w:color="auto"/>
            </w:tcBorders>
          </w:tcPr>
          <w:p w14:paraId="2CDFBD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public parks</w:t>
            </w:r>
          </w:p>
        </w:tc>
        <w:tc>
          <w:tcPr>
            <w:tcW w:w="1080" w:type="dxa"/>
            <w:tcBorders>
              <w:top w:val="nil"/>
              <w:left w:val="single" w:sz="6" w:space="0" w:color="auto"/>
              <w:bottom w:val="single" w:sz="6" w:space="0" w:color="auto"/>
              <w:right w:val="single" w:sz="6" w:space="0" w:color="auto"/>
            </w:tcBorders>
          </w:tcPr>
          <w:p w14:paraId="1E71B9F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Department of Urbanism shapefiles</w:t>
            </w:r>
          </w:p>
        </w:tc>
        <w:tc>
          <w:tcPr>
            <w:tcW w:w="1530" w:type="dxa"/>
            <w:tcBorders>
              <w:top w:val="nil"/>
              <w:left w:val="single" w:sz="6" w:space="0" w:color="auto"/>
              <w:bottom w:val="single" w:sz="6" w:space="0" w:color="auto"/>
              <w:right w:val="single" w:sz="6" w:space="0" w:color="auto"/>
            </w:tcBorders>
          </w:tcPr>
          <w:p w14:paraId="0BF8E0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 network</w:t>
            </w:r>
          </w:p>
        </w:tc>
        <w:tc>
          <w:tcPr>
            <w:tcW w:w="1054" w:type="dxa"/>
            <w:tcBorders>
              <w:top w:val="nil"/>
              <w:left w:val="single" w:sz="6" w:space="0" w:color="auto"/>
              <w:bottom w:val="single" w:sz="6" w:space="0" w:color="auto"/>
              <w:right w:val="single" w:sz="6" w:space="0" w:color="auto"/>
            </w:tcBorders>
          </w:tcPr>
          <w:p w14:paraId="65D3D8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 (continuous distance)</w:t>
            </w:r>
          </w:p>
        </w:tc>
        <w:tc>
          <w:tcPr>
            <w:tcW w:w="1102" w:type="dxa"/>
            <w:tcBorders>
              <w:top w:val="nil"/>
              <w:left w:val="single" w:sz="6" w:space="0" w:color="auto"/>
              <w:bottom w:val="single" w:sz="6" w:space="0" w:color="auto"/>
              <w:right w:val="single" w:sz="6" w:space="0" w:color="auto"/>
            </w:tcBorders>
          </w:tcPr>
          <w:p w14:paraId="0B313E9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7B3BD67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 use for PA (yes/no)</w:t>
            </w:r>
          </w:p>
        </w:tc>
        <w:tc>
          <w:tcPr>
            <w:tcW w:w="1350" w:type="dxa"/>
            <w:tcBorders>
              <w:top w:val="nil"/>
              <w:left w:val="single" w:sz="6" w:space="0" w:color="auto"/>
              <w:bottom w:val="single" w:sz="6" w:space="0" w:color="auto"/>
              <w:right w:val="single" w:sz="6" w:space="0" w:color="auto"/>
            </w:tcBorders>
          </w:tcPr>
          <w:p w14:paraId="419F6D5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080" w:type="dxa"/>
            <w:tcBorders>
              <w:top w:val="nil"/>
              <w:left w:val="single" w:sz="6" w:space="0" w:color="auto"/>
              <w:bottom w:val="single" w:sz="6" w:space="0" w:color="auto"/>
              <w:right w:val="single" w:sz="6" w:space="0" w:color="auto"/>
            </w:tcBorders>
          </w:tcPr>
          <w:p w14:paraId="1C339C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regressions</w:t>
            </w:r>
          </w:p>
        </w:tc>
        <w:tc>
          <w:tcPr>
            <w:tcW w:w="1350" w:type="dxa"/>
            <w:tcBorders>
              <w:top w:val="nil"/>
              <w:left w:val="single" w:sz="6" w:space="0" w:color="auto"/>
              <w:bottom w:val="single" w:sz="6" w:space="0" w:color="auto"/>
              <w:right w:val="single" w:sz="6" w:space="0" w:color="auto"/>
            </w:tcBorders>
          </w:tcPr>
          <w:p w14:paraId="031201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64CE17A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socioeconomic status</w:t>
            </w:r>
          </w:p>
        </w:tc>
        <w:tc>
          <w:tcPr>
            <w:tcW w:w="990" w:type="dxa"/>
            <w:tcBorders>
              <w:top w:val="nil"/>
              <w:left w:val="single" w:sz="6" w:space="0" w:color="auto"/>
              <w:bottom w:val="single" w:sz="6" w:space="0" w:color="auto"/>
              <w:right w:val="single" w:sz="6" w:space="0" w:color="auto"/>
            </w:tcBorders>
          </w:tcPr>
          <w:p w14:paraId="516E461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coefficients (β)</w:t>
            </w:r>
          </w:p>
        </w:tc>
        <w:tc>
          <w:tcPr>
            <w:tcW w:w="1260" w:type="dxa"/>
            <w:tcBorders>
              <w:top w:val="nil"/>
              <w:left w:val="single" w:sz="6" w:space="0" w:color="auto"/>
              <w:bottom w:val="single" w:sz="6" w:space="0" w:color="auto"/>
              <w:right w:val="single" w:sz="6" w:space="0" w:color="auto"/>
            </w:tcBorders>
          </w:tcPr>
          <w:p w14:paraId="0E8320A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 −40.997 m</w:t>
            </w:r>
          </w:p>
        </w:tc>
        <w:tc>
          <w:tcPr>
            <w:tcW w:w="900" w:type="dxa"/>
            <w:tcBorders>
              <w:top w:val="nil"/>
              <w:left w:val="single" w:sz="6" w:space="0" w:color="auto"/>
              <w:bottom w:val="single" w:sz="6" w:space="0" w:color="auto"/>
              <w:right w:val="single" w:sz="6" w:space="0" w:color="auto"/>
            </w:tcBorders>
          </w:tcPr>
          <w:p w14:paraId="57890A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−119.373 to −2.246</w:t>
            </w:r>
          </w:p>
        </w:tc>
        <w:tc>
          <w:tcPr>
            <w:tcW w:w="810" w:type="dxa"/>
            <w:tcBorders>
              <w:top w:val="nil"/>
              <w:left w:val="single" w:sz="6" w:space="0" w:color="auto"/>
              <w:bottom w:val="single" w:sz="6" w:space="0" w:color="auto"/>
              <w:right w:val="single" w:sz="6" w:space="0" w:color="auto"/>
            </w:tcBorders>
          </w:tcPr>
          <w:p w14:paraId="3F711E2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0.005</w:t>
            </w:r>
          </w:p>
        </w:tc>
        <w:tc>
          <w:tcPr>
            <w:tcW w:w="1530" w:type="dxa"/>
            <w:tcBorders>
              <w:top w:val="nil"/>
              <w:left w:val="single" w:sz="6" w:space="0" w:color="auto"/>
              <w:bottom w:val="single" w:sz="6" w:space="0" w:color="auto"/>
              <w:right w:val="single" w:sz="6" w:space="0" w:color="auto"/>
            </w:tcBorders>
          </w:tcPr>
          <w:p w14:paraId="719EFF1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 use are each associated with shorter home-to-park distance</w:t>
            </w:r>
          </w:p>
        </w:tc>
      </w:tr>
      <w:tr w:rsidR="0037619D" w:rsidRPr="000F3EBD" w14:paraId="3588C35B" w14:textId="77777777" w:rsidTr="00A136E2">
        <w:trPr>
          <w:trHeight w:val="2136"/>
        </w:trPr>
        <w:tc>
          <w:tcPr>
            <w:tcW w:w="1072" w:type="dxa"/>
            <w:tcBorders>
              <w:top w:val="nil"/>
              <w:left w:val="single" w:sz="6" w:space="0" w:color="auto"/>
              <w:bottom w:val="single" w:sz="6" w:space="0" w:color="auto"/>
              <w:right w:val="single" w:sz="6" w:space="0" w:color="auto"/>
            </w:tcBorders>
          </w:tcPr>
          <w:p w14:paraId="4F8A8A2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Toftager et al.,</w:t>
            </w:r>
          </w:p>
          <w:p w14:paraId="10E29A7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2011</w:t>
            </w:r>
          </w:p>
        </w:tc>
        <w:tc>
          <w:tcPr>
            <w:tcW w:w="896" w:type="dxa"/>
            <w:tcBorders>
              <w:top w:val="nil"/>
              <w:left w:val="single" w:sz="6" w:space="0" w:color="auto"/>
              <w:bottom w:val="single" w:sz="6" w:space="0" w:color="auto"/>
              <w:right w:val="single" w:sz="6" w:space="0" w:color="auto"/>
            </w:tcBorders>
          </w:tcPr>
          <w:p w14:paraId="604C85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Denmark</w:t>
            </w:r>
          </w:p>
        </w:tc>
        <w:tc>
          <w:tcPr>
            <w:tcW w:w="899" w:type="dxa"/>
            <w:tcBorders>
              <w:top w:val="nil"/>
              <w:left w:val="single" w:sz="6" w:space="0" w:color="auto"/>
              <w:bottom w:val="single" w:sz="6" w:space="0" w:color="auto"/>
              <w:right w:val="single" w:sz="6" w:space="0" w:color="auto"/>
            </w:tcBorders>
          </w:tcPr>
          <w:p w14:paraId="72B2D06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0F253E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11,092</w:t>
            </w:r>
          </w:p>
        </w:tc>
        <w:tc>
          <w:tcPr>
            <w:tcW w:w="1028" w:type="dxa"/>
            <w:tcBorders>
              <w:top w:val="nil"/>
              <w:left w:val="single" w:sz="6" w:space="0" w:color="auto"/>
              <w:bottom w:val="single" w:sz="6" w:space="0" w:color="auto"/>
              <w:right w:val="single" w:sz="6" w:space="0" w:color="auto"/>
            </w:tcBorders>
          </w:tcPr>
          <w:p w14:paraId="7B8A16F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7B9EFA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w:t>
            </w:r>
          </w:p>
        </w:tc>
        <w:tc>
          <w:tcPr>
            <w:tcW w:w="1446" w:type="dxa"/>
            <w:tcBorders>
              <w:top w:val="nil"/>
              <w:left w:val="single" w:sz="6" w:space="0" w:color="auto"/>
              <w:bottom w:val="single" w:sz="6" w:space="0" w:color="auto"/>
              <w:right w:val="single" w:sz="6" w:space="0" w:color="auto"/>
            </w:tcBorders>
          </w:tcPr>
          <w:p w14:paraId="1D04E5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distance to nearest green space</w:t>
            </w:r>
          </w:p>
        </w:tc>
        <w:tc>
          <w:tcPr>
            <w:tcW w:w="1080" w:type="dxa"/>
            <w:tcBorders>
              <w:top w:val="nil"/>
              <w:left w:val="single" w:sz="6" w:space="0" w:color="auto"/>
              <w:bottom w:val="single" w:sz="6" w:space="0" w:color="auto"/>
              <w:right w:val="single" w:sz="6" w:space="0" w:color="auto"/>
            </w:tcBorders>
          </w:tcPr>
          <w:p w14:paraId="5FF72A7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park/urban green space/forest</w:t>
            </w:r>
          </w:p>
        </w:tc>
        <w:tc>
          <w:tcPr>
            <w:tcW w:w="1080" w:type="dxa"/>
            <w:tcBorders>
              <w:top w:val="nil"/>
              <w:left w:val="single" w:sz="6" w:space="0" w:color="auto"/>
              <w:bottom w:val="single" w:sz="6" w:space="0" w:color="auto"/>
              <w:right w:val="single" w:sz="6" w:space="0" w:color="auto"/>
            </w:tcBorders>
          </w:tcPr>
          <w:p w14:paraId="2824189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Self-administered questionnaire</w:t>
            </w:r>
          </w:p>
        </w:tc>
        <w:tc>
          <w:tcPr>
            <w:tcW w:w="1530" w:type="dxa"/>
            <w:tcBorders>
              <w:top w:val="nil"/>
              <w:left w:val="single" w:sz="6" w:space="0" w:color="auto"/>
              <w:bottom w:val="single" w:sz="6" w:space="0" w:color="auto"/>
              <w:right w:val="single" w:sz="6" w:space="0" w:color="auto"/>
            </w:tcBorders>
          </w:tcPr>
          <w:p w14:paraId="0BD0A6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categories</w:t>
            </w:r>
          </w:p>
        </w:tc>
        <w:tc>
          <w:tcPr>
            <w:tcW w:w="1054" w:type="dxa"/>
            <w:tcBorders>
              <w:top w:val="nil"/>
              <w:left w:val="single" w:sz="6" w:space="0" w:color="auto"/>
              <w:bottom w:val="single" w:sz="6" w:space="0" w:color="auto"/>
              <w:right w:val="single" w:sz="6" w:space="0" w:color="auto"/>
            </w:tcBorders>
          </w:tcPr>
          <w:p w14:paraId="5E9D1FE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&lt;300 m</w:t>
            </w:r>
          </w:p>
          <w:p w14:paraId="4CDCE72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300 m–1 km</w:t>
            </w:r>
          </w:p>
          <w:p w14:paraId="519CE35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&gt;1 km</w:t>
            </w:r>
          </w:p>
        </w:tc>
        <w:tc>
          <w:tcPr>
            <w:tcW w:w="1102" w:type="dxa"/>
            <w:tcBorders>
              <w:top w:val="nil"/>
              <w:left w:val="single" w:sz="6" w:space="0" w:color="auto"/>
              <w:bottom w:val="single" w:sz="6" w:space="0" w:color="auto"/>
              <w:right w:val="single" w:sz="6" w:space="0" w:color="auto"/>
            </w:tcBorders>
          </w:tcPr>
          <w:p w14:paraId="0ACB4DF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347AB4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Using green space to exercise/keep in shape (yes/no)</w:t>
            </w:r>
          </w:p>
          <w:p w14:paraId="62760B0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Moderate/Vigorous leisure-time PA (yes/no)</w:t>
            </w:r>
          </w:p>
        </w:tc>
        <w:tc>
          <w:tcPr>
            <w:tcW w:w="1350" w:type="dxa"/>
            <w:tcBorders>
              <w:top w:val="nil"/>
              <w:left w:val="single" w:sz="6" w:space="0" w:color="auto"/>
              <w:bottom w:val="single" w:sz="6" w:space="0" w:color="auto"/>
              <w:right w:val="single" w:sz="6" w:space="0" w:color="auto"/>
            </w:tcBorders>
          </w:tcPr>
          <w:p w14:paraId="659242D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interview/questionnaire</w:t>
            </w:r>
          </w:p>
        </w:tc>
        <w:tc>
          <w:tcPr>
            <w:tcW w:w="1080" w:type="dxa"/>
            <w:tcBorders>
              <w:top w:val="nil"/>
              <w:left w:val="single" w:sz="6" w:space="0" w:color="auto"/>
              <w:bottom w:val="single" w:sz="6" w:space="0" w:color="auto"/>
              <w:right w:val="single" w:sz="6" w:space="0" w:color="auto"/>
            </w:tcBorders>
          </w:tcPr>
          <w:p w14:paraId="371A310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logistic regression</w:t>
            </w:r>
          </w:p>
        </w:tc>
        <w:tc>
          <w:tcPr>
            <w:tcW w:w="1350" w:type="dxa"/>
            <w:tcBorders>
              <w:top w:val="nil"/>
              <w:left w:val="single" w:sz="6" w:space="0" w:color="auto"/>
              <w:bottom w:val="single" w:sz="6" w:space="0" w:color="auto"/>
              <w:right w:val="single" w:sz="6" w:space="0" w:color="auto"/>
            </w:tcBorders>
          </w:tcPr>
          <w:p w14:paraId="02D6CE7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05BBF35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167416D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7E9D480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accommodation type</w:t>
            </w:r>
          </w:p>
          <w:p w14:paraId="72E22B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municipality size</w:t>
            </w:r>
          </w:p>
          <w:p w14:paraId="69B51A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long-term activity limitation</w:t>
            </w:r>
          </w:p>
        </w:tc>
        <w:tc>
          <w:tcPr>
            <w:tcW w:w="990" w:type="dxa"/>
            <w:tcBorders>
              <w:top w:val="nil"/>
              <w:left w:val="single" w:sz="6" w:space="0" w:color="auto"/>
              <w:bottom w:val="single" w:sz="6" w:space="0" w:color="auto"/>
              <w:right w:val="single" w:sz="6" w:space="0" w:color="auto"/>
            </w:tcBorders>
          </w:tcPr>
          <w:p w14:paraId="63D0F66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2970" w:type="dxa"/>
            <w:gridSpan w:val="3"/>
            <w:tcBorders>
              <w:top w:val="nil"/>
              <w:left w:val="single" w:sz="6" w:space="0" w:color="auto"/>
              <w:bottom w:val="single" w:sz="6" w:space="0" w:color="auto"/>
              <w:right w:val="single" w:sz="6" w:space="0" w:color="auto"/>
            </w:tcBorders>
          </w:tcPr>
          <w:p w14:paraId="628A54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Use green space to exercise ( &gt;1 km vs &lt;300 m ): OR 0.71 , 0.60–0.83 , p&lt;.05 , Negative</w:t>
            </w:r>
          </w:p>
          <w:p w14:paraId="6FDB158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42D556C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Leisure-time MVPA ( 300 m–1 km vs &lt;300 m ): OR 0.88 , 0.79–0.98 , p&lt;.05 , Negative</w:t>
            </w:r>
          </w:p>
          <w:p w14:paraId="0D6FB50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11810DD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Leisure-time MVPA ( &gt;1 km vs &lt;300 m ): OR 0.85 , 0.70–1.04 , ns , Null</w:t>
            </w:r>
          </w:p>
        </w:tc>
        <w:tc>
          <w:tcPr>
            <w:tcW w:w="1530" w:type="dxa"/>
            <w:tcBorders>
              <w:top w:val="nil"/>
              <w:left w:val="single" w:sz="6" w:space="0" w:color="auto"/>
              <w:bottom w:val="single" w:sz="6" w:space="0" w:color="auto"/>
              <w:right w:val="single" w:sz="6" w:space="0" w:color="auto"/>
            </w:tcBorders>
          </w:tcPr>
          <w:p w14:paraId="1EFB9B7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Farther perceived distance generally associated with lower odds of green-space exercise and MVPA (significant for 300 m–1 km vs &lt;300 m).</w:t>
            </w:r>
          </w:p>
        </w:tc>
      </w:tr>
      <w:tr w:rsidR="0037619D" w:rsidRPr="000F3EBD" w14:paraId="00B141DA" w14:textId="77777777" w:rsidTr="003B2FCF">
        <w:trPr>
          <w:trHeight w:val="156"/>
        </w:trPr>
        <w:tc>
          <w:tcPr>
            <w:tcW w:w="1072" w:type="dxa"/>
            <w:tcBorders>
              <w:top w:val="nil"/>
              <w:left w:val="single" w:sz="6" w:space="0" w:color="auto"/>
              <w:bottom w:val="single" w:sz="6" w:space="0" w:color="auto"/>
              <w:right w:val="single" w:sz="6" w:space="0" w:color="auto"/>
            </w:tcBorders>
          </w:tcPr>
          <w:p w14:paraId="5ABB55B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Ribeiro et al.,</w:t>
            </w:r>
          </w:p>
          <w:p w14:paraId="5FD36D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2015</w:t>
            </w:r>
          </w:p>
        </w:tc>
        <w:tc>
          <w:tcPr>
            <w:tcW w:w="896" w:type="dxa"/>
            <w:tcBorders>
              <w:top w:val="nil"/>
              <w:left w:val="single" w:sz="6" w:space="0" w:color="auto"/>
              <w:bottom w:val="single" w:sz="6" w:space="0" w:color="auto"/>
              <w:right w:val="single" w:sz="6" w:space="0" w:color="auto"/>
            </w:tcBorders>
          </w:tcPr>
          <w:p w14:paraId="4D0E27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Portugal</w:t>
            </w:r>
          </w:p>
        </w:tc>
        <w:tc>
          <w:tcPr>
            <w:tcW w:w="899" w:type="dxa"/>
            <w:tcBorders>
              <w:top w:val="nil"/>
              <w:left w:val="single" w:sz="6" w:space="0" w:color="auto"/>
              <w:bottom w:val="single" w:sz="6" w:space="0" w:color="auto"/>
              <w:right w:val="single" w:sz="6" w:space="0" w:color="auto"/>
            </w:tcBorders>
          </w:tcPr>
          <w:p w14:paraId="331B13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30D9885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532</w:t>
            </w:r>
          </w:p>
        </w:tc>
        <w:tc>
          <w:tcPr>
            <w:tcW w:w="1028" w:type="dxa"/>
            <w:tcBorders>
              <w:top w:val="nil"/>
              <w:left w:val="single" w:sz="6" w:space="0" w:color="auto"/>
              <w:bottom w:val="single" w:sz="6" w:space="0" w:color="auto"/>
              <w:right w:val="single" w:sz="6" w:space="0" w:color="auto"/>
            </w:tcBorders>
          </w:tcPr>
          <w:p w14:paraId="244FCE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Older adults</w:t>
            </w:r>
          </w:p>
          <w:p w14:paraId="24B91D6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w:t>
            </w:r>
          </w:p>
        </w:tc>
        <w:tc>
          <w:tcPr>
            <w:tcW w:w="1446" w:type="dxa"/>
            <w:tcBorders>
              <w:top w:val="nil"/>
              <w:left w:val="single" w:sz="6" w:space="0" w:color="auto"/>
              <w:bottom w:val="single" w:sz="6" w:space="0" w:color="auto"/>
              <w:right w:val="single" w:sz="6" w:space="0" w:color="auto"/>
            </w:tcBorders>
          </w:tcPr>
          <w:p w14:paraId="6CAA3F6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(hectometers; 1 hm = 100 m) from home to nearest park</w:t>
            </w:r>
          </w:p>
        </w:tc>
        <w:tc>
          <w:tcPr>
            <w:tcW w:w="1080" w:type="dxa"/>
            <w:tcBorders>
              <w:top w:val="nil"/>
              <w:left w:val="single" w:sz="6" w:space="0" w:color="auto"/>
              <w:bottom w:val="single" w:sz="6" w:space="0" w:color="auto"/>
              <w:right w:val="single" w:sz="6" w:space="0" w:color="auto"/>
            </w:tcBorders>
          </w:tcPr>
          <w:p w14:paraId="5A50233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p w14:paraId="4F64077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(24 parks in municipality)</w:t>
            </w:r>
          </w:p>
        </w:tc>
        <w:tc>
          <w:tcPr>
            <w:tcW w:w="1080" w:type="dxa"/>
            <w:tcBorders>
              <w:top w:val="nil"/>
              <w:left w:val="single" w:sz="6" w:space="0" w:color="auto"/>
              <w:bottom w:val="single" w:sz="6" w:space="0" w:color="auto"/>
              <w:right w:val="single" w:sz="6" w:space="0" w:color="auto"/>
            </w:tcBorders>
          </w:tcPr>
          <w:p w14:paraId="4B7F3E3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GIS</w:t>
            </w:r>
          </w:p>
        </w:tc>
        <w:tc>
          <w:tcPr>
            <w:tcW w:w="1530" w:type="dxa"/>
            <w:tcBorders>
              <w:top w:val="nil"/>
              <w:left w:val="single" w:sz="6" w:space="0" w:color="auto"/>
              <w:bottom w:val="single" w:sz="6" w:space="0" w:color="auto"/>
              <w:right w:val="single" w:sz="6" w:space="0" w:color="auto"/>
            </w:tcBorders>
          </w:tcPr>
          <w:p w14:paraId="6B81AF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distance</w:t>
            </w:r>
          </w:p>
        </w:tc>
        <w:tc>
          <w:tcPr>
            <w:tcW w:w="1054" w:type="dxa"/>
            <w:tcBorders>
              <w:top w:val="nil"/>
              <w:left w:val="single" w:sz="6" w:space="0" w:color="auto"/>
              <w:bottom w:val="single" w:sz="6" w:space="0" w:color="auto"/>
              <w:right w:val="single" w:sz="6" w:space="0" w:color="auto"/>
            </w:tcBorders>
          </w:tcPr>
          <w:p w14:paraId="69272EF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102" w:type="dxa"/>
            <w:tcBorders>
              <w:top w:val="nil"/>
              <w:left w:val="single" w:sz="6" w:space="0" w:color="auto"/>
              <w:bottom w:val="single" w:sz="6" w:space="0" w:color="auto"/>
              <w:right w:val="single" w:sz="6" w:space="0" w:color="auto"/>
            </w:tcBorders>
          </w:tcPr>
          <w:p w14:paraId="1F42A91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5B5E3AB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PA (LTPA)</w:t>
            </w:r>
          </w:p>
        </w:tc>
        <w:tc>
          <w:tcPr>
            <w:tcW w:w="1350" w:type="dxa"/>
            <w:tcBorders>
              <w:top w:val="nil"/>
              <w:left w:val="single" w:sz="6" w:space="0" w:color="auto"/>
              <w:bottom w:val="single" w:sz="6" w:space="0" w:color="auto"/>
              <w:right w:val="single" w:sz="6" w:space="0" w:color="auto"/>
            </w:tcBorders>
          </w:tcPr>
          <w:p w14:paraId="48FE4F8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EPIPorto PA Questionnaire</w:t>
            </w:r>
          </w:p>
        </w:tc>
        <w:tc>
          <w:tcPr>
            <w:tcW w:w="1080" w:type="dxa"/>
            <w:tcBorders>
              <w:top w:val="nil"/>
              <w:left w:val="single" w:sz="6" w:space="0" w:color="auto"/>
              <w:bottom w:val="single" w:sz="6" w:space="0" w:color="auto"/>
              <w:right w:val="single" w:sz="6" w:space="0" w:color="auto"/>
            </w:tcBorders>
          </w:tcPr>
          <w:p w14:paraId="5F3D9C7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w:t>
            </w:r>
          </w:p>
        </w:tc>
        <w:tc>
          <w:tcPr>
            <w:tcW w:w="1350" w:type="dxa"/>
            <w:tcBorders>
              <w:top w:val="nil"/>
              <w:left w:val="single" w:sz="6" w:space="0" w:color="auto"/>
              <w:bottom w:val="single" w:sz="6" w:space="0" w:color="auto"/>
              <w:right w:val="single" w:sz="6" w:space="0" w:color="auto"/>
            </w:tcBorders>
          </w:tcPr>
          <w:p w14:paraId="59A9A5A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w:t>
            </w:r>
          </w:p>
          <w:p w14:paraId="5C44D8A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58374D9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5CA9518E"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retirement</w:t>
            </w:r>
          </w:p>
          <w:p w14:paraId="66AAA6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 years in Porto</w:t>
            </w:r>
          </w:p>
          <w:p w14:paraId="3BBE93E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comorbidities</w:t>
            </w:r>
          </w:p>
          <w:p w14:paraId="193C367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36026C9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w:t>
            </w:r>
          </w:p>
        </w:tc>
        <w:tc>
          <w:tcPr>
            <w:tcW w:w="990" w:type="dxa"/>
            <w:tcBorders>
              <w:top w:val="nil"/>
              <w:left w:val="single" w:sz="6" w:space="0" w:color="auto"/>
              <w:bottom w:val="single" w:sz="6" w:space="0" w:color="auto"/>
              <w:right w:val="single" w:sz="6" w:space="0" w:color="auto"/>
            </w:tcBorders>
          </w:tcPr>
          <w:p w14:paraId="160DA6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(linear coefficients for log LTPA);</w:t>
            </w:r>
          </w:p>
          <w:p w14:paraId="24C37DF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for participation</w:t>
            </w:r>
          </w:p>
        </w:tc>
        <w:tc>
          <w:tcPr>
            <w:tcW w:w="1260" w:type="dxa"/>
            <w:tcBorders>
              <w:top w:val="nil"/>
              <w:left w:val="single" w:sz="6" w:space="0" w:color="auto"/>
              <w:bottom w:val="single" w:sz="6" w:space="0" w:color="auto"/>
              <w:right w:val="single" w:sz="6" w:space="0" w:color="auto"/>
            </w:tcBorders>
          </w:tcPr>
          <w:p w14:paraId="66F9A6BD" w14:textId="4084F16A"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Women (active): Distance to nearest park β = −0.0262; p = 0.029 (per 1 hm = 100 m)</w:t>
            </w:r>
          </w:p>
          <w:p w14:paraId="1C253008" w14:textId="25DD9409"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Women (active): Distance to nearest non-residential destination β = −0.0735; p = 0.019</w:t>
            </w:r>
          </w:p>
          <w:p w14:paraId="59B06E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Men (active): Distance to nearest sport space β = 0.0462; p = </w:t>
              <w:lastRenderedPageBreak/>
              <w:t>0.032</w:t>
            </w:r>
          </w:p>
        </w:tc>
        <w:tc>
          <w:tcPr>
            <w:tcW w:w="900" w:type="dxa"/>
            <w:tcBorders>
              <w:top w:val="nil"/>
              <w:left w:val="single" w:sz="6" w:space="0" w:color="auto"/>
              <w:bottom w:val="single" w:sz="6" w:space="0" w:color="auto"/>
              <w:right w:val="single" w:sz="6" w:space="0" w:color="auto"/>
            </w:tcBorders>
          </w:tcPr>
          <w:p w14:paraId="608C55A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NR</w:t>
            </w:r>
          </w:p>
        </w:tc>
        <w:tc>
          <w:tcPr>
            <w:tcW w:w="810" w:type="dxa"/>
            <w:tcBorders>
              <w:top w:val="nil"/>
              <w:left w:val="single" w:sz="6" w:space="0" w:color="auto"/>
              <w:bottom w:val="single" w:sz="6" w:space="0" w:color="auto"/>
              <w:right w:val="single" w:sz="6" w:space="0" w:color="auto"/>
            </w:tcBorders>
          </w:tcPr>
          <w:p w14:paraId="02BDEA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530" w:type="dxa"/>
            <w:tcBorders>
              <w:top w:val="nil"/>
              <w:left w:val="single" w:sz="6" w:space="0" w:color="auto"/>
              <w:bottom w:val="single" w:sz="6" w:space="0" w:color="auto"/>
              <w:right w:val="single" w:sz="6" w:space="0" w:color="auto"/>
            </w:tcBorders>
          </w:tcPr>
          <w:p w14:paraId="4ADE5C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Greater distance → less LTPA time in women (parks; destinations);</w:t>
            </w:r>
          </w:p>
          <w:p w14:paraId="4F9B278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no greenspace distance effect on participation; </w:t>
            </w:r>
          </w:p>
          <w:p w14:paraId="0E48249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counterintuitive positive for men with sport spaces</w:t>
            </w:r>
          </w:p>
        </w:tc>
      </w:tr>
      <w:tr w:rsidR="0037619D" w:rsidRPr="000F3EBD" w14:paraId="4414C145" w14:textId="77777777" w:rsidTr="00693EBB">
        <w:trPr>
          <w:trHeight w:val="3387"/>
        </w:trPr>
        <w:tc>
          <w:tcPr>
            <w:tcW w:w="1072" w:type="dxa"/>
            <w:tcBorders>
              <w:top w:val="nil"/>
              <w:left w:val="single" w:sz="6" w:space="0" w:color="auto"/>
              <w:bottom w:val="single" w:sz="6" w:space="0" w:color="auto"/>
              <w:right w:val="single" w:sz="6" w:space="0" w:color="auto"/>
            </w:tcBorders>
          </w:tcPr>
          <w:p w14:paraId="2B37FF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Xiao et al.,</w:t>
            </w:r>
          </w:p>
          <w:p w14:paraId="1E43013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2022</w:t>
            </w:r>
          </w:p>
        </w:tc>
        <w:tc>
          <w:tcPr>
            <w:tcW w:w="896" w:type="dxa"/>
            <w:tcBorders>
              <w:top w:val="nil"/>
              <w:left w:val="single" w:sz="6" w:space="0" w:color="auto"/>
              <w:bottom w:val="single" w:sz="6" w:space="0" w:color="auto"/>
              <w:right w:val="single" w:sz="6" w:space="0" w:color="auto"/>
            </w:tcBorders>
          </w:tcPr>
          <w:p w14:paraId="0B92356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China</w:t>
            </w:r>
          </w:p>
        </w:tc>
        <w:tc>
          <w:tcPr>
            <w:tcW w:w="899" w:type="dxa"/>
            <w:tcBorders>
              <w:top w:val="nil"/>
              <w:left w:val="single" w:sz="6" w:space="0" w:color="auto"/>
              <w:bottom w:val="single" w:sz="6" w:space="0" w:color="auto"/>
              <w:right w:val="single" w:sz="6" w:space="0" w:color="auto"/>
            </w:tcBorders>
          </w:tcPr>
          <w:p w14:paraId="03172B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2AEA2B5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4,555</w:t>
            </w:r>
          </w:p>
        </w:tc>
        <w:tc>
          <w:tcPr>
            <w:tcW w:w="1028" w:type="dxa"/>
            <w:tcBorders>
              <w:top w:val="nil"/>
              <w:left w:val="single" w:sz="6" w:space="0" w:color="auto"/>
              <w:bottom w:val="single" w:sz="6" w:space="0" w:color="auto"/>
              <w:right w:val="single" w:sz="6" w:space="0" w:color="auto"/>
            </w:tcBorders>
          </w:tcPr>
          <w:p w14:paraId="748C600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Older adults</w:t>
            </w:r>
          </w:p>
          <w:p w14:paraId="484E1D4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50–95</w:t>
            </w:r>
          </w:p>
        </w:tc>
        <w:tc>
          <w:tcPr>
            <w:tcW w:w="1446" w:type="dxa"/>
            <w:tcBorders>
              <w:top w:val="nil"/>
              <w:left w:val="single" w:sz="6" w:space="0" w:color="auto"/>
              <w:bottom w:val="single" w:sz="6" w:space="0" w:color="auto"/>
              <w:right w:val="single" w:sz="6" w:space="0" w:color="auto"/>
            </w:tcBorders>
          </w:tcPr>
          <w:p w14:paraId="77C68F7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proximity = distance (km) from community centroid to nearest park</w:t>
            </w:r>
          </w:p>
        </w:tc>
        <w:tc>
          <w:tcPr>
            <w:tcW w:w="1080" w:type="dxa"/>
            <w:tcBorders>
              <w:top w:val="nil"/>
              <w:left w:val="single" w:sz="6" w:space="0" w:color="auto"/>
              <w:bottom w:val="single" w:sz="6" w:space="0" w:color="auto"/>
              <w:right w:val="single" w:sz="6" w:space="0" w:color="auto"/>
            </w:tcBorders>
          </w:tcPr>
          <w:p w14:paraId="177A1A6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public parks</w:t>
            </w:r>
          </w:p>
        </w:tc>
        <w:tc>
          <w:tcPr>
            <w:tcW w:w="1080" w:type="dxa"/>
            <w:tcBorders>
              <w:top w:val="nil"/>
              <w:left w:val="single" w:sz="6" w:space="0" w:color="auto"/>
              <w:bottom w:val="single" w:sz="6" w:space="0" w:color="auto"/>
              <w:right w:val="single" w:sz="6" w:space="0" w:color="auto"/>
            </w:tcBorders>
          </w:tcPr>
          <w:p w14:paraId="4252A86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cadastral park map</w:t>
            </w:r>
          </w:p>
        </w:tc>
        <w:tc>
          <w:tcPr>
            <w:tcW w:w="1530" w:type="dxa"/>
            <w:tcBorders>
              <w:top w:val="nil"/>
              <w:left w:val="single" w:sz="6" w:space="0" w:color="auto"/>
              <w:bottom w:val="single" w:sz="6" w:space="0" w:color="auto"/>
              <w:right w:val="single" w:sz="6" w:space="0" w:color="auto"/>
            </w:tcBorders>
          </w:tcPr>
          <w:p w14:paraId="7813FF0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distance from community geometric center</w:t>
            </w:r>
          </w:p>
        </w:tc>
        <w:tc>
          <w:tcPr>
            <w:tcW w:w="1054" w:type="dxa"/>
            <w:tcBorders>
              <w:top w:val="nil"/>
              <w:left w:val="single" w:sz="6" w:space="0" w:color="auto"/>
              <w:bottom w:val="single" w:sz="6" w:space="0" w:color="auto"/>
              <w:right w:val="single" w:sz="6" w:space="0" w:color="auto"/>
            </w:tcBorders>
          </w:tcPr>
          <w:p w14:paraId="322B16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102" w:type="dxa"/>
            <w:tcBorders>
              <w:top w:val="nil"/>
              <w:left w:val="single" w:sz="6" w:space="0" w:color="auto"/>
              <w:bottom w:val="single" w:sz="6" w:space="0" w:color="auto"/>
              <w:right w:val="single" w:sz="6" w:space="0" w:color="auto"/>
            </w:tcBorders>
          </w:tcPr>
          <w:p w14:paraId="3A144C3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37BCC7F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Recreational PA</w:t>
            </w:r>
          </w:p>
          <w:p w14:paraId="60508E2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transportation</w:t>
            </w:r>
          </w:p>
        </w:tc>
        <w:tc>
          <w:tcPr>
            <w:tcW w:w="1350" w:type="dxa"/>
            <w:tcBorders>
              <w:top w:val="nil"/>
              <w:left w:val="single" w:sz="6" w:space="0" w:color="auto"/>
              <w:bottom w:val="single" w:sz="6" w:space="0" w:color="auto"/>
              <w:right w:val="single" w:sz="6" w:space="0" w:color="auto"/>
            </w:tcBorders>
          </w:tcPr>
          <w:p w14:paraId="0D6B0B5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WHO GPAQ (self-report) with MET conversion</w:t>
            </w:r>
          </w:p>
        </w:tc>
        <w:tc>
          <w:tcPr>
            <w:tcW w:w="1080" w:type="dxa"/>
            <w:tcBorders>
              <w:top w:val="nil"/>
              <w:left w:val="single" w:sz="6" w:space="0" w:color="auto"/>
              <w:bottom w:val="single" w:sz="6" w:space="0" w:color="auto"/>
              <w:right w:val="single" w:sz="6" w:space="0" w:color="auto"/>
            </w:tcBorders>
          </w:tcPr>
          <w:p w14:paraId="5E9F153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Two-part multilevel</w:t>
            </w:r>
          </w:p>
        </w:tc>
        <w:tc>
          <w:tcPr>
            <w:tcW w:w="1350" w:type="dxa"/>
            <w:tcBorders>
              <w:top w:val="nil"/>
              <w:left w:val="single" w:sz="6" w:space="0" w:color="auto"/>
              <w:bottom w:val="single" w:sz="6" w:space="0" w:color="auto"/>
              <w:right w:val="single" w:sz="6" w:space="0" w:color="auto"/>
            </w:tcBorders>
          </w:tcPr>
          <w:p w14:paraId="17FEE96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Self-rated health,</w:t>
            </w:r>
          </w:p>
          <w:p w14:paraId="294CF44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084321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12616FF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3F10831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job</w:t>
            </w:r>
          </w:p>
          <w:p w14:paraId="7782AE1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6B5DE89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CB1F93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road density</w:t>
            </w:r>
          </w:p>
          <w:p w14:paraId="22B1E07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public transport</w:t>
            </w:r>
          </w:p>
          <w:p w14:paraId="1CFDCF6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 area</w:t>
            </w:r>
          </w:p>
          <w:p w14:paraId="500ACB3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land-use mix</w:t>
            </w:r>
          </w:p>
          <w:p w14:paraId="4923795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at work</w:t>
            </w:r>
          </w:p>
        </w:tc>
        <w:tc>
          <w:tcPr>
            <w:tcW w:w="990" w:type="dxa"/>
            <w:tcBorders>
              <w:top w:val="nil"/>
              <w:left w:val="single" w:sz="6" w:space="0" w:color="auto"/>
              <w:bottom w:val="single" w:sz="6" w:space="0" w:color="auto"/>
              <w:right w:val="single" w:sz="6" w:space="0" w:color="auto"/>
            </w:tcBorders>
          </w:tcPr>
          <w:p w14:paraId="70F2CF7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E0D6E9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β (with t)</w:t>
            </w:r>
          </w:p>
        </w:tc>
        <w:tc>
          <w:tcPr>
            <w:tcW w:w="2970" w:type="dxa"/>
            <w:gridSpan w:val="3"/>
            <w:tcBorders>
              <w:top w:val="nil"/>
              <w:left w:val="single" w:sz="6" w:space="0" w:color="auto"/>
              <w:bottom w:val="single" w:sz="6" w:space="0" w:color="auto"/>
              <w:right w:val="single" w:sz="6" w:space="0" w:color="auto"/>
            </w:tcBorders>
          </w:tcPr>
          <w:p w14:paraId="545905A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 amount vs. park proximity (linear): β = −0.038; p&lt;0.001 (t=−3.78).</w:t>
            </w:r>
          </w:p>
        </w:tc>
        <w:tc>
          <w:tcPr>
            <w:tcW w:w="1530" w:type="dxa"/>
            <w:tcBorders>
              <w:top w:val="nil"/>
              <w:left w:val="single" w:sz="6" w:space="0" w:color="auto"/>
              <w:bottom w:val="single" w:sz="6" w:space="0" w:color="auto"/>
              <w:right w:val="single" w:sz="6" w:space="0" w:color="auto"/>
            </w:tcBorders>
          </w:tcPr>
          <w:p w14:paraId="763AAD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Closer parks → higher recreational PA</w:t>
            </w:r>
          </w:p>
        </w:tc>
      </w:tr>
      <w:tr w:rsidR="0037619D" w:rsidRPr="000F3EBD" w14:paraId="7A9C935D" w14:textId="77777777" w:rsidTr="003B2FCF">
        <w:trPr>
          <w:trHeight w:val="3297"/>
        </w:trPr>
        <w:tc>
          <w:tcPr>
            <w:tcW w:w="1072" w:type="dxa"/>
            <w:tcBorders>
              <w:top w:val="nil"/>
              <w:left w:val="single" w:sz="6" w:space="0" w:color="auto"/>
              <w:bottom w:val="single" w:sz="6" w:space="0" w:color="auto"/>
              <w:right w:val="single" w:sz="6" w:space="0" w:color="auto"/>
            </w:tcBorders>
          </w:tcPr>
          <w:p w14:paraId="6B47524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Zuniga-Teran et al.,</w:t>
            </w:r>
          </w:p>
          <w:p w14:paraId="2A2B477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2019</w:t>
            </w:r>
          </w:p>
        </w:tc>
        <w:tc>
          <w:tcPr>
            <w:tcW w:w="896" w:type="dxa"/>
            <w:tcBorders>
              <w:top w:val="nil"/>
              <w:left w:val="single" w:sz="6" w:space="0" w:color="auto"/>
              <w:bottom w:val="single" w:sz="6" w:space="0" w:color="auto"/>
              <w:right w:val="single" w:sz="6" w:space="0" w:color="auto"/>
            </w:tcBorders>
          </w:tcPr>
          <w:p w14:paraId="5960FDB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78F12CE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7540C8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412</w:t>
            </w:r>
          </w:p>
        </w:tc>
        <w:tc>
          <w:tcPr>
            <w:tcW w:w="1028" w:type="dxa"/>
            <w:tcBorders>
              <w:top w:val="nil"/>
              <w:left w:val="single" w:sz="6" w:space="0" w:color="auto"/>
              <w:bottom w:val="single" w:sz="6" w:space="0" w:color="auto"/>
              <w:right w:val="single" w:sz="6" w:space="0" w:color="auto"/>
            </w:tcBorders>
          </w:tcPr>
          <w:p w14:paraId="4E709D6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51548CB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w:t>
            </w:r>
          </w:p>
        </w:tc>
        <w:tc>
          <w:tcPr>
            <w:tcW w:w="1446" w:type="dxa"/>
            <w:tcBorders>
              <w:top w:val="nil"/>
              <w:left w:val="single" w:sz="6" w:space="0" w:color="auto"/>
              <w:bottom w:val="single" w:sz="6" w:space="0" w:color="auto"/>
              <w:right w:val="single" w:sz="6" w:space="0" w:color="auto"/>
            </w:tcBorders>
          </w:tcPr>
          <w:p w14:paraId="33A7C0D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distance to nearest greenspace (¼ mile, ½ mile, &gt;½ mile)</w:t>
            </w:r>
          </w:p>
          <w:p w14:paraId="459EE3CF"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walkability (traffic safety, surveillance community</w:t>
            </w:r>
          </w:p>
          <w:p w14:paraId="7B9649E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land-use)</w:t>
            </w:r>
          </w:p>
          <w:p w14:paraId="4F9DE44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mode to greenspace (walk/bike/drive)</w:t>
            </w:r>
          </w:p>
        </w:tc>
        <w:tc>
          <w:tcPr>
            <w:tcW w:w="1080" w:type="dxa"/>
            <w:tcBorders>
              <w:top w:val="nil"/>
              <w:left w:val="single" w:sz="6" w:space="0" w:color="auto"/>
              <w:bottom w:val="single" w:sz="6" w:space="0" w:color="auto"/>
              <w:right w:val="single" w:sz="6" w:space="0" w:color="auto"/>
            </w:tcBorders>
          </w:tcPr>
          <w:p w14:paraId="774A7A6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greenspace/parks</w:t>
            </w:r>
          </w:p>
        </w:tc>
        <w:tc>
          <w:tcPr>
            <w:tcW w:w="1080" w:type="dxa"/>
            <w:tcBorders>
              <w:top w:val="nil"/>
              <w:left w:val="single" w:sz="6" w:space="0" w:color="auto"/>
              <w:bottom w:val="single" w:sz="6" w:space="0" w:color="auto"/>
              <w:right w:val="single" w:sz="6" w:space="0" w:color="auto"/>
            </w:tcBorders>
          </w:tcPr>
          <w:p w14:paraId="7F47F8F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(perceived distance)</w:t>
            </w:r>
          </w:p>
        </w:tc>
        <w:tc>
          <w:tcPr>
            <w:tcW w:w="1530" w:type="dxa"/>
            <w:tcBorders>
              <w:top w:val="nil"/>
              <w:left w:val="single" w:sz="6" w:space="0" w:color="auto"/>
              <w:bottom w:val="single" w:sz="6" w:space="0" w:color="auto"/>
              <w:right w:val="single" w:sz="6" w:space="0" w:color="auto"/>
            </w:tcBorders>
          </w:tcPr>
          <w:p w14:paraId="0726493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categorical walking distance</w:t>
            </w:r>
          </w:p>
        </w:tc>
        <w:tc>
          <w:tcPr>
            <w:tcW w:w="1054" w:type="dxa"/>
            <w:tcBorders>
              <w:top w:val="nil"/>
              <w:left w:val="single" w:sz="6" w:space="0" w:color="auto"/>
              <w:bottom w:val="single" w:sz="6" w:space="0" w:color="auto"/>
              <w:right w:val="single" w:sz="6" w:space="0" w:color="auto"/>
            </w:tcBorders>
          </w:tcPr>
          <w:p w14:paraId="62D45D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¼ mile (~5-min walk),</w:t>
            </w:r>
          </w:p>
          <w:p w14:paraId="0809A9D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½ mile (~10-min walk),</w:t>
            </w:r>
          </w:p>
          <w:p w14:paraId="75C5EEF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&gt;½ mile</w:t>
            </w:r>
          </w:p>
        </w:tc>
        <w:tc>
          <w:tcPr>
            <w:tcW w:w="1102" w:type="dxa"/>
            <w:tcBorders>
              <w:top w:val="nil"/>
              <w:left w:val="single" w:sz="6" w:space="0" w:color="auto"/>
              <w:bottom w:val="single" w:sz="6" w:space="0" w:color="auto"/>
              <w:right w:val="single" w:sz="6" w:space="0" w:color="auto"/>
            </w:tcBorders>
          </w:tcPr>
          <w:p w14:paraId="456DE46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23E03FB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PA-related behavior proxy</w:t>
            </w:r>
          </w:p>
        </w:tc>
        <w:tc>
          <w:tcPr>
            <w:tcW w:w="1350" w:type="dxa"/>
            <w:tcBorders>
              <w:top w:val="nil"/>
              <w:left w:val="single" w:sz="6" w:space="0" w:color="auto"/>
              <w:bottom w:val="single" w:sz="6" w:space="0" w:color="auto"/>
              <w:right w:val="single" w:sz="6" w:space="0" w:color="auto"/>
            </w:tcBorders>
          </w:tcPr>
          <w:p w14:paraId="6CF9832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binary items for each frequency level</w:t>
            </w:r>
          </w:p>
        </w:tc>
        <w:tc>
          <w:tcPr>
            <w:tcW w:w="1080" w:type="dxa"/>
            <w:tcBorders>
              <w:top w:val="nil"/>
              <w:left w:val="single" w:sz="6" w:space="0" w:color="auto"/>
              <w:bottom w:val="single" w:sz="6" w:space="0" w:color="auto"/>
              <w:right w:val="single" w:sz="6" w:space="0" w:color="auto"/>
            </w:tcBorders>
          </w:tcPr>
          <w:p w14:paraId="3B2985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logistic regressions</w:t>
            </w:r>
          </w:p>
        </w:tc>
        <w:tc>
          <w:tcPr>
            <w:tcW w:w="1350" w:type="dxa"/>
            <w:tcBorders>
              <w:top w:val="nil"/>
              <w:left w:val="single" w:sz="6" w:space="0" w:color="auto"/>
              <w:bottom w:val="single" w:sz="6" w:space="0" w:color="auto"/>
              <w:right w:val="single" w:sz="6" w:space="0" w:color="auto"/>
            </w:tcBorders>
          </w:tcPr>
          <w:p w14:paraId="42EF7B3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78579D3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543625F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ethnicity</w:t>
            </w:r>
          </w:p>
          <w:p w14:paraId="3C5B1B0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0E2861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3E3872B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at home</w:t>
            </w:r>
          </w:p>
          <w:p w14:paraId="169648F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dog walking</w:t>
            </w:r>
          </w:p>
          <w:p w14:paraId="1E79640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car access</w:t>
            </w:r>
          </w:p>
          <w:p w14:paraId="31FF1A8A"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time in neighborhood</w:t>
            </w:r>
          </w:p>
          <w:p w14:paraId="22A9EA3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walkability </w:t>
            </w:r>
          </w:p>
          <w:p w14:paraId="6B8BF2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physical activity</w:t>
            </w:r>
          </w:p>
          <w:p w14:paraId="72DAC95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90" w:type="dxa"/>
            <w:tcBorders>
              <w:top w:val="nil"/>
              <w:left w:val="single" w:sz="6" w:space="0" w:color="auto"/>
              <w:bottom w:val="single" w:sz="6" w:space="0" w:color="auto"/>
              <w:right w:val="single" w:sz="6" w:space="0" w:color="auto"/>
            </w:tcBorders>
          </w:tcPr>
          <w:p w14:paraId="4E6ADAF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4500" w:type="dxa"/>
            <w:gridSpan w:val="4"/>
            <w:tcBorders>
              <w:top w:val="nil"/>
              <w:left w:val="single" w:sz="6" w:space="0" w:color="auto"/>
              <w:bottom w:val="single" w:sz="6" w:space="0" w:color="auto"/>
              <w:right w:val="single" w:sz="6" w:space="0" w:color="auto"/>
            </w:tcBorders>
          </w:tcPr>
          <w:p w14:paraId="745EC6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Greenspace users — Proximity → Daily visitation: OR 6.298 (β=1.840, SE=0.831); p&lt;0.05; positive.</w:t>
            </w:r>
          </w:p>
          <w:p w14:paraId="72EFA3E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E70DB5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Mode (selected): Residents walking→Daily OR 3.556 (p&lt;0.10); Users biking→Weekly OR 21.513 (p&lt;0.05); Users driving→Weekly OR 40.215 (p&lt;0.01).</w:t>
            </w:r>
          </w:p>
        </w:tc>
      </w:tr>
      <w:tr w:rsidR="0037619D" w:rsidRPr="000F3EBD" w14:paraId="4FFAB213" w14:textId="77777777" w:rsidTr="00A136E2">
        <w:trPr>
          <w:trHeight w:val="1956"/>
        </w:trPr>
        <w:tc>
          <w:tcPr>
            <w:tcW w:w="1072" w:type="dxa"/>
            <w:tcBorders>
              <w:top w:val="nil"/>
              <w:left w:val="single" w:sz="6" w:space="0" w:color="auto"/>
              <w:bottom w:val="single" w:sz="6" w:space="0" w:color="auto"/>
              <w:right w:val="single" w:sz="6" w:space="0" w:color="auto"/>
            </w:tcBorders>
          </w:tcPr>
          <w:p w14:paraId="63CE5E7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Dadvand et al.,</w:t>
            </w:r>
          </w:p>
          <w:p w14:paraId="7F0B6C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2016</w:t>
            </w:r>
          </w:p>
        </w:tc>
        <w:tc>
          <w:tcPr>
            <w:tcW w:w="896" w:type="dxa"/>
            <w:tcBorders>
              <w:top w:val="nil"/>
              <w:left w:val="single" w:sz="6" w:space="0" w:color="auto"/>
              <w:bottom w:val="single" w:sz="6" w:space="0" w:color="auto"/>
              <w:right w:val="single" w:sz="6" w:space="0" w:color="auto"/>
            </w:tcBorders>
          </w:tcPr>
          <w:p w14:paraId="7456DF7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Spain</w:t>
            </w:r>
          </w:p>
        </w:tc>
        <w:tc>
          <w:tcPr>
            <w:tcW w:w="899" w:type="dxa"/>
            <w:tcBorders>
              <w:top w:val="nil"/>
              <w:left w:val="single" w:sz="6" w:space="0" w:color="auto"/>
              <w:bottom w:val="single" w:sz="6" w:space="0" w:color="auto"/>
              <w:right w:val="single" w:sz="6" w:space="0" w:color="auto"/>
            </w:tcBorders>
          </w:tcPr>
          <w:p w14:paraId="43C754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10F4F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3,461</w:t>
            </w:r>
          </w:p>
        </w:tc>
        <w:tc>
          <w:tcPr>
            <w:tcW w:w="1028" w:type="dxa"/>
            <w:tcBorders>
              <w:top w:val="nil"/>
              <w:left w:val="single" w:sz="6" w:space="0" w:color="auto"/>
              <w:bottom w:val="single" w:sz="6" w:space="0" w:color="auto"/>
              <w:right w:val="single" w:sz="6" w:space="0" w:color="auto"/>
            </w:tcBorders>
          </w:tcPr>
          <w:p w14:paraId="535CF6E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3078739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 years</w:t>
            </w:r>
          </w:p>
        </w:tc>
        <w:tc>
          <w:tcPr>
            <w:tcW w:w="1446" w:type="dxa"/>
            <w:tcBorders>
              <w:top w:val="nil"/>
              <w:left w:val="single" w:sz="6" w:space="0" w:color="auto"/>
              <w:bottom w:val="single" w:sz="6" w:space="0" w:color="auto"/>
              <w:right w:val="single" w:sz="6" w:space="0" w:color="auto"/>
            </w:tcBorders>
          </w:tcPr>
          <w:p w14:paraId="13F0BF6E" w14:textId="00543241" w:rsidR="0037619D" w:rsidRPr="000F3EBD" w:rsidRDefault="0037619D"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Subjective proximity: park within 10-min walk (yes/no)</w:t>
            </w:r>
          </w:p>
          <w:p w14:paraId="15EC8E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proximity: home within 300 m of major green space (≥5,000 m²) (yes/no)</w:t>
            </w:r>
          </w:p>
        </w:tc>
        <w:tc>
          <w:tcPr>
            <w:tcW w:w="1080" w:type="dxa"/>
            <w:tcBorders>
              <w:top w:val="nil"/>
              <w:left w:val="single" w:sz="6" w:space="0" w:color="auto"/>
              <w:bottom w:val="single" w:sz="6" w:space="0" w:color="auto"/>
              <w:right w:val="single" w:sz="6" w:space="0" w:color="auto"/>
            </w:tcBorders>
          </w:tcPr>
          <w:p w14:paraId="2F2DCAB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Major public green spaces</w:t>
            </w:r>
          </w:p>
        </w:tc>
        <w:tc>
          <w:tcPr>
            <w:tcW w:w="1080" w:type="dxa"/>
            <w:tcBorders>
              <w:top w:val="nil"/>
              <w:left w:val="single" w:sz="6" w:space="0" w:color="auto"/>
              <w:bottom w:val="single" w:sz="6" w:space="0" w:color="auto"/>
              <w:right w:val="single" w:sz="6" w:space="0" w:color="auto"/>
            </w:tcBorders>
          </w:tcPr>
          <w:p w14:paraId="0AC5F22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Barcelona Parks &amp; Gardens map</w:t>
            </w:r>
          </w:p>
        </w:tc>
        <w:tc>
          <w:tcPr>
            <w:tcW w:w="1530" w:type="dxa"/>
            <w:tcBorders>
              <w:top w:val="nil"/>
              <w:left w:val="single" w:sz="6" w:space="0" w:color="auto"/>
              <w:bottom w:val="single" w:sz="6" w:space="0" w:color="auto"/>
              <w:right w:val="single" w:sz="6" w:space="0" w:color="auto"/>
            </w:tcBorders>
          </w:tcPr>
          <w:p w14:paraId="66E83DD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proximity via Euclidean distance</w:t>
            </w:r>
          </w:p>
        </w:tc>
        <w:tc>
          <w:tcPr>
            <w:tcW w:w="1054" w:type="dxa"/>
            <w:tcBorders>
              <w:top w:val="nil"/>
              <w:left w:val="single" w:sz="6" w:space="0" w:color="auto"/>
              <w:bottom w:val="single" w:sz="6" w:space="0" w:color="auto"/>
              <w:right w:val="single" w:sz="6" w:space="0" w:color="auto"/>
            </w:tcBorders>
          </w:tcPr>
          <w:p w14:paraId="7699B3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10-min walk (subjective);</w:t>
            </w:r>
          </w:p>
          <w:p w14:paraId="0176F84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300 m (objective)</w:t>
            </w:r>
          </w:p>
        </w:tc>
        <w:tc>
          <w:tcPr>
            <w:tcW w:w="1102" w:type="dxa"/>
            <w:tcBorders>
              <w:top w:val="nil"/>
              <w:left w:val="single" w:sz="6" w:space="0" w:color="auto"/>
              <w:bottom w:val="single" w:sz="6" w:space="0" w:color="auto"/>
              <w:right w:val="single" w:sz="6" w:space="0" w:color="auto"/>
            </w:tcBorders>
          </w:tcPr>
          <w:p w14:paraId="4C1F8DB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718B873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Moderate/high PA vs low (binary)</w:t>
            </w:r>
          </w:p>
        </w:tc>
        <w:tc>
          <w:tcPr>
            <w:tcW w:w="1350" w:type="dxa"/>
            <w:tcBorders>
              <w:top w:val="nil"/>
              <w:left w:val="single" w:sz="6" w:space="0" w:color="auto"/>
              <w:bottom w:val="single" w:sz="6" w:space="0" w:color="auto"/>
              <w:right w:val="single" w:sz="6" w:space="0" w:color="auto"/>
            </w:tcBorders>
          </w:tcPr>
          <w:p w14:paraId="10CFD62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IPAQ-Short (self-report)</w:t>
            </w:r>
          </w:p>
        </w:tc>
        <w:tc>
          <w:tcPr>
            <w:tcW w:w="1080" w:type="dxa"/>
            <w:tcBorders>
              <w:top w:val="nil"/>
              <w:left w:val="single" w:sz="6" w:space="0" w:color="auto"/>
              <w:bottom w:val="single" w:sz="6" w:space="0" w:color="auto"/>
              <w:right w:val="single" w:sz="6" w:space="0" w:color="auto"/>
            </w:tcBorders>
          </w:tcPr>
          <w:p w14:paraId="10564E7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350" w:type="dxa"/>
            <w:tcBorders>
              <w:top w:val="nil"/>
              <w:left w:val="single" w:sz="6" w:space="0" w:color="auto"/>
              <w:bottom w:val="single" w:sz="6" w:space="0" w:color="auto"/>
              <w:right w:val="single" w:sz="6" w:space="0" w:color="auto"/>
            </w:tcBorders>
          </w:tcPr>
          <w:p w14:paraId="5A0DC2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CDCAEE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192F6C2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4B54D48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SES (household income tertiles)</w:t>
            </w:r>
          </w:p>
        </w:tc>
        <w:tc>
          <w:tcPr>
            <w:tcW w:w="990" w:type="dxa"/>
            <w:tcBorders>
              <w:top w:val="nil"/>
              <w:left w:val="single" w:sz="6" w:space="0" w:color="auto"/>
              <w:bottom w:val="single" w:sz="6" w:space="0" w:color="auto"/>
              <w:right w:val="single" w:sz="6" w:space="0" w:color="auto"/>
            </w:tcBorders>
          </w:tcPr>
          <w:p w14:paraId="106A405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2970" w:type="dxa"/>
            <w:gridSpan w:val="3"/>
            <w:tcBorders>
              <w:top w:val="nil"/>
              <w:left w:val="single" w:sz="6" w:space="0" w:color="auto"/>
              <w:bottom w:val="single" w:sz="6" w:space="0" w:color="auto"/>
              <w:right w:val="single" w:sz="6" w:space="0" w:color="auto"/>
            </w:tcBorders>
          </w:tcPr>
          <w:p w14:paraId="573443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Subjective proximity (10-min park): OR 1.52 | 1.05–2.19 | &lt;0.05 | Positive</w:t>
            </w:r>
          </w:p>
          <w:p w14:paraId="0B12ECB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700F62D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proximity (≤300 m, ≥5,000 m²): OR 1.33 | 0.96–1.83 | 0.10 | Null (ns)</w:t>
            </w:r>
          </w:p>
        </w:tc>
        <w:tc>
          <w:tcPr>
            <w:tcW w:w="1530" w:type="dxa"/>
            <w:tcBorders>
              <w:top w:val="nil"/>
              <w:left w:val="single" w:sz="6" w:space="0" w:color="auto"/>
              <w:bottom w:val="single" w:sz="6" w:space="0" w:color="auto"/>
              <w:right w:val="single" w:sz="6" w:space="0" w:color="auto"/>
            </w:tcBorders>
          </w:tcPr>
          <w:p w14:paraId="1950E8A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Closer/perceived access  → higher odds of moderate/high PA (objective proximity ns).</w:t>
            </w:r>
          </w:p>
        </w:tc>
      </w:tr>
      <w:tr w:rsidR="0037619D" w:rsidRPr="000F3EBD" w14:paraId="390DEF11" w14:textId="77777777" w:rsidTr="003B2FCF">
        <w:trPr>
          <w:trHeight w:val="3216"/>
        </w:trPr>
        <w:tc>
          <w:tcPr>
            <w:tcW w:w="1072" w:type="dxa"/>
            <w:tcBorders>
              <w:top w:val="nil"/>
              <w:left w:val="single" w:sz="6" w:space="0" w:color="auto"/>
              <w:bottom w:val="single" w:sz="6" w:space="0" w:color="auto"/>
              <w:right w:val="single" w:sz="6" w:space="0" w:color="auto"/>
            </w:tcBorders>
          </w:tcPr>
          <w:p w14:paraId="5F8E677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Sugiyama et al.,</w:t>
            </w:r>
          </w:p>
          <w:p w14:paraId="7523C43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896" w:type="dxa"/>
            <w:tcBorders>
              <w:top w:val="nil"/>
              <w:left w:val="single" w:sz="6" w:space="0" w:color="auto"/>
              <w:bottom w:val="single" w:sz="6" w:space="0" w:color="auto"/>
              <w:right w:val="single" w:sz="6" w:space="0" w:color="auto"/>
            </w:tcBorders>
          </w:tcPr>
          <w:p w14:paraId="782ACA6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899" w:type="dxa"/>
            <w:tcBorders>
              <w:top w:val="nil"/>
              <w:left w:val="single" w:sz="6" w:space="0" w:color="auto"/>
              <w:bottom w:val="single" w:sz="6" w:space="0" w:color="auto"/>
              <w:right w:val="single" w:sz="6" w:space="0" w:color="auto"/>
            </w:tcBorders>
          </w:tcPr>
          <w:p w14:paraId="1CA4484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4-year longitudinal cohort</w:t>
            </w:r>
          </w:p>
        </w:tc>
        <w:tc>
          <w:tcPr>
            <w:tcW w:w="771" w:type="dxa"/>
            <w:tcBorders>
              <w:top w:val="nil"/>
              <w:left w:val="single" w:sz="6" w:space="0" w:color="auto"/>
              <w:bottom w:val="single" w:sz="6" w:space="0" w:color="auto"/>
              <w:right w:val="single" w:sz="6" w:space="0" w:color="auto"/>
            </w:tcBorders>
          </w:tcPr>
          <w:p w14:paraId="6576C5A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1,036</w:t>
            </w:r>
          </w:p>
        </w:tc>
        <w:tc>
          <w:tcPr>
            <w:tcW w:w="1028" w:type="dxa"/>
            <w:tcBorders>
              <w:top w:val="nil"/>
              <w:left w:val="single" w:sz="6" w:space="0" w:color="auto"/>
              <w:bottom w:val="single" w:sz="6" w:space="0" w:color="auto"/>
              <w:right w:val="single" w:sz="6" w:space="0" w:color="auto"/>
            </w:tcBorders>
          </w:tcPr>
          <w:p w14:paraId="188998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71A836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tc>
        <w:tc>
          <w:tcPr>
            <w:tcW w:w="1446" w:type="dxa"/>
            <w:tcBorders>
              <w:top w:val="nil"/>
              <w:left w:val="single" w:sz="6" w:space="0" w:color="auto"/>
              <w:bottom w:val="single" w:sz="6" w:space="0" w:color="auto"/>
              <w:right w:val="single" w:sz="6" w:space="0" w:color="auto"/>
            </w:tcBorders>
          </w:tcPr>
          <w:p w14:paraId="5D4A533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presence (1–4), quality (1–4), proximity to parks (1–5; shorter=larger score).</w:t>
            </w:r>
          </w:p>
          <w:p w14:paraId="07669C6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689E85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access/amount: total green-space area, largest park area, and number of spaces within 1,600 m buffer.</w:t>
            </w:r>
          </w:p>
        </w:tc>
        <w:tc>
          <w:tcPr>
            <w:tcW w:w="1080" w:type="dxa"/>
            <w:tcBorders>
              <w:top w:val="nil"/>
              <w:left w:val="single" w:sz="6" w:space="0" w:color="auto"/>
              <w:bottom w:val="single" w:sz="6" w:space="0" w:color="auto"/>
              <w:right w:val="single" w:sz="6" w:space="0" w:color="auto"/>
            </w:tcBorders>
          </w:tcPr>
          <w:p w14:paraId="73A326C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Accessible recreational green spaces ≥500 m²</w:t>
            </w:r>
          </w:p>
        </w:tc>
        <w:tc>
          <w:tcPr>
            <w:tcW w:w="1080" w:type="dxa"/>
            <w:tcBorders>
              <w:top w:val="nil"/>
              <w:left w:val="single" w:sz="6" w:space="0" w:color="auto"/>
              <w:bottom w:val="single" w:sz="6" w:space="0" w:color="auto"/>
              <w:right w:val="single" w:sz="6" w:space="0" w:color="auto"/>
            </w:tcBorders>
          </w:tcPr>
          <w:p w14:paraId="55144E1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Local maps/GIS identification of accessible spaces.</w:t>
            </w:r>
          </w:p>
        </w:tc>
        <w:tc>
          <w:tcPr>
            <w:tcW w:w="1530" w:type="dxa"/>
            <w:tcBorders>
              <w:top w:val="nil"/>
              <w:left w:val="single" w:sz="6" w:space="0" w:color="auto"/>
              <w:bottom w:val="single" w:sz="6" w:space="0" w:color="auto"/>
              <w:right w:val="single" w:sz="6" w:space="0" w:color="auto"/>
            </w:tcBorders>
          </w:tcPr>
          <w:p w14:paraId="07052E2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Perceptions via survey</w:t>
            </w:r>
          </w:p>
          <w:p w14:paraId="6CC8B84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crow-fly (Euclidean) 1.6-km neighborhood-center buffer</w:t>
            </w:r>
          </w:p>
          <w:p w14:paraId="6B517BE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areas in hectares.</w:t>
            </w:r>
          </w:p>
        </w:tc>
        <w:tc>
          <w:tcPr>
            <w:tcW w:w="1054" w:type="dxa"/>
            <w:tcBorders>
              <w:top w:val="nil"/>
              <w:left w:val="single" w:sz="6" w:space="0" w:color="auto"/>
              <w:bottom w:val="single" w:sz="6" w:space="0" w:color="auto"/>
              <w:right w:val="single" w:sz="6" w:space="0" w:color="auto"/>
            </w:tcBorders>
          </w:tcPr>
          <w:p w14:paraId="300AB16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1,600 m buffer; objective ORs per 10 ha increase; perceived scales per unit increase.</w:t>
            </w:r>
          </w:p>
        </w:tc>
        <w:tc>
          <w:tcPr>
            <w:tcW w:w="1102" w:type="dxa"/>
            <w:tcBorders>
              <w:top w:val="nil"/>
              <w:left w:val="single" w:sz="6" w:space="0" w:color="auto"/>
              <w:bottom w:val="single" w:sz="6" w:space="0" w:color="auto"/>
              <w:right w:val="single" w:sz="6" w:space="0" w:color="auto"/>
            </w:tcBorders>
          </w:tcPr>
          <w:p w14:paraId="25453C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6C3854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Initiation of recreational walking</w:t>
            </w:r>
          </w:p>
        </w:tc>
        <w:tc>
          <w:tcPr>
            <w:tcW w:w="1350" w:type="dxa"/>
            <w:tcBorders>
              <w:top w:val="nil"/>
              <w:left w:val="single" w:sz="6" w:space="0" w:color="auto"/>
              <w:bottom w:val="single" w:sz="6" w:space="0" w:color="auto"/>
              <w:right w:val="single" w:sz="6" w:space="0" w:color="auto"/>
            </w:tcBorders>
          </w:tcPr>
          <w:p w14:paraId="480659B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days/week walking ≥10 min</w:t>
            </w:r>
          </w:p>
        </w:tc>
        <w:tc>
          <w:tcPr>
            <w:tcW w:w="1080" w:type="dxa"/>
            <w:tcBorders>
              <w:top w:val="nil"/>
              <w:left w:val="single" w:sz="6" w:space="0" w:color="auto"/>
              <w:bottom w:val="single" w:sz="6" w:space="0" w:color="auto"/>
              <w:right w:val="single" w:sz="6" w:space="0" w:color="auto"/>
            </w:tcBorders>
          </w:tcPr>
          <w:p w14:paraId="36ADDD8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tc>
        <w:tc>
          <w:tcPr>
            <w:tcW w:w="1350" w:type="dxa"/>
            <w:tcBorders>
              <w:top w:val="nil"/>
              <w:left w:val="single" w:sz="6" w:space="0" w:color="auto"/>
              <w:bottom w:val="single" w:sz="6" w:space="0" w:color="auto"/>
              <w:right w:val="single" w:sz="6" w:space="0" w:color="auto"/>
            </w:tcBorders>
          </w:tcPr>
          <w:p w14:paraId="4717BE5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74EEAC1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034D7C1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work status,</w:t>
            </w:r>
          </w:p>
          <w:p w14:paraId="4E9EA15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369FC9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transport,</w:t>
            </w:r>
          </w:p>
          <w:p w14:paraId="2B06826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TV time;</w:t>
            </w:r>
          </w:p>
          <w:p w14:paraId="33C642C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sea-boundary index (for GIS measures)</w:t>
            </w:r>
          </w:p>
          <w:p w14:paraId="57FC821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psychosocial factors in sensitivity.</w:t>
            </w:r>
          </w:p>
        </w:tc>
        <w:tc>
          <w:tcPr>
            <w:tcW w:w="990" w:type="dxa"/>
            <w:tcBorders>
              <w:top w:val="nil"/>
              <w:left w:val="single" w:sz="6" w:space="0" w:color="auto"/>
              <w:bottom w:val="single" w:sz="6" w:space="0" w:color="auto"/>
              <w:right w:val="single" w:sz="6" w:space="0" w:color="auto"/>
            </w:tcBorders>
          </w:tcPr>
          <w:p w14:paraId="0D1796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2970" w:type="dxa"/>
            <w:gridSpan w:val="3"/>
            <w:tcBorders>
              <w:top w:val="nil"/>
              <w:left w:val="single" w:sz="6" w:space="0" w:color="auto"/>
              <w:bottom w:val="single" w:sz="6" w:space="0" w:color="auto"/>
              <w:right w:val="single" w:sz="6" w:space="0" w:color="auto"/>
            </w:tcBorders>
          </w:tcPr>
          <w:p w14:paraId="438A58BC" w14:textId="4FFE0847" w:rsidR="0037619D" w:rsidRPr="000F3EBD" w:rsidRDefault="0037619D"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Initiation: All GS attributes ns (e.g., perceived presence OR 1.19; 0.83–1.71).</w:t>
            </w:r>
          </w:p>
          <w:p w14:paraId="613B047B" w14:textId="5F906D6C" w:rsidR="0037619D" w:rsidRPr="000F3EBD" w:rsidRDefault="0037619D"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Maintenance:</w:t>
            </w:r>
          </w:p>
          <w:p w14:paraId="037A6430" w14:textId="42C2BC13" w:rsidR="0037619D" w:rsidRPr="000F3EBD" w:rsidRDefault="0037619D"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presence OR 1.84 | 1.13–2.99 | &lt;0.05 | Positive</w:t>
            </w:r>
          </w:p>
          <w:p w14:paraId="161A729C" w14:textId="43B5F7B3" w:rsidR="0037619D" w:rsidRPr="000F3EBD" w:rsidRDefault="0037619D"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proximity OR 1.67 | 1.12–2.49 | &lt;0.05 | Positive</w:t>
            </w:r>
          </w:p>
          <w:p w14:paraId="404732A9" w14:textId="36EC5CDA" w:rsidR="0037619D" w:rsidRPr="000F3EBD" w:rsidRDefault="0037619D"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GS area (per 10 ha) OR 1.03 | 1.00–1.06 | &lt;0.05 | Positive</w:t>
            </w:r>
          </w:p>
          <w:p w14:paraId="763C23F1" w14:textId="24B2F455" w:rsidR="0037619D" w:rsidRPr="000F3EBD" w:rsidRDefault="0037619D"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Largest park area (per 10 ha) OR 1.10 | 1.02–1.20 | &lt;0.05 | Positive</w:t>
            </w:r>
          </w:p>
          <w:p w14:paraId="7C3BDA8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spaces: OR 1.02 | 0.998–1.04 | ns | Null</w:t>
            </w:r>
          </w:p>
        </w:tc>
        <w:tc>
          <w:tcPr>
            <w:tcW w:w="1530" w:type="dxa"/>
            <w:tcBorders>
              <w:top w:val="nil"/>
              <w:left w:val="single" w:sz="6" w:space="0" w:color="auto"/>
              <w:bottom w:val="single" w:sz="6" w:space="0" w:color="auto"/>
              <w:right w:val="single" w:sz="6" w:space="0" w:color="auto"/>
            </w:tcBorders>
          </w:tcPr>
          <w:p w14:paraId="1F3B17D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GS attributes predict maintenance, not initiation, of recreational walking.</w:t>
            </w:r>
          </w:p>
        </w:tc>
      </w:tr>
      <w:tr w:rsidR="0037619D" w:rsidRPr="000F3EBD" w14:paraId="66D3C708" w14:textId="77777777" w:rsidTr="00A136E2">
        <w:trPr>
          <w:trHeight w:val="2406"/>
        </w:trPr>
        <w:tc>
          <w:tcPr>
            <w:tcW w:w="1072" w:type="dxa"/>
            <w:tcBorders>
              <w:top w:val="nil"/>
              <w:left w:val="single" w:sz="6" w:space="0" w:color="auto"/>
              <w:bottom w:val="single" w:sz="6" w:space="0" w:color="auto"/>
              <w:right w:val="single" w:sz="6" w:space="0" w:color="auto"/>
            </w:tcBorders>
          </w:tcPr>
          <w:p w14:paraId="66992AD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Van Cauwenberg et al.,</w:t>
            </w:r>
          </w:p>
          <w:p w14:paraId="1D0DD89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896" w:type="dxa"/>
            <w:tcBorders>
              <w:top w:val="nil"/>
              <w:left w:val="single" w:sz="6" w:space="0" w:color="auto"/>
              <w:bottom w:val="single" w:sz="6" w:space="0" w:color="auto"/>
              <w:right w:val="single" w:sz="6" w:space="0" w:color="auto"/>
            </w:tcBorders>
          </w:tcPr>
          <w:p w14:paraId="373A17A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899" w:type="dxa"/>
            <w:tcBorders>
              <w:top w:val="nil"/>
              <w:left w:val="single" w:sz="6" w:space="0" w:color="auto"/>
              <w:bottom w:val="single" w:sz="6" w:space="0" w:color="auto"/>
              <w:right w:val="single" w:sz="6" w:space="0" w:color="auto"/>
            </w:tcBorders>
          </w:tcPr>
          <w:p w14:paraId="4AAB425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271D763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2,700</w:t>
            </w:r>
          </w:p>
        </w:tc>
        <w:tc>
          <w:tcPr>
            <w:tcW w:w="1028" w:type="dxa"/>
            <w:tcBorders>
              <w:top w:val="nil"/>
              <w:left w:val="single" w:sz="6" w:space="0" w:color="auto"/>
              <w:bottom w:val="single" w:sz="6" w:space="0" w:color="auto"/>
              <w:right w:val="single" w:sz="6" w:space="0" w:color="auto"/>
            </w:tcBorders>
          </w:tcPr>
          <w:p w14:paraId="304D486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Mid-older adults</w:t>
            </w:r>
          </w:p>
          <w:p w14:paraId="1FDEFC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55–65 years</w:t>
            </w:r>
          </w:p>
        </w:tc>
        <w:tc>
          <w:tcPr>
            <w:tcW w:w="1446" w:type="dxa"/>
            <w:tcBorders>
              <w:top w:val="nil"/>
              <w:left w:val="single" w:sz="6" w:space="0" w:color="auto"/>
              <w:bottom w:val="single" w:sz="6" w:space="0" w:color="auto"/>
              <w:right w:val="single" w:sz="6" w:space="0" w:color="auto"/>
            </w:tcBorders>
          </w:tcPr>
          <w:p w14:paraId="48876C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 time to nearest park</w:t>
            </w:r>
          </w:p>
        </w:tc>
        <w:tc>
          <w:tcPr>
            <w:tcW w:w="1080" w:type="dxa"/>
            <w:tcBorders>
              <w:top w:val="nil"/>
              <w:left w:val="single" w:sz="6" w:space="0" w:color="auto"/>
              <w:bottom w:val="single" w:sz="6" w:space="0" w:color="auto"/>
              <w:right w:val="single" w:sz="6" w:space="0" w:color="auto"/>
            </w:tcBorders>
          </w:tcPr>
          <w:p w14:paraId="0E51582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parks</w:t>
            </w:r>
          </w:p>
        </w:tc>
        <w:tc>
          <w:tcPr>
            <w:tcW w:w="1080" w:type="dxa"/>
            <w:tcBorders>
              <w:top w:val="nil"/>
              <w:left w:val="single" w:sz="6" w:space="0" w:color="auto"/>
              <w:bottom w:val="single" w:sz="6" w:space="0" w:color="auto"/>
              <w:right w:val="single" w:sz="6" w:space="0" w:color="auto"/>
            </w:tcBorders>
          </w:tcPr>
          <w:p w14:paraId="61AF95C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530" w:type="dxa"/>
            <w:tcBorders>
              <w:top w:val="nil"/>
              <w:left w:val="single" w:sz="6" w:space="0" w:color="auto"/>
              <w:bottom w:val="single" w:sz="6" w:space="0" w:color="auto"/>
              <w:right w:val="single" w:sz="6" w:space="0" w:color="auto"/>
            </w:tcBorders>
          </w:tcPr>
          <w:p w14:paraId="2811C35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walk time categories</w:t>
            </w:r>
          </w:p>
        </w:tc>
        <w:tc>
          <w:tcPr>
            <w:tcW w:w="1054" w:type="dxa"/>
            <w:tcBorders>
              <w:top w:val="nil"/>
              <w:left w:val="single" w:sz="6" w:space="0" w:color="auto"/>
              <w:bottom w:val="single" w:sz="6" w:space="0" w:color="auto"/>
              <w:right w:val="single" w:sz="6" w:space="0" w:color="auto"/>
            </w:tcBorders>
          </w:tcPr>
          <w:p w14:paraId="4C7ED3F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w:t>
            </w:r>
          </w:p>
          <w:p w14:paraId="389686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6–10,</w:t>
            </w:r>
          </w:p>
          <w:p w14:paraId="01C1C2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11–20,</w:t>
            </w:r>
          </w:p>
          <w:p w14:paraId="015740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21–30,</w:t>
            </w:r>
          </w:p>
          <w:p w14:paraId="0B4398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≥31 minutes</w:t>
            </w:r>
          </w:p>
          <w:p w14:paraId="3B47735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(treated as ordinal)</w:t>
            </w:r>
          </w:p>
        </w:tc>
        <w:tc>
          <w:tcPr>
            <w:tcW w:w="1102" w:type="dxa"/>
            <w:tcBorders>
              <w:top w:val="nil"/>
              <w:left w:val="single" w:sz="6" w:space="0" w:color="auto"/>
              <w:bottom w:val="single" w:sz="6" w:space="0" w:color="auto"/>
              <w:right w:val="single" w:sz="6" w:space="0" w:color="auto"/>
            </w:tcBorders>
          </w:tcPr>
          <w:p w14:paraId="3F20411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536D66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Recreational walking</w:t>
            </w:r>
          </w:p>
          <w:p w14:paraId="2714159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Other recreational MVPA (non-walking)</w:t>
            </w:r>
          </w:p>
        </w:tc>
        <w:tc>
          <w:tcPr>
            <w:tcW w:w="1350" w:type="dxa"/>
            <w:tcBorders>
              <w:top w:val="nil"/>
              <w:left w:val="single" w:sz="6" w:space="0" w:color="auto"/>
              <w:bottom w:val="single" w:sz="6" w:space="0" w:color="auto"/>
              <w:right w:val="single" w:sz="6" w:space="0" w:color="auto"/>
            </w:tcBorders>
          </w:tcPr>
          <w:p w14:paraId="488DA92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IPAQ-Long</w:t>
            </w:r>
          </w:p>
        </w:tc>
        <w:tc>
          <w:tcPr>
            <w:tcW w:w="1080" w:type="dxa"/>
            <w:tcBorders>
              <w:top w:val="nil"/>
              <w:left w:val="single" w:sz="6" w:space="0" w:color="auto"/>
              <w:bottom w:val="single" w:sz="6" w:space="0" w:color="auto"/>
              <w:right w:val="single" w:sz="6" w:space="0" w:color="auto"/>
            </w:tcBorders>
          </w:tcPr>
          <w:p w14:paraId="7D9F592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Zero-inflated negative binomial with robust Ses</w:t>
            </w:r>
          </w:p>
        </w:tc>
        <w:tc>
          <w:tcPr>
            <w:tcW w:w="1350" w:type="dxa"/>
            <w:tcBorders>
              <w:top w:val="nil"/>
              <w:left w:val="single" w:sz="6" w:space="0" w:color="auto"/>
              <w:bottom w:val="single" w:sz="6" w:space="0" w:color="auto"/>
              <w:right w:val="single" w:sz="6" w:space="0" w:color="auto"/>
            </w:tcBorders>
          </w:tcPr>
          <w:p w14:paraId="652CA73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7D1754F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0323C18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0DC52A0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retirement status,</w:t>
            </w:r>
          </w:p>
          <w:p w14:paraId="5FEAD0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functional limitations,</w:t>
            </w:r>
          </w:p>
          <w:p w14:paraId="4E4B9E3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area-level SES,</w:t>
            </w:r>
          </w:p>
          <w:p w14:paraId="4600DCE0" w14:textId="1B644C7B"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area of residence</w:t>
            </w:r>
          </w:p>
          <w:p w14:paraId="2A2648C1" w14:textId="71D6CDAB"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reciprocal PA outcome</w:t>
            </w:r>
          </w:p>
        </w:tc>
        <w:tc>
          <w:tcPr>
            <w:tcW w:w="990" w:type="dxa"/>
            <w:tcBorders>
              <w:top w:val="nil"/>
              <w:left w:val="single" w:sz="6" w:space="0" w:color="auto"/>
              <w:bottom w:val="single" w:sz="6" w:space="0" w:color="auto"/>
              <w:right w:val="single" w:sz="6" w:space="0" w:color="auto"/>
            </w:tcBorders>
          </w:tcPr>
          <w:p w14:paraId="19C1E39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260" w:type="dxa"/>
            <w:tcBorders>
              <w:top w:val="nil"/>
              <w:left w:val="single" w:sz="6" w:space="0" w:color="auto"/>
              <w:bottom w:val="single" w:sz="6" w:space="0" w:color="auto"/>
              <w:right w:val="single" w:sz="6" w:space="0" w:color="auto"/>
            </w:tcBorders>
          </w:tcPr>
          <w:p w14:paraId="3E45CD2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OR=1.08 per 1 category closer (mean social trust/cohesion)</w:t>
            </w:r>
          </w:p>
          <w:p w14:paraId="16DC708B" w14:textId="1273698E"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OR=1.18 per 1 category closer (+1 SD social trust/cohesion)</w:t>
            </w:r>
          </w:p>
        </w:tc>
        <w:tc>
          <w:tcPr>
            <w:tcW w:w="900" w:type="dxa"/>
            <w:tcBorders>
              <w:top w:val="nil"/>
              <w:left w:val="single" w:sz="6" w:space="0" w:color="auto"/>
              <w:bottom w:val="single" w:sz="6" w:space="0" w:color="auto"/>
              <w:right w:val="single" w:sz="6" w:space="0" w:color="auto"/>
            </w:tcBorders>
          </w:tcPr>
          <w:p w14:paraId="21D6456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1.01–1.15 (mean trust)</w:t>
            </w:r>
          </w:p>
          <w:p w14:paraId="3430A5F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1.06–1.28 (high trust)</w:t>
            </w:r>
          </w:p>
        </w:tc>
        <w:tc>
          <w:tcPr>
            <w:tcW w:w="810" w:type="dxa"/>
            <w:tcBorders>
              <w:top w:val="nil"/>
              <w:left w:val="single" w:sz="6" w:space="0" w:color="auto"/>
              <w:bottom w:val="single" w:sz="6" w:space="0" w:color="auto"/>
              <w:right w:val="single" w:sz="6" w:space="0" w:color="auto"/>
            </w:tcBorders>
          </w:tcPr>
          <w:p w14:paraId="495C5E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 (both)</w:t>
            </w:r>
          </w:p>
        </w:tc>
        <w:tc>
          <w:tcPr>
            <w:tcW w:w="1530" w:type="dxa"/>
            <w:tcBorders>
              <w:top w:val="nil"/>
              <w:left w:val="single" w:sz="6" w:space="0" w:color="auto"/>
              <w:bottom w:val="single" w:sz="6" w:space="0" w:color="auto"/>
              <w:right w:val="single" w:sz="6" w:space="0" w:color="auto"/>
            </w:tcBorders>
          </w:tcPr>
          <w:p w14:paraId="77ADEFC1" w14:textId="53AFD3FC"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participation in recreational walking when social trust/cohesion is average or high; no effects for other recreational MVPA.</w:t>
            </w:r>
          </w:p>
        </w:tc>
      </w:tr>
      <w:tr w:rsidR="0037619D" w:rsidRPr="000F3EBD" w14:paraId="00E87144" w14:textId="77777777" w:rsidTr="003B2FCF">
        <w:trPr>
          <w:trHeight w:val="4836"/>
        </w:trPr>
        <w:tc>
          <w:tcPr>
            <w:tcW w:w="1072" w:type="dxa"/>
            <w:tcBorders>
              <w:top w:val="nil"/>
              <w:left w:val="single" w:sz="6" w:space="0" w:color="auto"/>
              <w:bottom w:val="single" w:sz="6" w:space="0" w:color="auto"/>
              <w:right w:val="single" w:sz="6" w:space="0" w:color="auto"/>
            </w:tcBorders>
          </w:tcPr>
          <w:p w14:paraId="65876AE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Yi et al.,</w:t>
            </w:r>
          </w:p>
          <w:p w14:paraId="171DEAF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6" w:type="dxa"/>
            <w:tcBorders>
              <w:top w:val="nil"/>
              <w:left w:val="single" w:sz="6" w:space="0" w:color="auto"/>
              <w:bottom w:val="single" w:sz="6" w:space="0" w:color="auto"/>
              <w:right w:val="single" w:sz="6" w:space="0" w:color="auto"/>
            </w:tcBorders>
          </w:tcPr>
          <w:p w14:paraId="71CB58D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211C5E3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w:t>
            </w:r>
          </w:p>
        </w:tc>
        <w:tc>
          <w:tcPr>
            <w:tcW w:w="771" w:type="dxa"/>
            <w:tcBorders>
              <w:top w:val="nil"/>
              <w:left w:val="single" w:sz="6" w:space="0" w:color="auto"/>
              <w:bottom w:val="single" w:sz="6" w:space="0" w:color="auto"/>
              <w:right w:val="single" w:sz="6" w:space="0" w:color="auto"/>
            </w:tcBorders>
          </w:tcPr>
          <w:p w14:paraId="585829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192 Children</w:t>
            </w:r>
          </w:p>
        </w:tc>
        <w:tc>
          <w:tcPr>
            <w:tcW w:w="1028" w:type="dxa"/>
            <w:tcBorders>
              <w:top w:val="nil"/>
              <w:left w:val="single" w:sz="6" w:space="0" w:color="auto"/>
              <w:bottom w:val="single" w:sz="6" w:space="0" w:color="auto"/>
              <w:right w:val="single" w:sz="6" w:space="0" w:color="auto"/>
            </w:tcBorders>
          </w:tcPr>
          <w:p w14:paraId="492D5CE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School-age children</w:t>
            </w:r>
          </w:p>
          <w:p w14:paraId="6C50F1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8–13 y</w:t>
            </w:r>
          </w:p>
        </w:tc>
        <w:tc>
          <w:tcPr>
            <w:tcW w:w="1446" w:type="dxa"/>
            <w:tcBorders>
              <w:top w:val="nil"/>
              <w:left w:val="single" w:sz="6" w:space="0" w:color="auto"/>
              <w:bottom w:val="single" w:sz="6" w:space="0" w:color="auto"/>
              <w:right w:val="single" w:sz="6" w:space="0" w:color="auto"/>
            </w:tcBorders>
          </w:tcPr>
          <w:p w14:paraId="784B3D6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Proximity: street-network distance (km) to nearest park</w:t>
            </w:r>
          </w:p>
          <w:p w14:paraId="797EE7C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148F0E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Accessibility: park density (count), park coverage (% parkland in buffer)</w:t>
            </w:r>
          </w:p>
        </w:tc>
        <w:tc>
          <w:tcPr>
            <w:tcW w:w="1080" w:type="dxa"/>
            <w:tcBorders>
              <w:top w:val="nil"/>
              <w:left w:val="single" w:sz="6" w:space="0" w:color="auto"/>
              <w:bottom w:val="single" w:sz="6" w:space="0" w:color="auto"/>
              <w:right w:val="single" w:sz="6" w:space="0" w:color="auto"/>
            </w:tcBorders>
          </w:tcPr>
          <w:p w14:paraId="4F3476B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 &amp; open space</w:t>
            </w:r>
          </w:p>
        </w:tc>
        <w:tc>
          <w:tcPr>
            <w:tcW w:w="1080" w:type="dxa"/>
            <w:tcBorders>
              <w:top w:val="nil"/>
              <w:left w:val="single" w:sz="6" w:space="0" w:color="auto"/>
              <w:bottom w:val="single" w:sz="6" w:space="0" w:color="auto"/>
              <w:right w:val="single" w:sz="6" w:space="0" w:color="auto"/>
            </w:tcBorders>
          </w:tcPr>
          <w:p w14:paraId="2ABA59F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 County Parks &amp; Recreation GIS (Jan 2019)</w:t>
            </w:r>
          </w:p>
        </w:tc>
        <w:tc>
          <w:tcPr>
            <w:tcW w:w="1530" w:type="dxa"/>
            <w:tcBorders>
              <w:top w:val="nil"/>
              <w:left w:val="single" w:sz="6" w:space="0" w:color="auto"/>
              <w:bottom w:val="single" w:sz="6" w:space="0" w:color="auto"/>
              <w:right w:val="single" w:sz="6" w:space="0" w:color="auto"/>
            </w:tcBorders>
          </w:tcPr>
          <w:p w14:paraId="4A192C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Sausage Network Buffer (SNB) around home: 500 m (primary), 1 km (sensitivity);</w:t>
            </w:r>
          </w:p>
          <w:p w14:paraId="42D7609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network distance for proximity</w:t>
            </w:r>
          </w:p>
        </w:tc>
        <w:tc>
          <w:tcPr>
            <w:tcW w:w="1054" w:type="dxa"/>
            <w:tcBorders>
              <w:top w:val="nil"/>
              <w:left w:val="single" w:sz="6" w:space="0" w:color="auto"/>
              <w:bottom w:val="single" w:sz="6" w:space="0" w:color="auto"/>
              <w:right w:val="single" w:sz="6" w:space="0" w:color="auto"/>
            </w:tcBorders>
          </w:tcPr>
          <w:p w14:paraId="5BA0CD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Continuous</w:t>
            </w:r>
          </w:p>
        </w:tc>
        <w:tc>
          <w:tcPr>
            <w:tcW w:w="1102" w:type="dxa"/>
            <w:tcBorders>
              <w:top w:val="nil"/>
              <w:left w:val="single" w:sz="6" w:space="0" w:color="auto"/>
              <w:bottom w:val="single" w:sz="6" w:space="0" w:color="auto"/>
              <w:right w:val="single" w:sz="6" w:space="0" w:color="auto"/>
            </w:tcBorders>
          </w:tcPr>
          <w:p w14:paraId="42F9A3F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7E14E2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Daily MVPA minutes</w:t>
            </w:r>
          </w:p>
        </w:tc>
        <w:tc>
          <w:tcPr>
            <w:tcW w:w="1350" w:type="dxa"/>
            <w:tcBorders>
              <w:top w:val="nil"/>
              <w:left w:val="single" w:sz="6" w:space="0" w:color="auto"/>
              <w:bottom w:val="single" w:sz="6" w:space="0" w:color="auto"/>
              <w:right w:val="single" w:sz="6" w:space="0" w:color="auto"/>
            </w:tcBorders>
          </w:tcPr>
          <w:p w14:paraId="0246D31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(AGT3X)</w:t>
            </w:r>
          </w:p>
        </w:tc>
        <w:tc>
          <w:tcPr>
            <w:tcW w:w="1080" w:type="dxa"/>
            <w:tcBorders>
              <w:top w:val="nil"/>
              <w:left w:val="single" w:sz="6" w:space="0" w:color="auto"/>
              <w:bottom w:val="single" w:sz="6" w:space="0" w:color="auto"/>
              <w:right w:val="single" w:sz="6" w:space="0" w:color="auto"/>
            </w:tcBorders>
          </w:tcPr>
          <w:p w14:paraId="721BFCD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3-level linear mixed-effects</w:t>
            </w:r>
          </w:p>
        </w:tc>
        <w:tc>
          <w:tcPr>
            <w:tcW w:w="1350" w:type="dxa"/>
            <w:tcBorders>
              <w:top w:val="nil"/>
              <w:left w:val="single" w:sz="6" w:space="0" w:color="auto"/>
              <w:bottom w:val="single" w:sz="6" w:space="0" w:color="auto"/>
              <w:right w:val="single" w:sz="6" w:space="0" w:color="auto"/>
            </w:tcBorders>
          </w:tcPr>
          <w:p w14:paraId="36BF40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Baseline age</w:t>
            </w:r>
          </w:p>
          <w:p w14:paraId="620977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wave-based age</w:t>
            </w:r>
          </w:p>
          <w:p w14:paraId="204249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29F9399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ethnicity</w:t>
            </w:r>
          </w:p>
          <w:p w14:paraId="5922FC5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 (per wave)</w:t>
            </w:r>
          </w:p>
          <w:p w14:paraId="2E3889E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baseline BMI-z</w:t>
            </w:r>
          </w:p>
          <w:p w14:paraId="4A1012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weekday/weekend,</w:t>
            </w:r>
          </w:p>
          <w:p w14:paraId="65A39F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daily wear time</w:t>
            </w:r>
          </w:p>
          <w:p w14:paraId="511E954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valid days/wave</w:t>
            </w:r>
          </w:p>
          <w:p w14:paraId="1D50CDE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walkability z-score</w:t>
            </w:r>
          </w:p>
          <w:p w14:paraId="3FF726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poverty</w:t>
            </w:r>
          </w:p>
          <w:p w14:paraId="079950A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compliance dummies</w:t>
            </w:r>
          </w:p>
        </w:tc>
        <w:tc>
          <w:tcPr>
            <w:tcW w:w="990" w:type="dxa"/>
            <w:tcBorders>
              <w:top w:val="nil"/>
              <w:left w:val="single" w:sz="6" w:space="0" w:color="auto"/>
              <w:bottom w:val="single" w:sz="6" w:space="0" w:color="auto"/>
              <w:right w:val="single" w:sz="6" w:space="0" w:color="auto"/>
            </w:tcBorders>
          </w:tcPr>
          <w:p w14:paraId="1FB90F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Exponentiated coefficient (ratio of means)</w:t>
            </w:r>
          </w:p>
        </w:tc>
        <w:tc>
          <w:tcPr>
            <w:tcW w:w="2970" w:type="dxa"/>
            <w:gridSpan w:val="3"/>
            <w:tcBorders>
              <w:top w:val="nil"/>
              <w:left w:val="single" w:sz="6" w:space="0" w:color="auto"/>
              <w:bottom w:val="single" w:sz="6" w:space="0" w:color="auto"/>
              <w:right w:val="single" w:sz="6" w:space="0" w:color="auto"/>
            </w:tcBorders>
          </w:tcPr>
          <w:p w14:paraId="19A22CF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density (per +1 park): 1.08; 95% CI 1.01–1.15; p &lt; 0.05 → positive</w:t>
            </w:r>
          </w:p>
          <w:p w14:paraId="7DA2A7A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405F7B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coverage (per +1%): 1.01; 95% CI 1.00–1.03; p &lt; 0.05 → positive</w:t>
            </w:r>
          </w:p>
          <w:p w14:paraId="53FE4B0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D903F6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Proximity (per +1 km farther): 0.88; 95% CI 0.78–0.99; p &lt; 0.05 → negative</w:t>
            </w:r>
          </w:p>
          <w:p w14:paraId="01DE1F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415ECE6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 interaction (coverage × age × weekend): 1.02; 95% CI 1.01–1.03; p &lt; 0.05 → slower decline on weekends with higher coverage</w:t>
            </w:r>
          </w:p>
        </w:tc>
        <w:tc>
          <w:tcPr>
            <w:tcW w:w="1530" w:type="dxa"/>
            <w:tcBorders>
              <w:top w:val="nil"/>
              <w:left w:val="single" w:sz="6" w:space="0" w:color="auto"/>
              <w:bottom w:val="single" w:sz="6" w:space="0" w:color="auto"/>
              <w:right w:val="single" w:sz="6" w:space="0" w:color="auto"/>
            </w:tcBorders>
          </w:tcPr>
          <w:p w14:paraId="6D20083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(density, coverage); Negative (greater distance); Weekend buffering effect for coverage</w:t>
            </w:r>
          </w:p>
        </w:tc>
      </w:tr>
      <w:tr w:rsidR="0037619D" w:rsidRPr="000F3EBD" w14:paraId="640EB881" w14:textId="77777777" w:rsidTr="00693EBB">
        <w:trPr>
          <w:trHeight w:val="3495"/>
        </w:trPr>
        <w:tc>
          <w:tcPr>
            <w:tcW w:w="1072" w:type="dxa"/>
            <w:tcBorders>
              <w:top w:val="nil"/>
              <w:left w:val="single" w:sz="6" w:space="0" w:color="auto"/>
              <w:bottom w:val="single" w:sz="6" w:space="0" w:color="auto"/>
              <w:right w:val="single" w:sz="6" w:space="0" w:color="auto"/>
            </w:tcBorders>
          </w:tcPr>
          <w:p w14:paraId="704DE9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Bozkurt</w:t>
            </w:r>
          </w:p>
          <w:p w14:paraId="77F9911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6" w:type="dxa"/>
            <w:tcBorders>
              <w:top w:val="nil"/>
              <w:left w:val="single" w:sz="6" w:space="0" w:color="auto"/>
              <w:bottom w:val="single" w:sz="6" w:space="0" w:color="auto"/>
              <w:right w:val="single" w:sz="6" w:space="0" w:color="auto"/>
            </w:tcBorders>
          </w:tcPr>
          <w:p w14:paraId="3C4013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Turkey</w:t>
            </w:r>
          </w:p>
        </w:tc>
        <w:tc>
          <w:tcPr>
            <w:tcW w:w="899" w:type="dxa"/>
            <w:tcBorders>
              <w:top w:val="nil"/>
              <w:left w:val="single" w:sz="6" w:space="0" w:color="auto"/>
              <w:bottom w:val="single" w:sz="6" w:space="0" w:color="auto"/>
              <w:right w:val="single" w:sz="6" w:space="0" w:color="auto"/>
            </w:tcBorders>
          </w:tcPr>
          <w:p w14:paraId="012A58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0851D2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2,668</w:t>
            </w:r>
          </w:p>
        </w:tc>
        <w:tc>
          <w:tcPr>
            <w:tcW w:w="1028" w:type="dxa"/>
            <w:tcBorders>
              <w:top w:val="nil"/>
              <w:left w:val="single" w:sz="6" w:space="0" w:color="auto"/>
              <w:bottom w:val="single" w:sz="6" w:space="0" w:color="auto"/>
              <w:right w:val="single" w:sz="6" w:space="0" w:color="auto"/>
            </w:tcBorders>
          </w:tcPr>
          <w:p w14:paraId="1DBCF9A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Primary, middle, and high school students</w:t>
            </w:r>
          </w:p>
          <w:p w14:paraId="75C14FD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6–18 y.</w:t>
            </w:r>
          </w:p>
        </w:tc>
        <w:tc>
          <w:tcPr>
            <w:tcW w:w="1446" w:type="dxa"/>
            <w:tcBorders>
              <w:top w:val="nil"/>
              <w:left w:val="single" w:sz="6" w:space="0" w:color="auto"/>
              <w:bottom w:val="single" w:sz="6" w:space="0" w:color="auto"/>
              <w:right w:val="single" w:sz="6" w:space="0" w:color="auto"/>
            </w:tcBorders>
          </w:tcPr>
          <w:p w14:paraId="142171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UGS within walking distance (≤15-min, yes/no)</w:t>
            </w:r>
          </w:p>
          <w:p w14:paraId="620C3FE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AFC32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UGS within walking distance; perceived overall UGS quality</w:t>
            </w:r>
          </w:p>
        </w:tc>
        <w:tc>
          <w:tcPr>
            <w:tcW w:w="1080" w:type="dxa"/>
            <w:tcBorders>
              <w:top w:val="nil"/>
              <w:left w:val="single" w:sz="6" w:space="0" w:color="auto"/>
              <w:bottom w:val="single" w:sz="6" w:space="0" w:color="auto"/>
              <w:right w:val="single" w:sz="6" w:space="0" w:color="auto"/>
            </w:tcBorders>
          </w:tcPr>
          <w:p w14:paraId="08367B1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Neighbourhood parks/green spaces reachable within ~15-min walk from home</w:t>
            </w:r>
          </w:p>
        </w:tc>
        <w:tc>
          <w:tcPr>
            <w:tcW w:w="1080" w:type="dxa"/>
            <w:tcBorders>
              <w:top w:val="nil"/>
              <w:left w:val="single" w:sz="6" w:space="0" w:color="auto"/>
              <w:bottom w:val="single" w:sz="6" w:space="0" w:color="auto"/>
              <w:right w:val="single" w:sz="6" w:space="0" w:color="auto"/>
            </w:tcBorders>
          </w:tcPr>
          <w:p w14:paraId="2D1C917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questionnaire</w:t>
            </w:r>
          </w:p>
        </w:tc>
        <w:tc>
          <w:tcPr>
            <w:tcW w:w="1530" w:type="dxa"/>
            <w:tcBorders>
              <w:top w:val="nil"/>
              <w:left w:val="single" w:sz="6" w:space="0" w:color="auto"/>
              <w:bottom w:val="single" w:sz="6" w:space="0" w:color="auto"/>
              <w:right w:val="single" w:sz="6" w:space="0" w:color="auto"/>
            </w:tcBorders>
          </w:tcPr>
          <w:p w14:paraId="3C05955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 time (minutes),</w:t>
            </w:r>
          </w:p>
          <w:p w14:paraId="3D3E0D6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counts</w:t>
            </w:r>
          </w:p>
        </w:tc>
        <w:tc>
          <w:tcPr>
            <w:tcW w:w="1054" w:type="dxa"/>
            <w:tcBorders>
              <w:top w:val="nil"/>
              <w:left w:val="single" w:sz="6" w:space="0" w:color="auto"/>
              <w:bottom w:val="single" w:sz="6" w:space="0" w:color="auto"/>
              <w:right w:val="single" w:sz="6" w:space="0" w:color="auto"/>
            </w:tcBorders>
          </w:tcPr>
          <w:p w14:paraId="1095257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Availability (yes/no);</w:t>
            </w:r>
          </w:p>
          <w:p w14:paraId="44CB72D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(continuous)</w:t>
            </w:r>
          </w:p>
        </w:tc>
        <w:tc>
          <w:tcPr>
            <w:tcW w:w="1102" w:type="dxa"/>
            <w:tcBorders>
              <w:top w:val="nil"/>
              <w:left w:val="single" w:sz="6" w:space="0" w:color="auto"/>
              <w:bottom w:val="single" w:sz="6" w:space="0" w:color="auto"/>
              <w:right w:val="single" w:sz="6" w:space="0" w:color="auto"/>
            </w:tcBorders>
          </w:tcPr>
          <w:p w14:paraId="4C0275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354" w:type="dxa"/>
            <w:tcBorders>
              <w:top w:val="nil"/>
              <w:left w:val="single" w:sz="6" w:space="0" w:color="auto"/>
              <w:bottom w:val="single" w:sz="6" w:space="0" w:color="auto"/>
              <w:right w:val="single" w:sz="6" w:space="0" w:color="auto"/>
            </w:tcBorders>
          </w:tcPr>
          <w:p w14:paraId="155B163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proxy PA variable: “visits UGS for physical activity” (yes/no)</w:t>
            </w:r>
          </w:p>
        </w:tc>
        <w:tc>
          <w:tcPr>
            <w:tcW w:w="1350" w:type="dxa"/>
            <w:tcBorders>
              <w:top w:val="nil"/>
              <w:left w:val="single" w:sz="6" w:space="0" w:color="auto"/>
              <w:bottom w:val="single" w:sz="6" w:space="0" w:color="auto"/>
              <w:right w:val="single" w:sz="6" w:space="0" w:color="auto"/>
            </w:tcBorders>
          </w:tcPr>
          <w:p w14:paraId="626F1C0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080" w:type="dxa"/>
            <w:tcBorders>
              <w:top w:val="nil"/>
              <w:left w:val="single" w:sz="6" w:space="0" w:color="auto"/>
              <w:bottom w:val="single" w:sz="6" w:space="0" w:color="auto"/>
              <w:right w:val="single" w:sz="6" w:space="0" w:color="auto"/>
            </w:tcBorders>
          </w:tcPr>
          <w:p w14:paraId="5B925A2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mixed-effects logistic regression</w:t>
            </w:r>
          </w:p>
        </w:tc>
        <w:tc>
          <w:tcPr>
            <w:tcW w:w="1350" w:type="dxa"/>
            <w:tcBorders>
              <w:top w:val="nil"/>
              <w:left w:val="single" w:sz="6" w:space="0" w:color="auto"/>
              <w:bottom w:val="single" w:sz="6" w:space="0" w:color="auto"/>
              <w:right w:val="single" w:sz="6" w:space="0" w:color="auto"/>
            </w:tcBorders>
          </w:tcPr>
          <w:p w14:paraId="1898A94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3A334A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1728C4E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parental education</w:t>
            </w:r>
          </w:p>
          <w:p w14:paraId="1217065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gated community</w:t>
            </w:r>
          </w:p>
          <w:p w14:paraId="185B46C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years in neighbourhood</w:t>
            </w:r>
          </w:p>
          <w:p w14:paraId="00B7B80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UGS availability/number/quality,</w:t>
            </w:r>
          </w:p>
          <w:p w14:paraId="231AEB8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regular sports/PA</w:t>
            </w:r>
          </w:p>
          <w:p w14:paraId="5ACAB33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random intercepts for class and school.</w:t>
            </w:r>
          </w:p>
        </w:tc>
        <w:tc>
          <w:tcPr>
            <w:tcW w:w="990" w:type="dxa"/>
            <w:tcBorders>
              <w:top w:val="nil"/>
              <w:left w:val="single" w:sz="6" w:space="0" w:color="auto"/>
              <w:bottom w:val="single" w:sz="6" w:space="0" w:color="auto"/>
              <w:right w:val="single" w:sz="6" w:space="0" w:color="auto"/>
            </w:tcBorders>
          </w:tcPr>
          <w:p w14:paraId="2D4974F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4500" w:type="dxa"/>
            <w:gridSpan w:val="4"/>
            <w:tcBorders>
              <w:top w:val="nil"/>
              <w:left w:val="single" w:sz="6" w:space="0" w:color="auto"/>
              <w:bottom w:val="single" w:sz="6" w:space="0" w:color="auto"/>
              <w:right w:val="single" w:sz="6" w:space="0" w:color="auto"/>
            </w:tcBorders>
          </w:tcPr>
          <w:p w14:paraId="761A25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 UGS in proximity → odds of visiting UGS: OR = 0.192 | 0.151–0.244 | &lt;0.001 | negative (proximity supports visits). </w:t>
            </w:r>
          </w:p>
        </w:tc>
      </w:tr>
      <w:tr w:rsidR="0037619D" w:rsidRPr="000F3EBD" w14:paraId="107B1FE0" w14:textId="77777777" w:rsidTr="00693EBB">
        <w:trPr>
          <w:trHeight w:val="3756"/>
        </w:trPr>
        <w:tc>
          <w:tcPr>
            <w:tcW w:w="1072" w:type="dxa"/>
            <w:tcBorders>
              <w:top w:val="nil"/>
              <w:left w:val="single" w:sz="6" w:space="0" w:color="auto"/>
              <w:bottom w:val="single" w:sz="6" w:space="0" w:color="auto"/>
              <w:right w:val="single" w:sz="6" w:space="0" w:color="auto"/>
            </w:tcBorders>
          </w:tcPr>
          <w:p w14:paraId="23C9072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Kowaleski-Jones et al.</w:t>
            </w:r>
          </w:p>
          <w:p w14:paraId="722438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896" w:type="dxa"/>
            <w:tcBorders>
              <w:top w:val="nil"/>
              <w:left w:val="single" w:sz="6" w:space="0" w:color="auto"/>
              <w:bottom w:val="single" w:sz="6" w:space="0" w:color="auto"/>
              <w:right w:val="single" w:sz="6" w:space="0" w:color="auto"/>
            </w:tcBorders>
          </w:tcPr>
          <w:p w14:paraId="72902F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207CDE6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716D1FC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2,706</w:t>
            </w:r>
          </w:p>
        </w:tc>
        <w:tc>
          <w:tcPr>
            <w:tcW w:w="1028" w:type="dxa"/>
            <w:tcBorders>
              <w:top w:val="nil"/>
              <w:left w:val="single" w:sz="6" w:space="0" w:color="auto"/>
              <w:bottom w:val="single" w:sz="6" w:space="0" w:color="auto"/>
              <w:right w:val="single" w:sz="6" w:space="0" w:color="auto"/>
            </w:tcBorders>
          </w:tcPr>
          <w:p w14:paraId="026A34D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Youth</w:t>
            </w:r>
          </w:p>
          <w:p w14:paraId="3F7A2AF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6–17 years</w:t>
            </w:r>
          </w:p>
        </w:tc>
        <w:tc>
          <w:tcPr>
            <w:tcW w:w="1446" w:type="dxa"/>
            <w:tcBorders>
              <w:top w:val="nil"/>
              <w:left w:val="single" w:sz="6" w:space="0" w:color="auto"/>
              <w:bottom w:val="single" w:sz="6" w:space="0" w:color="auto"/>
              <w:right w:val="single" w:sz="6" w:space="0" w:color="auto"/>
            </w:tcBorders>
          </w:tcPr>
          <w:p w14:paraId="4CD03B0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Average distance (miles) to 7 nearest parks (population &amp; park-size weighted)</w:t>
            </w:r>
          </w:p>
        </w:tc>
        <w:tc>
          <w:tcPr>
            <w:tcW w:w="1080" w:type="dxa"/>
            <w:tcBorders>
              <w:top w:val="nil"/>
              <w:left w:val="single" w:sz="6" w:space="0" w:color="auto"/>
              <w:bottom w:val="single" w:sz="6" w:space="0" w:color="auto"/>
              <w:right w:val="single" w:sz="6" w:space="0" w:color="auto"/>
            </w:tcBorders>
          </w:tcPr>
          <w:p w14:paraId="6B75437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 &amp; forests</w:t>
            </w:r>
          </w:p>
        </w:tc>
        <w:tc>
          <w:tcPr>
            <w:tcW w:w="1080" w:type="dxa"/>
            <w:tcBorders>
              <w:top w:val="nil"/>
              <w:left w:val="single" w:sz="6" w:space="0" w:color="auto"/>
              <w:bottom w:val="single" w:sz="6" w:space="0" w:color="auto"/>
              <w:right w:val="single" w:sz="6" w:space="0" w:color="auto"/>
            </w:tcBorders>
          </w:tcPr>
          <w:p w14:paraId="0CAA613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ESRI ArcGIS 9.3 park layer (2006)</w:t>
            </w:r>
          </w:p>
        </w:tc>
        <w:tc>
          <w:tcPr>
            <w:tcW w:w="1530" w:type="dxa"/>
            <w:tcBorders>
              <w:top w:val="nil"/>
              <w:left w:val="single" w:sz="6" w:space="0" w:color="auto"/>
              <w:bottom w:val="single" w:sz="6" w:space="0" w:color="auto"/>
              <w:right w:val="single" w:sz="6" w:space="0" w:color="auto"/>
            </w:tcBorders>
          </w:tcPr>
          <w:p w14:paraId="7F5F150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Euclidean distance</w:t>
            </w:r>
          </w:p>
          <w:p w14:paraId="7DB675E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(centroid-to-park)</w:t>
            </w:r>
          </w:p>
        </w:tc>
        <w:tc>
          <w:tcPr>
            <w:tcW w:w="1054" w:type="dxa"/>
            <w:tcBorders>
              <w:top w:val="nil"/>
              <w:left w:val="single" w:sz="6" w:space="0" w:color="auto"/>
              <w:bottom w:val="single" w:sz="6" w:space="0" w:color="auto"/>
              <w:right w:val="single" w:sz="6" w:space="0" w:color="auto"/>
            </w:tcBorders>
          </w:tcPr>
          <w:p w14:paraId="5BD6CA8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Continuous</w:t>
            </w:r>
          </w:p>
        </w:tc>
        <w:tc>
          <w:tcPr>
            <w:tcW w:w="1102" w:type="dxa"/>
            <w:tcBorders>
              <w:top w:val="nil"/>
              <w:left w:val="single" w:sz="6" w:space="0" w:color="auto"/>
              <w:bottom w:val="single" w:sz="6" w:space="0" w:color="auto"/>
              <w:right w:val="single" w:sz="6" w:space="0" w:color="auto"/>
            </w:tcBorders>
          </w:tcPr>
          <w:p w14:paraId="5A25921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Census-tract exposure;</w:t>
            </w:r>
          </w:p>
          <w:p w14:paraId="6E6324E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PA outcome</w:t>
            </w:r>
          </w:p>
        </w:tc>
        <w:tc>
          <w:tcPr>
            <w:tcW w:w="1354" w:type="dxa"/>
            <w:tcBorders>
              <w:top w:val="nil"/>
              <w:left w:val="single" w:sz="6" w:space="0" w:color="auto"/>
              <w:bottom w:val="single" w:sz="6" w:space="0" w:color="auto"/>
              <w:right w:val="single" w:sz="6" w:space="0" w:color="auto"/>
            </w:tcBorders>
          </w:tcPr>
          <w:p w14:paraId="6C8C490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Minutes/day of MVPA</w:t>
            </w:r>
          </w:p>
        </w:tc>
        <w:tc>
          <w:tcPr>
            <w:tcW w:w="1350" w:type="dxa"/>
            <w:tcBorders>
              <w:top w:val="nil"/>
              <w:left w:val="single" w:sz="6" w:space="0" w:color="auto"/>
              <w:bottom w:val="single" w:sz="6" w:space="0" w:color="auto"/>
              <w:right w:val="single" w:sz="6" w:space="0" w:color="auto"/>
            </w:tcBorders>
          </w:tcPr>
          <w:p w14:paraId="5CDA5C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w:t>
            </w:r>
          </w:p>
          <w:p w14:paraId="401D39F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(ActiGraph; 4–7 days)</w:t>
            </w:r>
          </w:p>
        </w:tc>
        <w:tc>
          <w:tcPr>
            <w:tcW w:w="1080" w:type="dxa"/>
            <w:tcBorders>
              <w:top w:val="nil"/>
              <w:left w:val="single" w:sz="6" w:space="0" w:color="auto"/>
              <w:bottom w:val="single" w:sz="6" w:space="0" w:color="auto"/>
              <w:right w:val="single" w:sz="6" w:space="0" w:color="auto"/>
            </w:tcBorders>
          </w:tcPr>
          <w:p w14:paraId="3C45305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Survey-weighted linear regression (SAS)</w:t>
            </w:r>
          </w:p>
        </w:tc>
        <w:tc>
          <w:tcPr>
            <w:tcW w:w="1350" w:type="dxa"/>
            <w:tcBorders>
              <w:top w:val="nil"/>
              <w:left w:val="single" w:sz="6" w:space="0" w:color="auto"/>
              <w:bottom w:val="single" w:sz="6" w:space="0" w:color="auto"/>
              <w:right w:val="single" w:sz="6" w:space="0" w:color="auto"/>
            </w:tcBorders>
          </w:tcPr>
          <w:p w14:paraId="455C464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00024D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20926EA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2CAAC92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immigrant status</w:t>
            </w:r>
          </w:p>
          <w:p w14:paraId="2EF3499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income-to-poverty ratio</w:t>
            </w:r>
          </w:p>
          <w:p w14:paraId="465BD63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SES composite</w:t>
            </w:r>
          </w:p>
          <w:p w14:paraId="4C35CF1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White residents</w:t>
            </w:r>
          </w:p>
          <w:p w14:paraId="4755F69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plus density</w:t>
            </w:r>
          </w:p>
          <w:p w14:paraId="47E23E9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 connectivity,</w:t>
            </w:r>
          </w:p>
          <w:p w14:paraId="4D88467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walk/bike to work,</w:t>
            </w:r>
          </w:p>
          <w:p w14:paraId="0003A5F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age</w:t>
            </w:r>
          </w:p>
        </w:tc>
        <w:tc>
          <w:tcPr>
            <w:tcW w:w="990" w:type="dxa"/>
            <w:tcBorders>
              <w:top w:val="nil"/>
              <w:left w:val="single" w:sz="6" w:space="0" w:color="auto"/>
              <w:bottom w:val="single" w:sz="6" w:space="0" w:color="auto"/>
              <w:right w:val="single" w:sz="6" w:space="0" w:color="auto"/>
            </w:tcBorders>
          </w:tcPr>
          <w:p w14:paraId="27019AD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w:t>
            </w:r>
          </w:p>
        </w:tc>
        <w:tc>
          <w:tcPr>
            <w:tcW w:w="1260" w:type="dxa"/>
            <w:tcBorders>
              <w:top w:val="nil"/>
              <w:left w:val="single" w:sz="6" w:space="0" w:color="auto"/>
              <w:bottom w:val="single" w:sz="6" w:space="0" w:color="auto"/>
              <w:right w:val="single" w:sz="6" w:space="0" w:color="auto"/>
            </w:tcBorders>
          </w:tcPr>
          <w:p w14:paraId="039DFB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6–11 (total): β = −4.31 min/day per mile</w:t>
            </w:r>
          </w:p>
          <w:p w14:paraId="5ED3C86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7DBAFB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Teens 12–17 (total): β = −1.43 min/day per mile</w:t>
            </w:r>
          </w:p>
          <w:p w14:paraId="095BDA3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3CF66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Teens 12–17 (males): β = −2.34 min/day per mile</w:t>
            </w:r>
          </w:p>
        </w:tc>
        <w:tc>
          <w:tcPr>
            <w:tcW w:w="900" w:type="dxa"/>
            <w:tcBorders>
              <w:top w:val="nil"/>
              <w:left w:val="single" w:sz="6" w:space="0" w:color="auto"/>
              <w:bottom w:val="single" w:sz="6" w:space="0" w:color="auto"/>
              <w:right w:val="single" w:sz="6" w:space="0" w:color="auto"/>
            </w:tcBorders>
          </w:tcPr>
          <w:p w14:paraId="66AB1CC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810" w:type="dxa"/>
            <w:tcBorders>
              <w:top w:val="nil"/>
              <w:left w:val="single" w:sz="6" w:space="0" w:color="auto"/>
              <w:bottom w:val="single" w:sz="6" w:space="0" w:color="auto"/>
              <w:right w:val="single" w:sz="6" w:space="0" w:color="auto"/>
            </w:tcBorders>
          </w:tcPr>
          <w:p w14:paraId="4D7C0A5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6–11 total p&lt;.01; </w:t>
            </w:r>
          </w:p>
          <w:p w14:paraId="2AA54B6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12–17 total p&lt;.05;</w:t>
            </w:r>
          </w:p>
          <w:p w14:paraId="22497C5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12–17 males p&lt;.01</w:t>
            </w:r>
          </w:p>
        </w:tc>
        <w:tc>
          <w:tcPr>
            <w:tcW w:w="1530" w:type="dxa"/>
            <w:tcBorders>
              <w:top w:val="nil"/>
              <w:left w:val="single" w:sz="6" w:space="0" w:color="auto"/>
              <w:bottom w:val="single" w:sz="6" w:space="0" w:color="auto"/>
              <w:right w:val="single" w:sz="6" w:space="0" w:color="auto"/>
            </w:tcBorders>
          </w:tcPr>
          <w:p w14:paraId="7832EC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Negative </w:t>
            </w:r>
          </w:p>
          <w:p w14:paraId="549919A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(greater distance → less PA)</w:t>
            </w:r>
          </w:p>
        </w:tc>
      </w:tr>
      <w:tr w:rsidR="0037619D" w:rsidRPr="000F3EBD" w14:paraId="5CE33F26" w14:textId="77777777" w:rsidTr="00693EBB">
        <w:trPr>
          <w:trHeight w:val="3962"/>
        </w:trPr>
        <w:tc>
          <w:tcPr>
            <w:tcW w:w="1072" w:type="dxa"/>
            <w:tcBorders>
              <w:top w:val="nil"/>
              <w:left w:val="single" w:sz="6" w:space="0" w:color="auto"/>
              <w:bottom w:val="single" w:sz="6" w:space="0" w:color="auto"/>
              <w:right w:val="single" w:sz="6" w:space="0" w:color="auto"/>
            </w:tcBorders>
          </w:tcPr>
          <w:p w14:paraId="5E828AE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Witten et al.,</w:t>
            </w:r>
          </w:p>
          <w:p w14:paraId="511862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2008</w:t>
            </w:r>
          </w:p>
        </w:tc>
        <w:tc>
          <w:tcPr>
            <w:tcW w:w="896" w:type="dxa"/>
            <w:tcBorders>
              <w:top w:val="nil"/>
              <w:left w:val="single" w:sz="6" w:space="0" w:color="auto"/>
              <w:bottom w:val="single" w:sz="6" w:space="0" w:color="auto"/>
              <w:right w:val="single" w:sz="6" w:space="0" w:color="auto"/>
            </w:tcBorders>
          </w:tcPr>
          <w:p w14:paraId="2F8A1E8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New Zealand</w:t>
            </w:r>
          </w:p>
        </w:tc>
        <w:tc>
          <w:tcPr>
            <w:tcW w:w="899" w:type="dxa"/>
            <w:tcBorders>
              <w:top w:val="nil"/>
              <w:left w:val="single" w:sz="6" w:space="0" w:color="auto"/>
              <w:bottom w:val="single" w:sz="6" w:space="0" w:color="auto"/>
              <w:right w:val="single" w:sz="6" w:space="0" w:color="auto"/>
            </w:tcBorders>
          </w:tcPr>
          <w:p w14:paraId="60C30B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35906B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12,529</w:t>
            </w:r>
          </w:p>
        </w:tc>
        <w:tc>
          <w:tcPr>
            <w:tcW w:w="1028" w:type="dxa"/>
            <w:tcBorders>
              <w:top w:val="nil"/>
              <w:left w:val="single" w:sz="6" w:space="0" w:color="auto"/>
              <w:bottom w:val="single" w:sz="6" w:space="0" w:color="auto"/>
              <w:right w:val="single" w:sz="6" w:space="0" w:color="auto"/>
            </w:tcBorders>
          </w:tcPr>
          <w:p w14:paraId="008488F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w:t>
            </w:r>
          </w:p>
          <w:p w14:paraId="778832D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15–24,</w:t>
            </w:r>
          </w:p>
          <w:p w14:paraId="3F144A2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25–44,</w:t>
            </w:r>
          </w:p>
          <w:p w14:paraId="086CFDD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45–64,</w:t>
            </w:r>
          </w:p>
          <w:p w14:paraId="5853659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w:t>
            </w:r>
          </w:p>
        </w:tc>
        <w:tc>
          <w:tcPr>
            <w:tcW w:w="1446" w:type="dxa"/>
            <w:tcBorders>
              <w:top w:val="nil"/>
              <w:left w:val="single" w:sz="6" w:space="0" w:color="auto"/>
              <w:bottom w:val="single" w:sz="6" w:space="0" w:color="auto"/>
              <w:right w:val="single" w:sz="6" w:space="0" w:color="auto"/>
            </w:tcBorders>
          </w:tcPr>
          <w:p w14:paraId="126C4F8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GIS network car travel time (min) from meshblock centroid to nearest park</w:t>
            </w:r>
          </w:p>
        </w:tc>
        <w:tc>
          <w:tcPr>
            <w:tcW w:w="1080" w:type="dxa"/>
            <w:tcBorders>
              <w:top w:val="nil"/>
              <w:left w:val="single" w:sz="6" w:space="0" w:color="auto"/>
              <w:bottom w:val="single" w:sz="6" w:space="0" w:color="auto"/>
              <w:right w:val="single" w:sz="6" w:space="0" w:color="auto"/>
            </w:tcBorders>
          </w:tcPr>
          <w:p w14:paraId="6034D94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080" w:type="dxa"/>
            <w:tcBorders>
              <w:top w:val="nil"/>
              <w:left w:val="single" w:sz="6" w:space="0" w:color="auto"/>
              <w:bottom w:val="single" w:sz="6" w:space="0" w:color="auto"/>
              <w:right w:val="single" w:sz="6" w:space="0" w:color="auto"/>
            </w:tcBorders>
          </w:tcPr>
          <w:p w14:paraId="668102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LINZ; Dept. of Conservation (parks)</w:t>
            </w:r>
          </w:p>
        </w:tc>
        <w:tc>
          <w:tcPr>
            <w:tcW w:w="1530" w:type="dxa"/>
            <w:tcBorders>
              <w:top w:val="nil"/>
              <w:left w:val="single" w:sz="6" w:space="0" w:color="auto"/>
              <w:bottom w:val="single" w:sz="6" w:space="0" w:color="auto"/>
              <w:right w:val="single" w:sz="6" w:space="0" w:color="auto"/>
            </w:tcBorders>
          </w:tcPr>
          <w:p w14:paraId="7E57B25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Road-network travel time by car (ArcInfo)</w:t>
            </w:r>
          </w:p>
        </w:tc>
        <w:tc>
          <w:tcPr>
            <w:tcW w:w="1054" w:type="dxa"/>
            <w:tcBorders>
              <w:top w:val="nil"/>
              <w:left w:val="single" w:sz="6" w:space="0" w:color="auto"/>
              <w:bottom w:val="single" w:sz="6" w:space="0" w:color="auto"/>
              <w:right w:val="single" w:sz="6" w:space="0" w:color="auto"/>
            </w:tcBorders>
          </w:tcPr>
          <w:p w14:paraId="0561E6E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quartiles:</w:t>
            </w:r>
          </w:p>
          <w:p w14:paraId="17E445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&lt;0.8,</w:t>
            </w:r>
          </w:p>
          <w:p w14:paraId="2B5486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0.8–1.4,</w:t>
            </w:r>
          </w:p>
          <w:p w14:paraId="64C08AD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1.4–2.4,</w:t>
            </w:r>
          </w:p>
          <w:p w14:paraId="499A758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&gt;2.4 min</w:t>
            </w:r>
          </w:p>
        </w:tc>
        <w:tc>
          <w:tcPr>
            <w:tcW w:w="1102" w:type="dxa"/>
            <w:tcBorders>
              <w:top w:val="nil"/>
              <w:left w:val="single" w:sz="6" w:space="0" w:color="auto"/>
              <w:bottom w:val="single" w:sz="6" w:space="0" w:color="auto"/>
              <w:right w:val="single" w:sz="6" w:space="0" w:color="auto"/>
            </w:tcBorders>
          </w:tcPr>
          <w:p w14:paraId="459C853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Neighbourhood: exposure</w:t>
            </w:r>
          </w:p>
          <w:p w14:paraId="20AEF3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outcomes</w:t>
            </w:r>
          </w:p>
        </w:tc>
        <w:tc>
          <w:tcPr>
            <w:tcW w:w="1354" w:type="dxa"/>
            <w:tcBorders>
              <w:top w:val="nil"/>
              <w:left w:val="single" w:sz="6" w:space="0" w:color="auto"/>
              <w:bottom w:val="single" w:sz="6" w:space="0" w:color="auto"/>
              <w:right w:val="single" w:sz="6" w:space="0" w:color="auto"/>
            </w:tcBorders>
          </w:tcPr>
          <w:p w14:paraId="72C83C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Sedentary (&lt;30 min PA in past week)</w:t>
            </w:r>
          </w:p>
          <w:p w14:paraId="06B660A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Recommended PA (≥2.5 h on ≥5 days in past week)</w:t>
            </w:r>
          </w:p>
        </w:tc>
        <w:tc>
          <w:tcPr>
            <w:tcW w:w="1350" w:type="dxa"/>
            <w:tcBorders>
              <w:top w:val="nil"/>
              <w:left w:val="single" w:sz="6" w:space="0" w:color="auto"/>
              <w:bottom w:val="single" w:sz="6" w:space="0" w:color="auto"/>
              <w:right w:val="single" w:sz="6" w:space="0" w:color="auto"/>
            </w:tcBorders>
          </w:tcPr>
          <w:p w14:paraId="1DA6AAE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080" w:type="dxa"/>
            <w:tcBorders>
              <w:top w:val="nil"/>
              <w:left w:val="single" w:sz="6" w:space="0" w:color="auto"/>
              <w:bottom w:val="single" w:sz="6" w:space="0" w:color="auto"/>
              <w:right w:val="single" w:sz="6" w:space="0" w:color="auto"/>
            </w:tcBorders>
          </w:tcPr>
          <w:p w14:paraId="1DF8322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350" w:type="dxa"/>
            <w:tcBorders>
              <w:top w:val="nil"/>
              <w:left w:val="single" w:sz="6" w:space="0" w:color="auto"/>
              <w:bottom w:val="single" w:sz="6" w:space="0" w:color="auto"/>
              <w:right w:val="single" w:sz="6" w:space="0" w:color="auto"/>
            </w:tcBorders>
          </w:tcPr>
          <w:p w14:paraId="55A88C6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Design vars (sampling/ethnicity/household),</w:t>
            </w:r>
          </w:p>
          <w:p w14:paraId="3E2053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79397C8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 groups</w:t>
            </w:r>
          </w:p>
          <w:p w14:paraId="2D6C60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31B7489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social class,</w:t>
            </w:r>
          </w:p>
          <w:p w14:paraId="5F694BF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benefits,</w:t>
            </w:r>
          </w:p>
          <w:p w14:paraId="6593D43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employment,</w:t>
            </w:r>
          </w:p>
          <w:p w14:paraId="73401BA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income</w:t>
            </w:r>
          </w:p>
          <w:p w14:paraId="7D7133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 deprivation </w:t>
            </w:r>
          </w:p>
          <w:p w14:paraId="7AC336A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urban/rural </w:t>
            </w:r>
          </w:p>
        </w:tc>
        <w:tc>
          <w:tcPr>
            <w:tcW w:w="990" w:type="dxa"/>
            <w:tcBorders>
              <w:top w:val="nil"/>
              <w:left w:val="single" w:sz="6" w:space="0" w:color="auto"/>
              <w:bottom w:val="single" w:sz="6" w:space="0" w:color="auto"/>
              <w:right w:val="single" w:sz="6" w:space="0" w:color="auto"/>
            </w:tcBorders>
          </w:tcPr>
          <w:p w14:paraId="2E14916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2970" w:type="dxa"/>
            <w:gridSpan w:val="3"/>
            <w:tcBorders>
              <w:top w:val="nil"/>
              <w:left w:val="single" w:sz="6" w:space="0" w:color="auto"/>
              <w:bottom w:val="single" w:sz="6" w:space="0" w:color="auto"/>
              <w:right w:val="single" w:sz="6" w:space="0" w:color="auto"/>
            </w:tcBorders>
          </w:tcPr>
          <w:p w14:paraId="661A726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 Sedentary: Worst vs best OR 0.84 (0.63–1.11) — NS.</w:t>
            </w:r>
          </w:p>
          <w:p w14:paraId="1FA2F7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49F4A12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 Recommended PA: Worst vs best OR 1.15 (0.96–1.37) — NS.</w:t>
            </w:r>
          </w:p>
        </w:tc>
        <w:tc>
          <w:tcPr>
            <w:tcW w:w="1530" w:type="dxa"/>
            <w:tcBorders>
              <w:top w:val="nil"/>
              <w:left w:val="single" w:sz="6" w:space="0" w:color="auto"/>
              <w:bottom w:val="single" w:sz="6" w:space="0" w:color="auto"/>
              <w:right w:val="single" w:sz="6" w:space="0" w:color="auto"/>
            </w:tcBorders>
          </w:tcPr>
          <w:p w14:paraId="48D6360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essentially null after adjustment (some counter-intuitive crude signals attenuate).</w:t>
            </w:r>
          </w:p>
        </w:tc>
      </w:tr>
      <w:tr w:rsidR="0037619D" w:rsidRPr="000F3EBD" w14:paraId="7F69F151" w14:textId="77777777" w:rsidTr="00693EBB">
        <w:trPr>
          <w:trHeight w:val="1875"/>
        </w:trPr>
        <w:tc>
          <w:tcPr>
            <w:tcW w:w="1072" w:type="dxa"/>
            <w:tcBorders>
              <w:top w:val="nil"/>
              <w:left w:val="single" w:sz="6" w:space="0" w:color="auto"/>
              <w:bottom w:val="single" w:sz="6" w:space="0" w:color="auto"/>
              <w:right w:val="single" w:sz="6" w:space="0" w:color="auto"/>
            </w:tcBorders>
          </w:tcPr>
          <w:p w14:paraId="14FA6CC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King WC et al.,</w:t>
            </w:r>
          </w:p>
          <w:p w14:paraId="662BA4D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2005</w:t>
            </w:r>
          </w:p>
        </w:tc>
        <w:tc>
          <w:tcPr>
            <w:tcW w:w="896" w:type="dxa"/>
            <w:tcBorders>
              <w:top w:val="nil"/>
              <w:left w:val="single" w:sz="6" w:space="0" w:color="auto"/>
              <w:bottom w:val="single" w:sz="6" w:space="0" w:color="auto"/>
              <w:right w:val="single" w:sz="6" w:space="0" w:color="auto"/>
            </w:tcBorders>
          </w:tcPr>
          <w:p w14:paraId="335FE62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010D77C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7CB7FE2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158</w:t>
            </w:r>
          </w:p>
        </w:tc>
        <w:tc>
          <w:tcPr>
            <w:tcW w:w="1028" w:type="dxa"/>
            <w:tcBorders>
              <w:top w:val="nil"/>
              <w:left w:val="single" w:sz="6" w:space="0" w:color="auto"/>
              <w:bottom w:val="single" w:sz="6" w:space="0" w:color="auto"/>
              <w:right w:val="single" w:sz="6" w:space="0" w:color="auto"/>
            </w:tcBorders>
          </w:tcPr>
          <w:p w14:paraId="399F071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Overweight/obese postmenopausal women</w:t>
            </w:r>
          </w:p>
          <w:p w14:paraId="24E02E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52–62 years</w:t>
            </w:r>
          </w:p>
        </w:tc>
        <w:tc>
          <w:tcPr>
            <w:tcW w:w="1446" w:type="dxa"/>
            <w:tcBorders>
              <w:top w:val="nil"/>
              <w:left w:val="single" w:sz="6" w:space="0" w:color="auto"/>
              <w:bottom w:val="single" w:sz="6" w:space="0" w:color="auto"/>
              <w:right w:val="single" w:sz="6" w:space="0" w:color="auto"/>
            </w:tcBorders>
          </w:tcPr>
          <w:p w14:paraId="4755D4D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“Within walking distance” defined as ≤1,500 m along road network to destinations (binary yes/no)</w:t>
            </w:r>
          </w:p>
        </w:tc>
        <w:tc>
          <w:tcPr>
            <w:tcW w:w="1080" w:type="dxa"/>
            <w:tcBorders>
              <w:top w:val="nil"/>
              <w:left w:val="single" w:sz="6" w:space="0" w:color="auto"/>
              <w:bottom w:val="single" w:sz="6" w:space="0" w:color="auto"/>
              <w:right w:val="single" w:sz="6" w:space="0" w:color="auto"/>
            </w:tcBorders>
          </w:tcPr>
          <w:p w14:paraId="42D23E4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p w14:paraId="16ACEAC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walking/biking trails</w:t>
            </w:r>
          </w:p>
        </w:tc>
        <w:tc>
          <w:tcPr>
            <w:tcW w:w="1080" w:type="dxa"/>
            <w:tcBorders>
              <w:top w:val="nil"/>
              <w:left w:val="single" w:sz="6" w:space="0" w:color="auto"/>
              <w:bottom w:val="single" w:sz="6" w:space="0" w:color="auto"/>
              <w:right w:val="single" w:sz="6" w:space="0" w:color="auto"/>
            </w:tcBorders>
          </w:tcPr>
          <w:p w14:paraId="02B8008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layers (Southwestern Pennsylvania Commission) + geocoded home addresses</w:t>
            </w:r>
          </w:p>
        </w:tc>
        <w:tc>
          <w:tcPr>
            <w:tcW w:w="1530" w:type="dxa"/>
            <w:tcBorders>
              <w:top w:val="nil"/>
              <w:left w:val="single" w:sz="6" w:space="0" w:color="auto"/>
              <w:bottom w:val="single" w:sz="6" w:space="0" w:color="auto"/>
              <w:right w:val="single" w:sz="6" w:space="0" w:color="auto"/>
            </w:tcBorders>
          </w:tcPr>
          <w:p w14:paraId="67FA11C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distance</w:t>
            </w:r>
          </w:p>
        </w:tc>
        <w:tc>
          <w:tcPr>
            <w:tcW w:w="1054" w:type="dxa"/>
            <w:tcBorders>
              <w:top w:val="nil"/>
              <w:left w:val="single" w:sz="6" w:space="0" w:color="auto"/>
              <w:bottom w:val="single" w:sz="6" w:space="0" w:color="auto"/>
              <w:right w:val="single" w:sz="6" w:space="0" w:color="auto"/>
            </w:tcBorders>
          </w:tcPr>
          <w:p w14:paraId="7F885F4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1,500 m cutoff;</w:t>
            </w:r>
          </w:p>
          <w:p w14:paraId="2DBCE85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destination count 0–7</w:t>
            </w:r>
          </w:p>
        </w:tc>
        <w:tc>
          <w:tcPr>
            <w:tcW w:w="1102" w:type="dxa"/>
            <w:tcBorders>
              <w:top w:val="nil"/>
              <w:left w:val="single" w:sz="6" w:space="0" w:color="auto"/>
              <w:bottom w:val="single" w:sz="6" w:space="0" w:color="auto"/>
              <w:right w:val="single" w:sz="6" w:space="0" w:color="auto"/>
            </w:tcBorders>
          </w:tcPr>
          <w:p w14:paraId="432908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outcome;</w:t>
            </w:r>
          </w:p>
          <w:p w14:paraId="18407BD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exposure within 1,500 m network buffer</w:t>
            </w:r>
          </w:p>
        </w:tc>
        <w:tc>
          <w:tcPr>
            <w:tcW w:w="1354" w:type="dxa"/>
            <w:tcBorders>
              <w:top w:val="nil"/>
              <w:left w:val="single" w:sz="6" w:space="0" w:color="auto"/>
              <w:bottom w:val="single" w:sz="6" w:space="0" w:color="auto"/>
              <w:right w:val="single" w:sz="6" w:space="0" w:color="auto"/>
            </w:tcBorders>
          </w:tcPr>
          <w:p w14:paraId="7CDCEB9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Steps/day (total PA)</w:t>
            </w:r>
          </w:p>
        </w:tc>
        <w:tc>
          <w:tcPr>
            <w:tcW w:w="1350" w:type="dxa"/>
            <w:tcBorders>
              <w:top w:val="nil"/>
              <w:left w:val="single" w:sz="6" w:space="0" w:color="auto"/>
              <w:bottom w:val="single" w:sz="6" w:space="0" w:color="auto"/>
              <w:right w:val="single" w:sz="6" w:space="0" w:color="auto"/>
            </w:tcBorders>
          </w:tcPr>
          <w:p w14:paraId="424792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Pedometer (Yamax Accusplit)</w:t>
            </w:r>
          </w:p>
        </w:tc>
        <w:tc>
          <w:tcPr>
            <w:tcW w:w="1080" w:type="dxa"/>
            <w:tcBorders>
              <w:top w:val="nil"/>
              <w:left w:val="single" w:sz="6" w:space="0" w:color="auto"/>
              <w:bottom w:val="single" w:sz="6" w:space="0" w:color="auto"/>
              <w:right w:val="single" w:sz="6" w:space="0" w:color="auto"/>
            </w:tcBorders>
          </w:tcPr>
          <w:p w14:paraId="4EBC75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350" w:type="dxa"/>
            <w:tcBorders>
              <w:top w:val="nil"/>
              <w:left w:val="single" w:sz="6" w:space="0" w:color="auto"/>
              <w:bottom w:val="single" w:sz="6" w:space="0" w:color="auto"/>
              <w:right w:val="single" w:sz="6" w:space="0" w:color="auto"/>
            </w:tcBorders>
          </w:tcPr>
          <w:p w14:paraId="2EE3D88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75F78F1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race/ethnicity,</w:t>
            </w:r>
          </w:p>
          <w:p w14:paraId="35390E1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68DF67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 status,</w:t>
            </w:r>
          </w:p>
          <w:p w14:paraId="5D9426B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tc>
        <w:tc>
          <w:tcPr>
            <w:tcW w:w="990" w:type="dxa"/>
            <w:tcBorders>
              <w:top w:val="nil"/>
              <w:left w:val="single" w:sz="6" w:space="0" w:color="auto"/>
              <w:bottom w:val="single" w:sz="6" w:space="0" w:color="auto"/>
              <w:right w:val="single" w:sz="6" w:space="0" w:color="auto"/>
            </w:tcBorders>
          </w:tcPr>
          <w:p w14:paraId="179F52C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w:t>
            </w:r>
          </w:p>
        </w:tc>
        <w:tc>
          <w:tcPr>
            <w:tcW w:w="2970" w:type="dxa"/>
            <w:gridSpan w:val="3"/>
            <w:tcBorders>
              <w:top w:val="nil"/>
              <w:left w:val="single" w:sz="6" w:space="0" w:color="auto"/>
              <w:bottom w:val="single" w:sz="6" w:space="0" w:color="auto"/>
              <w:right w:val="single" w:sz="6" w:space="0" w:color="auto"/>
            </w:tcBorders>
          </w:tcPr>
          <w:p w14:paraId="5636F9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Golf course within 1,500 m: β = 7.01, SE 3.31, p=0.036 (positive)</w:t>
            </w:r>
          </w:p>
          <w:p w14:paraId="161AFE9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4A52E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within 1,500 m: NS (not significant; not retained in multivariable)</w:t>
            </w:r>
          </w:p>
          <w:p w14:paraId="700759D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50FBD4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Walking/biking trail within 1,500 m: NS (bivariate only)</w:t>
            </w:r>
          </w:p>
        </w:tc>
        <w:tc>
          <w:tcPr>
            <w:tcW w:w="1530" w:type="dxa"/>
            <w:tcBorders>
              <w:top w:val="nil"/>
              <w:left w:val="single" w:sz="6" w:space="0" w:color="auto"/>
              <w:bottom w:val="single" w:sz="6" w:space="0" w:color="auto"/>
              <w:right w:val="single" w:sz="6" w:space="0" w:color="auto"/>
            </w:tcBorders>
          </w:tcPr>
          <w:p w14:paraId="27DDB4B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destinations retained (golf course, post office); parks/trails = null</w:t>
            </w:r>
          </w:p>
        </w:tc>
      </w:tr>
      <w:tr w:rsidR="0037619D" w:rsidRPr="000F3EBD" w14:paraId="73B082C5" w14:textId="77777777" w:rsidTr="00693EBB">
        <w:trPr>
          <w:trHeight w:val="2415"/>
        </w:trPr>
        <w:tc>
          <w:tcPr>
            <w:tcW w:w="1072" w:type="dxa"/>
            <w:tcBorders>
              <w:top w:val="nil"/>
              <w:left w:val="single" w:sz="6" w:space="0" w:color="auto"/>
              <w:bottom w:val="single" w:sz="6" w:space="0" w:color="auto"/>
              <w:right w:val="single" w:sz="6" w:space="0" w:color="auto"/>
            </w:tcBorders>
          </w:tcPr>
          <w:p w14:paraId="1E5BBC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Rodríguez et al.,</w:t>
            </w:r>
          </w:p>
          <w:p w14:paraId="40658D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2012</w:t>
            </w:r>
          </w:p>
        </w:tc>
        <w:tc>
          <w:tcPr>
            <w:tcW w:w="896" w:type="dxa"/>
            <w:tcBorders>
              <w:top w:val="nil"/>
              <w:left w:val="single" w:sz="6" w:space="0" w:color="auto"/>
              <w:bottom w:val="single" w:sz="6" w:space="0" w:color="auto"/>
              <w:right w:val="single" w:sz="6" w:space="0" w:color="auto"/>
            </w:tcBorders>
          </w:tcPr>
          <w:p w14:paraId="12E9FA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3539A17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Repeated-measures observational</w:t>
            </w:r>
          </w:p>
        </w:tc>
        <w:tc>
          <w:tcPr>
            <w:tcW w:w="771" w:type="dxa"/>
            <w:tcBorders>
              <w:top w:val="nil"/>
              <w:left w:val="single" w:sz="6" w:space="0" w:color="auto"/>
              <w:bottom w:val="single" w:sz="6" w:space="0" w:color="auto"/>
              <w:right w:val="single" w:sz="6" w:space="0" w:color="auto"/>
            </w:tcBorders>
          </w:tcPr>
          <w:p w14:paraId="7EF4E31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293</w:t>
            </w:r>
          </w:p>
        </w:tc>
        <w:tc>
          <w:tcPr>
            <w:tcW w:w="1028" w:type="dxa"/>
            <w:tcBorders>
              <w:top w:val="nil"/>
              <w:left w:val="single" w:sz="6" w:space="0" w:color="auto"/>
              <w:bottom w:val="single" w:sz="6" w:space="0" w:color="auto"/>
              <w:right w:val="single" w:sz="6" w:space="0" w:color="auto"/>
            </w:tcBorders>
          </w:tcPr>
          <w:p w14:paraId="13B9E44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Adolescent females</w:t>
            </w:r>
          </w:p>
          <w:p w14:paraId="5D76F3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15.3–17.6 years</w:t>
            </w:r>
          </w:p>
        </w:tc>
        <w:tc>
          <w:tcPr>
            <w:tcW w:w="1446" w:type="dxa"/>
            <w:tcBorders>
              <w:top w:val="nil"/>
              <w:left w:val="single" w:sz="6" w:space="0" w:color="auto"/>
              <w:bottom w:val="single" w:sz="6" w:space="0" w:color="auto"/>
              <w:right w:val="single" w:sz="6" w:space="0" w:color="auto"/>
            </w:tcBorders>
          </w:tcPr>
          <w:p w14:paraId="377A67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Presence of park within a 50 m buffer around each minute-level GPS point</w:t>
            </w:r>
          </w:p>
        </w:tc>
        <w:tc>
          <w:tcPr>
            <w:tcW w:w="1080" w:type="dxa"/>
            <w:tcBorders>
              <w:top w:val="nil"/>
              <w:left w:val="single" w:sz="6" w:space="0" w:color="auto"/>
              <w:bottom w:val="single" w:sz="6" w:space="0" w:color="auto"/>
              <w:right w:val="single" w:sz="6" w:space="0" w:color="auto"/>
            </w:tcBorders>
          </w:tcPr>
          <w:p w14:paraId="6DD533B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080" w:type="dxa"/>
            <w:tcBorders>
              <w:top w:val="nil"/>
              <w:left w:val="single" w:sz="6" w:space="0" w:color="auto"/>
              <w:bottom w:val="single" w:sz="6" w:space="0" w:color="auto"/>
              <w:right w:val="single" w:sz="6" w:space="0" w:color="auto"/>
            </w:tcBorders>
          </w:tcPr>
          <w:p w14:paraId="272EC64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County/municipal GIS park layers</w:t>
            </w:r>
          </w:p>
        </w:tc>
        <w:tc>
          <w:tcPr>
            <w:tcW w:w="1530" w:type="dxa"/>
            <w:tcBorders>
              <w:top w:val="nil"/>
              <w:left w:val="single" w:sz="6" w:space="0" w:color="auto"/>
              <w:bottom w:val="single" w:sz="6" w:space="0" w:color="auto"/>
              <w:right w:val="single" w:sz="6" w:space="0" w:color="auto"/>
            </w:tcBorders>
          </w:tcPr>
          <w:p w14:paraId="487A86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circular buffer (50 m) around each GPS point;</w:t>
            </w:r>
          </w:p>
          <w:p w14:paraId="1F948EA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 density from census block</w:t>
            </w:r>
          </w:p>
        </w:tc>
        <w:tc>
          <w:tcPr>
            <w:tcW w:w="1054" w:type="dxa"/>
            <w:tcBorders>
              <w:top w:val="nil"/>
              <w:left w:val="single" w:sz="6" w:space="0" w:color="auto"/>
              <w:bottom w:val="single" w:sz="6" w:space="0" w:color="auto"/>
              <w:right w:val="single" w:sz="6" w:space="0" w:color="auto"/>
            </w:tcBorders>
          </w:tcPr>
          <w:p w14:paraId="213233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w:t>
            </w:r>
          </w:p>
        </w:tc>
        <w:tc>
          <w:tcPr>
            <w:tcW w:w="1102" w:type="dxa"/>
            <w:tcBorders>
              <w:top w:val="nil"/>
              <w:left w:val="single" w:sz="6" w:space="0" w:color="auto"/>
              <w:bottom w:val="single" w:sz="6" w:space="0" w:color="auto"/>
              <w:right w:val="single" w:sz="6" w:space="0" w:color="auto"/>
            </w:tcBorders>
          </w:tcPr>
          <w:p w14:paraId="1DF9243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GPS point (per minute) with 50 m buffer;</w:t>
            </w:r>
          </w:p>
          <w:p w14:paraId="79EF6AC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home-neighborhood covariates in 800 m buffers</w:t>
            </w:r>
          </w:p>
        </w:tc>
        <w:tc>
          <w:tcPr>
            <w:tcW w:w="1354" w:type="dxa"/>
            <w:tcBorders>
              <w:top w:val="nil"/>
              <w:left w:val="single" w:sz="6" w:space="0" w:color="auto"/>
              <w:bottom w:val="single" w:sz="6" w:space="0" w:color="auto"/>
              <w:right w:val="single" w:sz="6" w:space="0" w:color="auto"/>
            </w:tcBorders>
          </w:tcPr>
          <w:p w14:paraId="70DF7C5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Intensity category</w:t>
            </w:r>
          </w:p>
          <w:p w14:paraId="48B173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(sedentary / light / MVPA)</w:t>
            </w:r>
          </w:p>
        </w:tc>
        <w:tc>
          <w:tcPr>
            <w:tcW w:w="1350" w:type="dxa"/>
            <w:tcBorders>
              <w:top w:val="nil"/>
              <w:left w:val="single" w:sz="6" w:space="0" w:color="auto"/>
              <w:bottom w:val="single" w:sz="6" w:space="0" w:color="auto"/>
              <w:right w:val="single" w:sz="6" w:space="0" w:color="auto"/>
            </w:tcBorders>
          </w:tcPr>
          <w:p w14:paraId="5A9810D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7164 (30-s epochs aggregated to 1-min)</w:t>
            </w:r>
          </w:p>
          <w:p w14:paraId="16CAF4C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Garmin Foretrex 201 GPS</w:t>
            </w:r>
          </w:p>
          <w:p w14:paraId="031C522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points within 60 m of home/school excluded</w:t>
            </w:r>
          </w:p>
        </w:tc>
        <w:tc>
          <w:tcPr>
            <w:tcW w:w="1080" w:type="dxa"/>
            <w:tcBorders>
              <w:top w:val="nil"/>
              <w:left w:val="single" w:sz="6" w:space="0" w:color="auto"/>
              <w:bottom w:val="single" w:sz="6" w:space="0" w:color="auto"/>
              <w:right w:val="single" w:sz="6" w:space="0" w:color="auto"/>
            </w:tcBorders>
          </w:tcPr>
          <w:p w14:paraId="7087706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Random-intercept multinomial logistic regression</w:t>
            </w:r>
          </w:p>
        </w:tc>
        <w:tc>
          <w:tcPr>
            <w:tcW w:w="1350" w:type="dxa"/>
            <w:tcBorders>
              <w:top w:val="nil"/>
              <w:left w:val="single" w:sz="6" w:space="0" w:color="auto"/>
              <w:bottom w:val="single" w:sz="6" w:space="0" w:color="auto"/>
              <w:right w:val="single" w:sz="6" w:space="0" w:color="auto"/>
            </w:tcBorders>
          </w:tcPr>
          <w:p w14:paraId="16F1583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43D263E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794EEBD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free/reduced lunch</w:t>
            </w:r>
          </w:p>
          <w:p w14:paraId="63BB1C14"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home-neighborhood</w:t>
            </w:r>
          </w:p>
          <w:p w14:paraId="1C311E4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 density</w:t>
            </w:r>
          </w:p>
          <w:p w14:paraId="23638307"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jobs</w:t>
            </w:r>
          </w:p>
          <w:p w14:paraId="3BA67956"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housing ratio</w:t>
            </w:r>
          </w:p>
          <w:p w14:paraId="7C89B14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road density % poverty</w:t>
            </w:r>
          </w:p>
          <w:p w14:paraId="496202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90" w:type="dxa"/>
            <w:tcBorders>
              <w:top w:val="nil"/>
              <w:left w:val="single" w:sz="6" w:space="0" w:color="auto"/>
              <w:bottom w:val="single" w:sz="6" w:space="0" w:color="auto"/>
              <w:right w:val="single" w:sz="6" w:space="0" w:color="auto"/>
            </w:tcBorders>
          </w:tcPr>
          <w:p w14:paraId="500F53A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2970" w:type="dxa"/>
            <w:gridSpan w:val="3"/>
            <w:tcBorders>
              <w:top w:val="nil"/>
              <w:left w:val="single" w:sz="6" w:space="0" w:color="auto"/>
              <w:bottom w:val="single" w:sz="6" w:space="0" w:color="auto"/>
              <w:right w:val="single" w:sz="6" w:space="0" w:color="auto"/>
            </w:tcBorders>
          </w:tcPr>
          <w:p w14:paraId="77088BA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Minneapolis: OR = 1.86 (95% CI 1.51–2.31), p&lt;0.01 (positive)</w:t>
            </w:r>
          </w:p>
          <w:p w14:paraId="1DE24DA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DCAAEC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San Diego: OR = 0.80 (95% CI 0.64–1.00), ns at p&lt;0.01 (null/negative borderline); parks → light vs sedentary: OR = 1.41 (95% CI 1.15–1.74), p&lt;0.01 (positive)</w:t>
            </w:r>
          </w:p>
        </w:tc>
        <w:tc>
          <w:tcPr>
            <w:tcW w:w="1530" w:type="dxa"/>
            <w:tcBorders>
              <w:top w:val="nil"/>
              <w:left w:val="single" w:sz="6" w:space="0" w:color="auto"/>
              <w:bottom w:val="single" w:sz="6" w:space="0" w:color="auto"/>
              <w:right w:val="single" w:sz="6" w:space="0" w:color="auto"/>
            </w:tcBorders>
          </w:tcPr>
          <w:p w14:paraId="339EF1D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MVPA in Minneapolis; positive for light (but not MVPA) in San Diego</w:t>
            </w:r>
          </w:p>
        </w:tc>
      </w:tr>
      <w:tr w:rsidR="0037619D" w:rsidRPr="000F3EBD" w14:paraId="4BB85D64" w14:textId="77777777" w:rsidTr="00693EBB">
        <w:trPr>
          <w:trHeight w:val="3054"/>
        </w:trPr>
        <w:tc>
          <w:tcPr>
            <w:tcW w:w="1072" w:type="dxa"/>
            <w:tcBorders>
              <w:top w:val="nil"/>
              <w:left w:val="single" w:sz="6" w:space="0" w:color="auto"/>
              <w:bottom w:val="single" w:sz="6" w:space="0" w:color="auto"/>
              <w:right w:val="single" w:sz="6" w:space="0" w:color="auto"/>
            </w:tcBorders>
          </w:tcPr>
          <w:p w14:paraId="5595AC3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Motomura et al.,</w:t>
            </w:r>
          </w:p>
          <w:p w14:paraId="69FC7C2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896" w:type="dxa"/>
            <w:tcBorders>
              <w:top w:val="nil"/>
              <w:left w:val="single" w:sz="6" w:space="0" w:color="auto"/>
              <w:bottom w:val="single" w:sz="6" w:space="0" w:color="auto"/>
              <w:right w:val="single" w:sz="6" w:space="0" w:color="auto"/>
            </w:tcBorders>
          </w:tcPr>
          <w:p w14:paraId="163359D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Japan</w:t>
            </w:r>
          </w:p>
        </w:tc>
        <w:tc>
          <w:tcPr>
            <w:tcW w:w="899" w:type="dxa"/>
            <w:tcBorders>
              <w:top w:val="nil"/>
              <w:left w:val="single" w:sz="6" w:space="0" w:color="auto"/>
              <w:bottom w:val="single" w:sz="6" w:space="0" w:color="auto"/>
              <w:right w:val="single" w:sz="6" w:space="0" w:color="auto"/>
            </w:tcBorders>
          </w:tcPr>
          <w:p w14:paraId="4B09F14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77B2EA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276</w:t>
            </w:r>
          </w:p>
        </w:tc>
        <w:tc>
          <w:tcPr>
            <w:tcW w:w="1028" w:type="dxa"/>
            <w:tcBorders>
              <w:top w:val="nil"/>
              <w:left w:val="single" w:sz="6" w:space="0" w:color="auto"/>
              <w:bottom w:val="single" w:sz="6" w:space="0" w:color="auto"/>
              <w:right w:val="single" w:sz="6" w:space="0" w:color="auto"/>
            </w:tcBorders>
          </w:tcPr>
          <w:p w14:paraId="2BB8A2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Older Community-dwelling adults</w:t>
            </w:r>
          </w:p>
          <w:p w14:paraId="65406FF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65–84y</w:t>
            </w:r>
          </w:p>
        </w:tc>
        <w:tc>
          <w:tcPr>
            <w:tcW w:w="1446" w:type="dxa"/>
            <w:tcBorders>
              <w:top w:val="nil"/>
              <w:left w:val="single" w:sz="6" w:space="0" w:color="auto"/>
              <w:bottom w:val="single" w:sz="6" w:space="0" w:color="auto"/>
              <w:right w:val="single" w:sz="6" w:space="0" w:color="auto"/>
            </w:tcBorders>
          </w:tcPr>
          <w:p w14:paraId="7414E6F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nearest &amp; second-nearest park; count of parks within buffers</w:t>
            </w:r>
          </w:p>
        </w:tc>
        <w:tc>
          <w:tcPr>
            <w:tcW w:w="1080" w:type="dxa"/>
            <w:tcBorders>
              <w:top w:val="nil"/>
              <w:left w:val="single" w:sz="6" w:space="0" w:color="auto"/>
              <w:bottom w:val="single" w:sz="6" w:space="0" w:color="auto"/>
              <w:right w:val="single" w:sz="6" w:space="0" w:color="auto"/>
            </w:tcBorders>
          </w:tcPr>
          <w:p w14:paraId="60ECA7E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parks/green spaces per Japan’s National Urban Park Law</w:t>
            </w:r>
          </w:p>
        </w:tc>
        <w:tc>
          <w:tcPr>
            <w:tcW w:w="1080" w:type="dxa"/>
            <w:tcBorders>
              <w:top w:val="nil"/>
              <w:left w:val="single" w:sz="6" w:space="0" w:color="auto"/>
              <w:bottom w:val="single" w:sz="6" w:space="0" w:color="auto"/>
              <w:right w:val="single" w:sz="6" w:space="0" w:color="auto"/>
            </w:tcBorders>
          </w:tcPr>
          <w:p w14:paraId="71F3436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National Land Numerical Information (Japan)</w:t>
            </w:r>
          </w:p>
        </w:tc>
        <w:tc>
          <w:tcPr>
            <w:tcW w:w="1530" w:type="dxa"/>
            <w:tcBorders>
              <w:top w:val="nil"/>
              <w:left w:val="single" w:sz="6" w:space="0" w:color="auto"/>
              <w:bottom w:val="single" w:sz="6" w:space="0" w:color="auto"/>
              <w:right w:val="single" w:sz="6" w:space="0" w:color="auto"/>
            </w:tcBorders>
          </w:tcPr>
          <w:p w14:paraId="1C6CCBF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street-network distances &amp; buffers</w:t>
            </w:r>
          </w:p>
        </w:tc>
        <w:tc>
          <w:tcPr>
            <w:tcW w:w="1054" w:type="dxa"/>
            <w:tcBorders>
              <w:top w:val="nil"/>
              <w:left w:val="single" w:sz="6" w:space="0" w:color="auto"/>
              <w:bottom w:val="single" w:sz="6" w:space="0" w:color="auto"/>
              <w:right w:val="single" w:sz="6" w:space="0" w:color="auto"/>
            </w:tcBorders>
          </w:tcPr>
          <w:p w14:paraId="14DA64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800 m and 1,600 m network buffers</w:t>
            </w:r>
          </w:p>
        </w:tc>
        <w:tc>
          <w:tcPr>
            <w:tcW w:w="1102" w:type="dxa"/>
            <w:tcBorders>
              <w:top w:val="nil"/>
              <w:left w:val="single" w:sz="6" w:space="0" w:color="auto"/>
              <w:bottom w:val="single" w:sz="6" w:space="0" w:color="auto"/>
              <w:right w:val="single" w:sz="6" w:space="0" w:color="auto"/>
            </w:tcBorders>
          </w:tcPr>
          <w:p w14:paraId="1942063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residence–centered buffers</w:t>
            </w:r>
          </w:p>
        </w:tc>
        <w:tc>
          <w:tcPr>
            <w:tcW w:w="1354" w:type="dxa"/>
            <w:tcBorders>
              <w:top w:val="nil"/>
              <w:left w:val="single" w:sz="6" w:space="0" w:color="auto"/>
              <w:bottom w:val="single" w:sz="6" w:space="0" w:color="auto"/>
              <w:right w:val="single" w:sz="6" w:space="0" w:color="auto"/>
            </w:tcBorders>
          </w:tcPr>
          <w:p w14:paraId="14F432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Light PA (min/day);</w:t>
            </w:r>
          </w:p>
          <w:p w14:paraId="7737F6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(min/day);</w:t>
            </w:r>
          </w:p>
          <w:p w14:paraId="38FD0EE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Sedentary time (min/day);</w:t>
            </w:r>
          </w:p>
          <w:p w14:paraId="5F315F0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Breaks in sedentary behavior (times per sedentary hour)</w:t>
            </w:r>
          </w:p>
        </w:tc>
        <w:tc>
          <w:tcPr>
            <w:tcW w:w="1350" w:type="dxa"/>
            <w:tcBorders>
              <w:top w:val="nil"/>
              <w:left w:val="single" w:sz="6" w:space="0" w:color="auto"/>
              <w:bottom w:val="single" w:sz="6" w:space="0" w:color="auto"/>
              <w:right w:val="single" w:sz="6" w:space="0" w:color="auto"/>
            </w:tcBorders>
          </w:tcPr>
          <w:p w14:paraId="04166DD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w:t>
            </w:r>
          </w:p>
          <w:p w14:paraId="6B80F86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(Omron Active Style Pro HJA-350IT)</w:t>
            </w:r>
          </w:p>
        </w:tc>
        <w:tc>
          <w:tcPr>
            <w:tcW w:w="1080" w:type="dxa"/>
            <w:tcBorders>
              <w:top w:val="nil"/>
              <w:left w:val="single" w:sz="6" w:space="0" w:color="auto"/>
              <w:bottom w:val="single" w:sz="6" w:space="0" w:color="auto"/>
              <w:right w:val="single" w:sz="6" w:space="0" w:color="auto"/>
            </w:tcBorders>
          </w:tcPr>
          <w:p w14:paraId="4DC711D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350" w:type="dxa"/>
            <w:tcBorders>
              <w:top w:val="nil"/>
              <w:left w:val="single" w:sz="6" w:space="0" w:color="auto"/>
              <w:bottom w:val="single" w:sz="6" w:space="0" w:color="auto"/>
              <w:right w:val="single" w:sz="6" w:space="0" w:color="auto"/>
            </w:tcBorders>
          </w:tcPr>
          <w:p w14:paraId="690521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4EF93F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760D1FC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economic status</w:t>
            </w:r>
          </w:p>
          <w:p w14:paraId="708A2C4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7FD2799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living/marital/working status,</w:t>
            </w:r>
          </w:p>
          <w:p w14:paraId="488F53D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length of residence</w:t>
            </w:r>
          </w:p>
          <w:p w14:paraId="3D8F818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chronic diseases,</w:t>
            </w:r>
          </w:p>
          <w:p w14:paraId="4568AA2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depression,</w:t>
            </w:r>
          </w:p>
          <w:p w14:paraId="5B55588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wear time</w:t>
            </w:r>
          </w:p>
        </w:tc>
        <w:tc>
          <w:tcPr>
            <w:tcW w:w="990" w:type="dxa"/>
            <w:tcBorders>
              <w:top w:val="nil"/>
              <w:left w:val="single" w:sz="6" w:space="0" w:color="auto"/>
              <w:bottom w:val="single" w:sz="6" w:space="0" w:color="auto"/>
              <w:right w:val="single" w:sz="6" w:space="0" w:color="auto"/>
            </w:tcBorders>
          </w:tcPr>
          <w:p w14:paraId="743277F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coefficient (B)</w:t>
            </w:r>
          </w:p>
        </w:tc>
        <w:tc>
          <w:tcPr>
            <w:tcW w:w="4500" w:type="dxa"/>
            <w:gridSpan w:val="4"/>
            <w:tcBorders>
              <w:top w:val="nil"/>
              <w:left w:val="single" w:sz="6" w:space="0" w:color="auto"/>
              <w:bottom w:val="single" w:sz="6" w:space="0" w:color="auto"/>
              <w:right w:val="single" w:sz="6" w:space="0" w:color="auto"/>
            </w:tcBorders>
          </w:tcPr>
          <w:p w14:paraId="4F30B2F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of parks within 1,600 m → Breaks per sedentary hour: B = 0.31, 95% CI 0.02–0.59, p&lt;0.05, positive</w:t>
            </w:r>
          </w:p>
          <w:p w14:paraId="1A4E9A2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47C9DA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All other park–outcome associations (LPA, MVPA, sedentary time; other park metrics): NS (null)</w:t>
            </w:r>
          </w:p>
        </w:tc>
      </w:tr>
      <w:tr w:rsidR="0037619D" w:rsidRPr="000F3EBD" w14:paraId="0361E837" w14:textId="77777777" w:rsidTr="00A136E2">
        <w:trPr>
          <w:trHeight w:val="2766"/>
        </w:trPr>
        <w:tc>
          <w:tcPr>
            <w:tcW w:w="1072" w:type="dxa"/>
            <w:tcBorders>
              <w:top w:val="nil"/>
              <w:left w:val="single" w:sz="6" w:space="0" w:color="auto"/>
              <w:bottom w:val="single" w:sz="6" w:space="0" w:color="auto"/>
              <w:right w:val="single" w:sz="6" w:space="0" w:color="auto"/>
            </w:tcBorders>
          </w:tcPr>
          <w:p w14:paraId="7AE3A3B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Van Cauwenberg et al.,</w:t>
            </w:r>
          </w:p>
          <w:p w14:paraId="0A0D5E6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2015</w:t>
            </w:r>
          </w:p>
        </w:tc>
        <w:tc>
          <w:tcPr>
            <w:tcW w:w="896" w:type="dxa"/>
            <w:tcBorders>
              <w:top w:val="nil"/>
              <w:left w:val="single" w:sz="6" w:space="0" w:color="auto"/>
              <w:bottom w:val="single" w:sz="6" w:space="0" w:color="auto"/>
              <w:right w:val="single" w:sz="6" w:space="0" w:color="auto"/>
            </w:tcBorders>
          </w:tcPr>
          <w:p w14:paraId="3DEB800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899" w:type="dxa"/>
            <w:tcBorders>
              <w:top w:val="nil"/>
              <w:left w:val="single" w:sz="6" w:space="0" w:color="auto"/>
              <w:bottom w:val="single" w:sz="6" w:space="0" w:color="auto"/>
              <w:right w:val="single" w:sz="6" w:space="0" w:color="auto"/>
            </w:tcBorders>
          </w:tcPr>
          <w:p w14:paraId="0E9BEBA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0EAD493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2700</w:t>
            </w:r>
          </w:p>
        </w:tc>
        <w:tc>
          <w:tcPr>
            <w:tcW w:w="1028" w:type="dxa"/>
            <w:tcBorders>
              <w:top w:val="nil"/>
              <w:left w:val="single" w:sz="6" w:space="0" w:color="auto"/>
              <w:bottom w:val="single" w:sz="6" w:space="0" w:color="auto"/>
              <w:right w:val="single" w:sz="6" w:space="0" w:color="auto"/>
            </w:tcBorders>
          </w:tcPr>
          <w:p w14:paraId="28DE255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mid-older adults</w:t>
            </w:r>
          </w:p>
          <w:p w14:paraId="6D4A24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57–67 y</w:t>
            </w:r>
          </w:p>
        </w:tc>
        <w:tc>
          <w:tcPr>
            <w:tcW w:w="1446" w:type="dxa"/>
            <w:tcBorders>
              <w:top w:val="nil"/>
              <w:left w:val="single" w:sz="6" w:space="0" w:color="auto"/>
              <w:bottom w:val="single" w:sz="6" w:space="0" w:color="auto"/>
              <w:right w:val="single" w:sz="6" w:space="0" w:color="auto"/>
            </w:tcBorders>
          </w:tcPr>
          <w:p w14:paraId="505CF82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 time to nearest park (NEWS; 1–5 scale)</w:t>
            </w:r>
          </w:p>
        </w:tc>
        <w:tc>
          <w:tcPr>
            <w:tcW w:w="1080" w:type="dxa"/>
            <w:tcBorders>
              <w:top w:val="nil"/>
              <w:left w:val="single" w:sz="6" w:space="0" w:color="auto"/>
              <w:bottom w:val="single" w:sz="6" w:space="0" w:color="auto"/>
              <w:right w:val="single" w:sz="6" w:space="0" w:color="auto"/>
            </w:tcBorders>
          </w:tcPr>
          <w:p w14:paraId="19A8A87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Neighbourhood public parks</w:t>
            </w:r>
          </w:p>
        </w:tc>
        <w:tc>
          <w:tcPr>
            <w:tcW w:w="1080" w:type="dxa"/>
            <w:tcBorders>
              <w:top w:val="nil"/>
              <w:left w:val="single" w:sz="6" w:space="0" w:color="auto"/>
              <w:bottom w:val="single" w:sz="6" w:space="0" w:color="auto"/>
              <w:right w:val="single" w:sz="6" w:space="0" w:color="auto"/>
            </w:tcBorders>
          </w:tcPr>
          <w:p w14:paraId="7652BA5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(perception-based)</w:t>
            </w:r>
          </w:p>
        </w:tc>
        <w:tc>
          <w:tcPr>
            <w:tcW w:w="1530" w:type="dxa"/>
            <w:tcBorders>
              <w:top w:val="nil"/>
              <w:left w:val="single" w:sz="6" w:space="0" w:color="auto"/>
              <w:bottom w:val="single" w:sz="6" w:space="0" w:color="auto"/>
              <w:right w:val="single" w:sz="6" w:space="0" w:color="auto"/>
            </w:tcBorders>
          </w:tcPr>
          <w:p w14:paraId="5EC3536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walking-time categories</w:t>
            </w:r>
          </w:p>
        </w:tc>
        <w:tc>
          <w:tcPr>
            <w:tcW w:w="1054" w:type="dxa"/>
            <w:tcBorders>
              <w:top w:val="nil"/>
              <w:left w:val="single" w:sz="6" w:space="0" w:color="auto"/>
              <w:bottom w:val="single" w:sz="6" w:space="0" w:color="auto"/>
              <w:right w:val="single" w:sz="6" w:space="0" w:color="auto"/>
            </w:tcBorders>
          </w:tcPr>
          <w:p w14:paraId="066462E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5-category Likert</w:t>
            </w:r>
          </w:p>
        </w:tc>
        <w:tc>
          <w:tcPr>
            <w:tcW w:w="1102" w:type="dxa"/>
            <w:tcBorders>
              <w:top w:val="nil"/>
              <w:left w:val="single" w:sz="6" w:space="0" w:color="auto"/>
              <w:bottom w:val="single" w:sz="6" w:space="0" w:color="auto"/>
              <w:right w:val="single" w:sz="6" w:space="0" w:color="auto"/>
            </w:tcBorders>
          </w:tcPr>
          <w:p w14:paraId="543202E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Individual-level</w:t>
            </w:r>
          </w:p>
        </w:tc>
        <w:tc>
          <w:tcPr>
            <w:tcW w:w="1354" w:type="dxa"/>
            <w:tcBorders>
              <w:top w:val="nil"/>
              <w:left w:val="single" w:sz="6" w:space="0" w:color="auto"/>
              <w:bottom w:val="single" w:sz="6" w:space="0" w:color="auto"/>
              <w:right w:val="single" w:sz="6" w:space="0" w:color="auto"/>
            </w:tcBorders>
          </w:tcPr>
          <w:p w14:paraId="1DA5C4A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Recreational walking (min/week)</w:t>
            </w:r>
          </w:p>
          <w:p w14:paraId="7B766D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Other recreational MVPA (min/week)</w:t>
            </w:r>
          </w:p>
        </w:tc>
        <w:tc>
          <w:tcPr>
            <w:tcW w:w="1350" w:type="dxa"/>
            <w:tcBorders>
              <w:top w:val="nil"/>
              <w:left w:val="single" w:sz="6" w:space="0" w:color="auto"/>
              <w:bottom w:val="single" w:sz="6" w:space="0" w:color="auto"/>
              <w:right w:val="single" w:sz="6" w:space="0" w:color="auto"/>
            </w:tcBorders>
          </w:tcPr>
          <w:p w14:paraId="0951976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IPAQ-Long</w:t>
            </w:r>
          </w:p>
        </w:tc>
        <w:tc>
          <w:tcPr>
            <w:tcW w:w="1080" w:type="dxa"/>
            <w:tcBorders>
              <w:top w:val="nil"/>
              <w:left w:val="single" w:sz="6" w:space="0" w:color="auto"/>
              <w:bottom w:val="single" w:sz="6" w:space="0" w:color="auto"/>
              <w:right w:val="single" w:sz="6" w:space="0" w:color="auto"/>
            </w:tcBorders>
          </w:tcPr>
          <w:p w14:paraId="1A299D3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Zero-inflated negative binomial</w:t>
            </w:r>
          </w:p>
        </w:tc>
        <w:tc>
          <w:tcPr>
            <w:tcW w:w="1350" w:type="dxa"/>
            <w:tcBorders>
              <w:top w:val="nil"/>
              <w:left w:val="single" w:sz="6" w:space="0" w:color="auto"/>
              <w:bottom w:val="single" w:sz="6" w:space="0" w:color="auto"/>
              <w:right w:val="single" w:sz="6" w:space="0" w:color="auto"/>
            </w:tcBorders>
          </w:tcPr>
          <w:p w14:paraId="4981F2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19485F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area-level SES</w:t>
            </w:r>
          </w:p>
          <w:p w14:paraId="088CF3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the alternate PA outcome </w:t>
            </w:r>
          </w:p>
        </w:tc>
        <w:tc>
          <w:tcPr>
            <w:tcW w:w="990" w:type="dxa"/>
            <w:tcBorders>
              <w:top w:val="nil"/>
              <w:left w:val="single" w:sz="6" w:space="0" w:color="auto"/>
              <w:bottom w:val="single" w:sz="6" w:space="0" w:color="auto"/>
              <w:right w:val="single" w:sz="6" w:space="0" w:color="auto"/>
            </w:tcBorders>
          </w:tcPr>
          <w:p w14:paraId="226677A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w:t>
            </w:r>
          </w:p>
        </w:tc>
        <w:tc>
          <w:tcPr>
            <w:tcW w:w="2970" w:type="dxa"/>
            <w:gridSpan w:val="3"/>
            <w:tcBorders>
              <w:top w:val="nil"/>
              <w:left w:val="single" w:sz="6" w:space="0" w:color="auto"/>
              <w:bottom w:val="single" w:sz="6" w:space="0" w:color="auto"/>
              <w:right w:val="single" w:sz="6" w:space="0" w:color="auto"/>
            </w:tcBorders>
          </w:tcPr>
          <w:p w14:paraId="500908B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Proximity → recreational walking (participation): OR = 0.91 (0.85–0.98), p&lt;0.01 → positive for participation</w:t>
            </w:r>
          </w:p>
          <w:p w14:paraId="059F9C5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73E4D6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Moderator (retirement) on proximity→participation: interaction OR = 1.22 (1.05–1.43), p&lt;0.05; non-retired: OR = 0.86 (0.79–0.94), p&lt;0.01; retired: OR = 1.06 (0.95–1.19), n.s.</w:t>
            </w:r>
          </w:p>
        </w:tc>
        <w:tc>
          <w:tcPr>
            <w:tcW w:w="1530" w:type="dxa"/>
            <w:tcBorders>
              <w:top w:val="nil"/>
              <w:left w:val="single" w:sz="6" w:space="0" w:color="auto"/>
              <w:bottom w:val="single" w:sz="6" w:space="0" w:color="auto"/>
              <w:right w:val="single" w:sz="6" w:space="0" w:color="auto"/>
            </w:tcBorders>
          </w:tcPr>
          <w:p w14:paraId="0C2BB24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Proximity ↑ → more likely to walk (non-retired only)</w:t>
            </w:r>
          </w:p>
        </w:tc>
      </w:tr>
      <w:tr w:rsidR="0037619D" w:rsidRPr="000F3EBD" w14:paraId="35915E0C" w14:textId="77777777" w:rsidTr="00693EBB">
        <w:trPr>
          <w:trHeight w:val="2325"/>
        </w:trPr>
        <w:tc>
          <w:tcPr>
            <w:tcW w:w="1072" w:type="dxa"/>
            <w:tcBorders>
              <w:top w:val="nil"/>
              <w:left w:val="single" w:sz="6" w:space="0" w:color="auto"/>
              <w:bottom w:val="single" w:sz="6" w:space="0" w:color="auto"/>
              <w:right w:val="single" w:sz="6" w:space="0" w:color="auto"/>
            </w:tcBorders>
          </w:tcPr>
          <w:p w14:paraId="5E164AD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Jáuregui et al.,</w:t>
            </w:r>
          </w:p>
          <w:p w14:paraId="1841F12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2016</w:t>
            </w:r>
          </w:p>
        </w:tc>
        <w:tc>
          <w:tcPr>
            <w:tcW w:w="896" w:type="dxa"/>
            <w:tcBorders>
              <w:top w:val="nil"/>
              <w:left w:val="single" w:sz="6" w:space="0" w:color="auto"/>
              <w:bottom w:val="single" w:sz="6" w:space="0" w:color="auto"/>
              <w:right w:val="single" w:sz="6" w:space="0" w:color="auto"/>
            </w:tcBorders>
          </w:tcPr>
          <w:p w14:paraId="34CE015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Mexico</w:t>
            </w:r>
          </w:p>
        </w:tc>
        <w:tc>
          <w:tcPr>
            <w:tcW w:w="899" w:type="dxa"/>
            <w:tcBorders>
              <w:top w:val="nil"/>
              <w:left w:val="single" w:sz="6" w:space="0" w:color="auto"/>
              <w:bottom w:val="single" w:sz="6" w:space="0" w:color="auto"/>
              <w:right w:val="single" w:sz="6" w:space="0" w:color="auto"/>
            </w:tcBorders>
          </w:tcPr>
          <w:p w14:paraId="5E1771E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447A77D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659</w:t>
            </w:r>
          </w:p>
        </w:tc>
        <w:tc>
          <w:tcPr>
            <w:tcW w:w="1028" w:type="dxa"/>
            <w:tcBorders>
              <w:top w:val="nil"/>
              <w:left w:val="single" w:sz="6" w:space="0" w:color="auto"/>
              <w:bottom w:val="single" w:sz="6" w:space="0" w:color="auto"/>
              <w:right w:val="single" w:sz="6" w:space="0" w:color="auto"/>
            </w:tcBorders>
          </w:tcPr>
          <w:p w14:paraId="2953B4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0B44D8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20–65 y</w:t>
            </w:r>
          </w:p>
        </w:tc>
        <w:tc>
          <w:tcPr>
            <w:tcW w:w="1446" w:type="dxa"/>
            <w:tcBorders>
              <w:top w:val="nil"/>
              <w:left w:val="single" w:sz="6" w:space="0" w:color="auto"/>
              <w:bottom w:val="single" w:sz="6" w:space="0" w:color="auto"/>
              <w:right w:val="single" w:sz="6" w:space="0" w:color="auto"/>
            </w:tcBorders>
          </w:tcPr>
          <w:p w14:paraId="6B32B52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proximity to large (“metropolitan”) parks</w:t>
            </w:r>
          </w:p>
          <w:p w14:paraId="135CE01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D0E292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easy access to small (“neighborhood”) parks (ANEWS)</w:t>
            </w:r>
          </w:p>
        </w:tc>
        <w:tc>
          <w:tcPr>
            <w:tcW w:w="1080" w:type="dxa"/>
            <w:tcBorders>
              <w:top w:val="nil"/>
              <w:left w:val="single" w:sz="6" w:space="0" w:color="auto"/>
              <w:bottom w:val="single" w:sz="6" w:space="0" w:color="auto"/>
              <w:right w:val="single" w:sz="6" w:space="0" w:color="auto"/>
            </w:tcBorders>
          </w:tcPr>
          <w:p w14:paraId="534E74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(small) and metropolitan (large) public parks</w:t>
            </w:r>
          </w:p>
        </w:tc>
        <w:tc>
          <w:tcPr>
            <w:tcW w:w="1080" w:type="dxa"/>
            <w:tcBorders>
              <w:top w:val="nil"/>
              <w:left w:val="single" w:sz="6" w:space="0" w:color="auto"/>
              <w:bottom w:val="single" w:sz="6" w:space="0" w:color="auto"/>
              <w:right w:val="single" w:sz="6" w:space="0" w:color="auto"/>
            </w:tcBorders>
          </w:tcPr>
          <w:p w14:paraId="03C99BE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530" w:type="dxa"/>
            <w:tcBorders>
              <w:top w:val="nil"/>
              <w:left w:val="single" w:sz="6" w:space="0" w:color="auto"/>
              <w:bottom w:val="single" w:sz="6" w:space="0" w:color="auto"/>
              <w:right w:val="single" w:sz="6" w:space="0" w:color="auto"/>
            </w:tcBorders>
          </w:tcPr>
          <w:p w14:paraId="686EFA8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Perception questionnaire</w:t>
            </w:r>
          </w:p>
        </w:tc>
        <w:tc>
          <w:tcPr>
            <w:tcW w:w="1054" w:type="dxa"/>
            <w:tcBorders>
              <w:top w:val="nil"/>
              <w:left w:val="single" w:sz="6" w:space="0" w:color="auto"/>
              <w:bottom w:val="single" w:sz="6" w:space="0" w:color="auto"/>
              <w:right w:val="single" w:sz="6" w:space="0" w:color="auto"/>
            </w:tcBorders>
          </w:tcPr>
          <w:p w14:paraId="048E18C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ANEWS scale units (Likert)</w:t>
            </w:r>
          </w:p>
        </w:tc>
        <w:tc>
          <w:tcPr>
            <w:tcW w:w="1102" w:type="dxa"/>
            <w:tcBorders>
              <w:top w:val="nil"/>
              <w:left w:val="single" w:sz="6" w:space="0" w:color="auto"/>
              <w:bottom w:val="single" w:sz="6" w:space="0" w:color="auto"/>
              <w:right w:val="single" w:sz="6" w:space="0" w:color="auto"/>
            </w:tcBorders>
          </w:tcPr>
          <w:p w14:paraId="5A59A7A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Individual-level</w:t>
            </w:r>
          </w:p>
        </w:tc>
        <w:tc>
          <w:tcPr>
            <w:tcW w:w="1354" w:type="dxa"/>
            <w:tcBorders>
              <w:top w:val="nil"/>
              <w:left w:val="single" w:sz="6" w:space="0" w:color="auto"/>
              <w:bottom w:val="single" w:sz="6" w:space="0" w:color="auto"/>
              <w:right w:val="single" w:sz="6" w:space="0" w:color="auto"/>
            </w:tcBorders>
          </w:tcPr>
          <w:p w14:paraId="3C81298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MVPA (min/week)</w:t>
            </w:r>
          </w:p>
          <w:p w14:paraId="4221F50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BC306F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in ≥10-min bouts (any vs none; min/week among doers)</w:t>
            </w:r>
          </w:p>
        </w:tc>
        <w:tc>
          <w:tcPr>
            <w:tcW w:w="1350" w:type="dxa"/>
            <w:tcBorders>
              <w:top w:val="nil"/>
              <w:left w:val="single" w:sz="6" w:space="0" w:color="auto"/>
              <w:bottom w:val="single" w:sz="6" w:space="0" w:color="auto"/>
              <w:right w:val="single" w:sz="6" w:space="0" w:color="auto"/>
            </w:tcBorders>
          </w:tcPr>
          <w:p w14:paraId="73EEBBE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GT3X accelerometer</w:t>
            </w:r>
          </w:p>
        </w:tc>
        <w:tc>
          <w:tcPr>
            <w:tcW w:w="1080" w:type="dxa"/>
            <w:tcBorders>
              <w:top w:val="nil"/>
              <w:left w:val="single" w:sz="6" w:space="0" w:color="auto"/>
              <w:bottom w:val="single" w:sz="6" w:space="0" w:color="auto"/>
              <w:right w:val="single" w:sz="6" w:space="0" w:color="auto"/>
            </w:tcBorders>
          </w:tcPr>
          <w:p w14:paraId="28AC1B3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w:t>
            </w:r>
          </w:p>
        </w:tc>
        <w:tc>
          <w:tcPr>
            <w:tcW w:w="1350" w:type="dxa"/>
            <w:tcBorders>
              <w:top w:val="nil"/>
              <w:left w:val="single" w:sz="6" w:space="0" w:color="auto"/>
              <w:bottom w:val="single" w:sz="6" w:space="0" w:color="auto"/>
              <w:right w:val="single" w:sz="6" w:space="0" w:color="auto"/>
            </w:tcBorders>
          </w:tcPr>
          <w:p w14:paraId="6D9BBA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0A5A5DC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47CC9F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1017219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SES</w:t>
            </w:r>
          </w:p>
          <w:p w14:paraId="626F907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motor-vehicle ownership</w:t>
            </w:r>
          </w:p>
          <w:p w14:paraId="6D06086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1B7E770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wear time</w:t>
            </w:r>
          </w:p>
          <w:p w14:paraId="5DA9D06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90" w:type="dxa"/>
            <w:tcBorders>
              <w:top w:val="nil"/>
              <w:left w:val="single" w:sz="6" w:space="0" w:color="auto"/>
              <w:bottom w:val="single" w:sz="6" w:space="0" w:color="auto"/>
              <w:right w:val="single" w:sz="6" w:space="0" w:color="auto"/>
            </w:tcBorders>
          </w:tcPr>
          <w:p w14:paraId="56AD50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exp(B)</w:t>
            </w:r>
          </w:p>
        </w:tc>
        <w:tc>
          <w:tcPr>
            <w:tcW w:w="4500" w:type="dxa"/>
            <w:gridSpan w:val="4"/>
            <w:tcBorders>
              <w:top w:val="single" w:sz="6" w:space="0" w:color="auto"/>
              <w:left w:val="single" w:sz="6" w:space="0" w:color="auto"/>
              <w:bottom w:val="single" w:sz="6" w:space="0" w:color="auto"/>
              <w:right w:val="single" w:sz="6" w:space="0" w:color="auto"/>
            </w:tcBorders>
          </w:tcPr>
          <w:p w14:paraId="51E95D68" w14:textId="77777777" w:rsidR="0037619D" w:rsidRPr="00892754" w:rsidRDefault="0037619D" w:rsidP="00693EBB">
            <w:pPr>
              <w:autoSpaceDE w:val="0"/>
              <w:autoSpaceDN w:val="0"/>
              <w:adjustRightInd w:val="0"/>
              <w:jc w:val="left"/>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Total MVPA:</w:t>
            </w:r>
          </w:p>
          <w:p w14:paraId="00B14C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Easy access to small parks:</w:t>
            </w:r>
            <w:r>
              <w:rPr>
                <w:rFonts w:asciiTheme="majorBidi" w:hAnsiTheme="majorBidi" w:cstheme="majorBidi"/>
                <w:color w:val="000000"/>
                <w:kern w:val="0"/>
                <w:sz w:val="18"/>
                <w:szCs w:val="18"/>
              </w:rPr>
              <w:t xml:space="preserve"> exp(B)=1.16 (95% CI 1.01–1.35), p&lt;0.05 → positive</w:t>
            </w:r>
          </w:p>
          <w:p w14:paraId="2CC43BA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Proximity to large parks:</w:t>
            </w:r>
            <w:r>
              <w:rPr>
                <w:rFonts w:asciiTheme="majorBidi" w:hAnsiTheme="majorBidi" w:cstheme="majorBidi"/>
                <w:color w:val="000000"/>
                <w:kern w:val="0"/>
                <w:sz w:val="18"/>
                <w:szCs w:val="18"/>
              </w:rPr>
              <w:t xml:space="preserve"> exp(B)=1.12 (1.06–1.18), p&lt;0.05 → positive</w:t>
            </w:r>
          </w:p>
          <w:p w14:paraId="7F325A2D" w14:textId="77777777" w:rsidR="0037619D" w:rsidRPr="00892754" w:rsidRDefault="0037619D" w:rsidP="00693EBB">
            <w:pPr>
              <w:autoSpaceDE w:val="0"/>
              <w:autoSpaceDN w:val="0"/>
              <w:adjustRightInd w:val="0"/>
              <w:jc w:val="left"/>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MVPA within bouts—Any (logit):</w:t>
            </w:r>
          </w:p>
          <w:p w14:paraId="49BA5F2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Proximity to large parks × female: exp(B)=1.69 (1.13–2.53), p&lt;0.05 → positive; men: n.s.</w:t>
            </w:r>
          </w:p>
          <w:p w14:paraId="0DE05114" w14:textId="77777777" w:rsidR="0037619D" w:rsidRPr="00892754" w:rsidRDefault="0037619D" w:rsidP="00693EBB">
            <w:pPr>
              <w:autoSpaceDE w:val="0"/>
              <w:autoSpaceDN w:val="0"/>
              <w:adjustRightInd w:val="0"/>
              <w:jc w:val="left"/>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MVPA within bouts—Minutes (among doers):</w:t>
            </w:r>
          </w:p>
          <w:p w14:paraId="719328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Proximity to large parks</w:t>
            </w:r>
            <w:r>
              <w:rPr>
                <w:rFonts w:asciiTheme="majorBidi" w:hAnsiTheme="majorBidi" w:cstheme="majorBidi"/>
                <w:color w:val="000000"/>
                <w:kern w:val="0"/>
                <w:sz w:val="18"/>
                <w:szCs w:val="18"/>
              </w:rPr>
              <w:t>: exp(B)=1.12 (1.01–1.24), p&lt;0.05 → positive</w:t>
            </w:r>
          </w:p>
        </w:tc>
      </w:tr>
      <w:tr w:rsidR="0037619D" w:rsidRPr="000F3EBD" w14:paraId="6151C688" w14:textId="77777777" w:rsidTr="003B2FCF">
        <w:trPr>
          <w:trHeight w:val="2685"/>
        </w:trPr>
        <w:tc>
          <w:tcPr>
            <w:tcW w:w="1072" w:type="dxa"/>
            <w:tcBorders>
              <w:top w:val="nil"/>
              <w:left w:val="single" w:sz="6" w:space="0" w:color="auto"/>
              <w:bottom w:val="single" w:sz="6" w:space="0" w:color="auto"/>
              <w:right w:val="single" w:sz="6" w:space="0" w:color="auto"/>
            </w:tcBorders>
          </w:tcPr>
          <w:p w14:paraId="24D1CBE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Sugiyama et al.,</w:t>
            </w:r>
          </w:p>
          <w:p w14:paraId="1F8812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896" w:type="dxa"/>
            <w:tcBorders>
              <w:top w:val="nil"/>
              <w:left w:val="single" w:sz="6" w:space="0" w:color="auto"/>
              <w:bottom w:val="single" w:sz="6" w:space="0" w:color="auto"/>
              <w:right w:val="single" w:sz="6" w:space="0" w:color="auto"/>
            </w:tcBorders>
          </w:tcPr>
          <w:p w14:paraId="4242E05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 countries</w:t>
            </w:r>
          </w:p>
          <w:p w14:paraId="1AA5CFCA"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AUS</w:t>
            </w:r>
          </w:p>
          <w:p w14:paraId="66212BDB"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BEL</w:t>
            </w:r>
          </w:p>
          <w:p w14:paraId="219C6899"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BRA</w:t>
            </w:r>
          </w:p>
          <w:p w14:paraId="0865689D"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COL</w:t>
            </w:r>
          </w:p>
          <w:p w14:paraId="356AF6E6"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CZE</w:t>
            </w:r>
          </w:p>
          <w:p w14:paraId="638EA14E"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DEN</w:t>
            </w:r>
          </w:p>
          <w:p w14:paraId="71CF1FAC"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HKG</w:t>
            </w:r>
          </w:p>
          <w:p w14:paraId="31FF10BB"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MEX</w:t>
            </w:r>
          </w:p>
          <w:p w14:paraId="2131AA88"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NZL</w:t>
            </w:r>
          </w:p>
          <w:p w14:paraId="0967D9A8"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ESP</w:t>
            </w:r>
          </w:p>
          <w:p w14:paraId="7015C8FC"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p w14:paraId="0ECC6C4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536295A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08148B9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13,745</w:t>
            </w:r>
          </w:p>
        </w:tc>
        <w:tc>
          <w:tcPr>
            <w:tcW w:w="1028" w:type="dxa"/>
            <w:tcBorders>
              <w:top w:val="nil"/>
              <w:left w:val="single" w:sz="6" w:space="0" w:color="auto"/>
              <w:bottom w:val="single" w:sz="6" w:space="0" w:color="auto"/>
              <w:right w:val="single" w:sz="6" w:space="0" w:color="auto"/>
            </w:tcBorders>
          </w:tcPr>
          <w:p w14:paraId="173C5B8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01910A7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18–66 y</w:t>
            </w:r>
          </w:p>
        </w:tc>
        <w:tc>
          <w:tcPr>
            <w:tcW w:w="1446" w:type="dxa"/>
            <w:tcBorders>
              <w:top w:val="nil"/>
              <w:left w:val="single" w:sz="6" w:space="0" w:color="auto"/>
              <w:bottom w:val="single" w:sz="6" w:space="0" w:color="auto"/>
              <w:right w:val="single" w:sz="6" w:space="0" w:color="auto"/>
            </w:tcBorders>
          </w:tcPr>
          <w:p w14:paraId="344A38D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proximity to the nearest park</w:t>
            </w:r>
          </w:p>
        </w:tc>
        <w:tc>
          <w:tcPr>
            <w:tcW w:w="1080" w:type="dxa"/>
            <w:tcBorders>
              <w:top w:val="nil"/>
              <w:left w:val="single" w:sz="6" w:space="0" w:color="auto"/>
              <w:bottom w:val="single" w:sz="6" w:space="0" w:color="auto"/>
              <w:right w:val="single" w:sz="6" w:space="0" w:color="auto"/>
            </w:tcBorders>
          </w:tcPr>
          <w:p w14:paraId="1E7354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080" w:type="dxa"/>
            <w:tcBorders>
              <w:top w:val="nil"/>
              <w:left w:val="single" w:sz="6" w:space="0" w:color="auto"/>
              <w:bottom w:val="single" w:sz="6" w:space="0" w:color="auto"/>
              <w:right w:val="single" w:sz="6" w:space="0" w:color="auto"/>
            </w:tcBorders>
          </w:tcPr>
          <w:p w14:paraId="498C8A6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530" w:type="dxa"/>
            <w:tcBorders>
              <w:top w:val="nil"/>
              <w:left w:val="single" w:sz="6" w:space="0" w:color="auto"/>
              <w:bottom w:val="single" w:sz="6" w:space="0" w:color="auto"/>
              <w:right w:val="single" w:sz="6" w:space="0" w:color="auto"/>
            </w:tcBorders>
          </w:tcPr>
          <w:p w14:paraId="2FA766C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Perception questionnaire</w:t>
            </w:r>
          </w:p>
        </w:tc>
        <w:tc>
          <w:tcPr>
            <w:tcW w:w="1054" w:type="dxa"/>
            <w:tcBorders>
              <w:top w:val="nil"/>
              <w:left w:val="single" w:sz="6" w:space="0" w:color="auto"/>
              <w:bottom w:val="single" w:sz="6" w:space="0" w:color="auto"/>
              <w:right w:val="single" w:sz="6" w:space="0" w:color="auto"/>
            </w:tcBorders>
          </w:tcPr>
          <w:p w14:paraId="441DD2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Likert scale</w:t>
            </w:r>
          </w:p>
        </w:tc>
        <w:tc>
          <w:tcPr>
            <w:tcW w:w="1102" w:type="dxa"/>
            <w:tcBorders>
              <w:top w:val="nil"/>
              <w:left w:val="single" w:sz="6" w:space="0" w:color="auto"/>
              <w:bottom w:val="single" w:sz="6" w:space="0" w:color="auto"/>
              <w:right w:val="single" w:sz="6" w:space="0" w:color="auto"/>
            </w:tcBorders>
          </w:tcPr>
          <w:p w14:paraId="47226B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Individual-level</w:t>
            </w:r>
          </w:p>
        </w:tc>
        <w:tc>
          <w:tcPr>
            <w:tcW w:w="1354" w:type="dxa"/>
            <w:tcBorders>
              <w:top w:val="nil"/>
              <w:left w:val="single" w:sz="6" w:space="0" w:color="auto"/>
              <w:bottom w:val="single" w:sz="6" w:space="0" w:color="auto"/>
              <w:right w:val="single" w:sz="6" w:space="0" w:color="auto"/>
            </w:tcBorders>
          </w:tcPr>
          <w:p w14:paraId="0E8D3F8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Recreational walking—participation (any vs none),</w:t>
            </w:r>
          </w:p>
          <w:p w14:paraId="5BCB0B8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frequency (days/week),</w:t>
            </w:r>
          </w:p>
          <w:p w14:paraId="178588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duration (min/week)</w:t>
            </w:r>
          </w:p>
        </w:tc>
        <w:tc>
          <w:tcPr>
            <w:tcW w:w="1350" w:type="dxa"/>
            <w:tcBorders>
              <w:top w:val="nil"/>
              <w:left w:val="single" w:sz="6" w:space="0" w:color="auto"/>
              <w:bottom w:val="single" w:sz="6" w:space="0" w:color="auto"/>
              <w:right w:val="single" w:sz="6" w:space="0" w:color="auto"/>
            </w:tcBorders>
          </w:tcPr>
          <w:p w14:paraId="78E166A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IPAQ-Long</w:t>
            </w:r>
          </w:p>
        </w:tc>
        <w:tc>
          <w:tcPr>
            <w:tcW w:w="1080" w:type="dxa"/>
            <w:tcBorders>
              <w:top w:val="nil"/>
              <w:left w:val="single" w:sz="6" w:space="0" w:color="auto"/>
              <w:bottom w:val="single" w:sz="6" w:space="0" w:color="auto"/>
              <w:right w:val="single" w:sz="6" w:space="0" w:color="auto"/>
            </w:tcBorders>
          </w:tcPr>
          <w:p w14:paraId="7A2CB82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additive mixed models</w:t>
            </w:r>
          </w:p>
        </w:tc>
        <w:tc>
          <w:tcPr>
            <w:tcW w:w="1350" w:type="dxa"/>
            <w:tcBorders>
              <w:top w:val="nil"/>
              <w:left w:val="single" w:sz="6" w:space="0" w:color="auto"/>
              <w:bottom w:val="single" w:sz="6" w:space="0" w:color="auto"/>
              <w:right w:val="single" w:sz="6" w:space="0" w:color="auto"/>
            </w:tcBorders>
          </w:tcPr>
          <w:p w14:paraId="20A1070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C97A28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404339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6DFF451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work status</w:t>
            </w:r>
          </w:p>
          <w:p w14:paraId="750A87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2FFE2F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area-level SES</w:t>
            </w:r>
          </w:p>
          <w:p w14:paraId="457B576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study site</w:t>
            </w:r>
          </w:p>
        </w:tc>
        <w:tc>
          <w:tcPr>
            <w:tcW w:w="990" w:type="dxa"/>
            <w:tcBorders>
              <w:top w:val="nil"/>
              <w:left w:val="single" w:sz="6" w:space="0" w:color="auto"/>
              <w:bottom w:val="single" w:sz="6" w:space="0" w:color="auto"/>
              <w:right w:val="single" w:sz="6" w:space="0" w:color="auto"/>
            </w:tcBorders>
          </w:tcPr>
          <w:p w14:paraId="27D6000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for participation</w:t>
            </w:r>
          </w:p>
          <w:p w14:paraId="57CB3FE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B5EEEA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exp(β) (proportional change) for frequency/duration among walkers</w:t>
            </w:r>
          </w:p>
        </w:tc>
        <w:tc>
          <w:tcPr>
            <w:tcW w:w="4500" w:type="dxa"/>
            <w:gridSpan w:val="4"/>
            <w:tcBorders>
              <w:top w:val="single" w:sz="6" w:space="0" w:color="auto"/>
              <w:left w:val="single" w:sz="6" w:space="0" w:color="auto"/>
              <w:bottom w:val="single" w:sz="6" w:space="0" w:color="auto"/>
              <w:right w:val="single" w:sz="6" w:space="0" w:color="auto"/>
            </w:tcBorders>
          </w:tcPr>
          <w:p w14:paraId="73F5B0C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Any recreational walking: OR 1.07; 95% CI 1.03–1.11; p=0.031 → positive</w:t>
            </w:r>
          </w:p>
          <w:p w14:paraId="338B28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7CAF7CF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Frequency (days/week, among walkers): exp(β) 1.01; 95% CI 0.99–1.02; p=0.213 → null</w:t>
            </w:r>
          </w:p>
          <w:p w14:paraId="73593B5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414724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Duration (min/week, among walkers): exp(β) 1.01; 95% CI 0.99–1.04; p=0.344 → null</w:t>
            </w:r>
          </w:p>
        </w:tc>
      </w:tr>
      <w:tr w:rsidR="0037619D" w:rsidRPr="000F3EBD" w14:paraId="14E90240" w14:textId="77777777" w:rsidTr="00693EBB">
        <w:trPr>
          <w:trHeight w:val="2208"/>
        </w:trPr>
        <w:tc>
          <w:tcPr>
            <w:tcW w:w="1072" w:type="dxa"/>
            <w:tcBorders>
              <w:top w:val="nil"/>
              <w:left w:val="single" w:sz="6" w:space="0" w:color="auto"/>
              <w:bottom w:val="single" w:sz="6" w:space="0" w:color="auto"/>
              <w:right w:val="single" w:sz="6" w:space="0" w:color="auto"/>
            </w:tcBorders>
          </w:tcPr>
          <w:p w14:paraId="193A27A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Thornton et al.,</w:t>
            </w:r>
          </w:p>
          <w:p w14:paraId="6710CA4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896" w:type="dxa"/>
            <w:tcBorders>
              <w:top w:val="nil"/>
              <w:left w:val="single" w:sz="6" w:space="0" w:color="auto"/>
              <w:bottom w:val="single" w:sz="6" w:space="0" w:color="auto"/>
              <w:right w:val="single" w:sz="6" w:space="0" w:color="auto"/>
            </w:tcBorders>
          </w:tcPr>
          <w:p w14:paraId="0A2CC2A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7233AD9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4396A96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726</w:t>
            </w:r>
          </w:p>
        </w:tc>
        <w:tc>
          <w:tcPr>
            <w:tcW w:w="1028" w:type="dxa"/>
            <w:tcBorders>
              <w:top w:val="nil"/>
              <w:left w:val="single" w:sz="6" w:space="0" w:color="auto"/>
              <w:bottom w:val="single" w:sz="6" w:space="0" w:color="auto"/>
              <w:right w:val="single" w:sz="6" w:space="0" w:color="auto"/>
            </w:tcBorders>
          </w:tcPr>
          <w:p w14:paraId="05ECEB7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adults</w:t>
            </w:r>
          </w:p>
          <w:p w14:paraId="6D113B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66–97 y</w:t>
            </w:r>
          </w:p>
        </w:tc>
        <w:tc>
          <w:tcPr>
            <w:tcW w:w="1446" w:type="dxa"/>
            <w:tcBorders>
              <w:top w:val="nil"/>
              <w:left w:val="single" w:sz="6" w:space="0" w:color="auto"/>
              <w:bottom w:val="single" w:sz="6" w:space="0" w:color="auto"/>
              <w:right w:val="single" w:sz="6" w:space="0" w:color="auto"/>
            </w:tcBorders>
          </w:tcPr>
          <w:p w14:paraId="4933A4F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(m) to closest park</w:t>
            </w:r>
          </w:p>
          <w:p w14:paraId="5D4CA3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033A9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of parks within 1-km buffer</w:t>
            </w:r>
          </w:p>
        </w:tc>
        <w:tc>
          <w:tcPr>
            <w:tcW w:w="1080" w:type="dxa"/>
            <w:tcBorders>
              <w:top w:val="nil"/>
              <w:left w:val="single" w:sz="6" w:space="0" w:color="auto"/>
              <w:bottom w:val="single" w:sz="6" w:space="0" w:color="auto"/>
              <w:right w:val="single" w:sz="6" w:space="0" w:color="auto"/>
            </w:tcBorders>
          </w:tcPr>
          <w:p w14:paraId="38E9A54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080" w:type="dxa"/>
            <w:tcBorders>
              <w:top w:val="nil"/>
              <w:left w:val="single" w:sz="6" w:space="0" w:color="auto"/>
              <w:bottom w:val="single" w:sz="6" w:space="0" w:color="auto"/>
              <w:right w:val="single" w:sz="6" w:space="0" w:color="auto"/>
            </w:tcBorders>
          </w:tcPr>
          <w:p w14:paraId="76756B4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Local park agency lists &amp; parcel land-use data (GIS)</w:t>
            </w:r>
          </w:p>
        </w:tc>
        <w:tc>
          <w:tcPr>
            <w:tcW w:w="1530" w:type="dxa"/>
            <w:tcBorders>
              <w:top w:val="nil"/>
              <w:left w:val="single" w:sz="6" w:space="0" w:color="auto"/>
              <w:bottom w:val="single" w:sz="6" w:space="0" w:color="auto"/>
              <w:right w:val="single" w:sz="6" w:space="0" w:color="auto"/>
            </w:tcBorders>
          </w:tcPr>
          <w:p w14:paraId="11A26E2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1-km street-network home buffer (counts);</w:t>
            </w:r>
          </w:p>
          <w:p w14:paraId="1F676C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nearest park (m)</w:t>
            </w:r>
          </w:p>
        </w:tc>
        <w:tc>
          <w:tcPr>
            <w:tcW w:w="1054" w:type="dxa"/>
            <w:tcBorders>
              <w:top w:val="nil"/>
              <w:left w:val="single" w:sz="6" w:space="0" w:color="auto"/>
              <w:bottom w:val="single" w:sz="6" w:space="0" w:color="auto"/>
              <w:right w:val="single" w:sz="6" w:space="0" w:color="auto"/>
            </w:tcBorders>
          </w:tcPr>
          <w:p w14:paraId="5DBC86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1-km buffer</w:t>
            </w:r>
          </w:p>
        </w:tc>
        <w:tc>
          <w:tcPr>
            <w:tcW w:w="1102" w:type="dxa"/>
            <w:tcBorders>
              <w:top w:val="nil"/>
              <w:left w:val="single" w:sz="6" w:space="0" w:color="auto"/>
              <w:bottom w:val="single" w:sz="6" w:space="0" w:color="auto"/>
              <w:right w:val="single" w:sz="6" w:space="0" w:color="auto"/>
            </w:tcBorders>
          </w:tcPr>
          <w:p w14:paraId="248E88C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residence buffers</w:t>
            </w:r>
          </w:p>
        </w:tc>
        <w:tc>
          <w:tcPr>
            <w:tcW w:w="1354" w:type="dxa"/>
            <w:tcBorders>
              <w:top w:val="nil"/>
              <w:left w:val="single" w:sz="6" w:space="0" w:color="auto"/>
              <w:bottom w:val="single" w:sz="6" w:space="0" w:color="auto"/>
              <w:right w:val="single" w:sz="6" w:space="0" w:color="auto"/>
            </w:tcBorders>
          </w:tcPr>
          <w:p w14:paraId="0B211DF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MVPA (min/day)</w:t>
            </w:r>
          </w:p>
          <w:p w14:paraId="108876D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walking for errands (min/week)</w:t>
            </w:r>
          </w:p>
          <w:p w14:paraId="5E44AAB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leisure/exercise walking (min/week)</w:t>
            </w:r>
          </w:p>
        </w:tc>
        <w:tc>
          <w:tcPr>
            <w:tcW w:w="1350" w:type="dxa"/>
            <w:tcBorders>
              <w:top w:val="nil"/>
              <w:left w:val="single" w:sz="6" w:space="0" w:color="auto"/>
              <w:bottom w:val="single" w:sz="6" w:space="0" w:color="auto"/>
              <w:right w:val="single" w:sz="6" w:space="0" w:color="auto"/>
            </w:tcBorders>
          </w:tcPr>
          <w:p w14:paraId="0B57062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accelerometer (7 days)</w:t>
            </w:r>
          </w:p>
          <w:p w14:paraId="2494CD4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7B9504D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CHAMPS questionnaire (weekly minutes)</w:t>
            </w:r>
          </w:p>
        </w:tc>
        <w:tc>
          <w:tcPr>
            <w:tcW w:w="1080" w:type="dxa"/>
            <w:tcBorders>
              <w:top w:val="nil"/>
              <w:left w:val="single" w:sz="6" w:space="0" w:color="auto"/>
              <w:bottom w:val="single" w:sz="6" w:space="0" w:color="auto"/>
              <w:right w:val="single" w:sz="6" w:space="0" w:color="auto"/>
            </w:tcBorders>
          </w:tcPr>
          <w:p w14:paraId="1EE6E42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Mixed-effects regressions</w:t>
            </w:r>
          </w:p>
        </w:tc>
        <w:tc>
          <w:tcPr>
            <w:tcW w:w="1350" w:type="dxa"/>
            <w:tcBorders>
              <w:top w:val="nil"/>
              <w:left w:val="single" w:sz="6" w:space="0" w:color="auto"/>
              <w:bottom w:val="single" w:sz="6" w:space="0" w:color="auto"/>
              <w:right w:val="single" w:sz="6" w:space="0" w:color="auto"/>
            </w:tcBorders>
          </w:tcPr>
          <w:p w14:paraId="1ACC5DCE"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2D3757F1"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3F35838E"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0304B19C"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661E6B09"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size</w:t>
            </w:r>
          </w:p>
          <w:p w14:paraId="37FD2F6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license </w:t>
            </w:r>
          </w:p>
          <w:p w14:paraId="071092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census variables</w:t>
            </w:r>
          </w:p>
          <w:p w14:paraId="21C8A46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health conditions </w:t>
            </w:r>
          </w:p>
          <w:p w14:paraId="2957F1D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wear time/site</w:t>
            </w:r>
          </w:p>
        </w:tc>
        <w:tc>
          <w:tcPr>
            <w:tcW w:w="990" w:type="dxa"/>
            <w:tcBorders>
              <w:top w:val="nil"/>
              <w:left w:val="single" w:sz="6" w:space="0" w:color="auto"/>
              <w:bottom w:val="single" w:sz="6" w:space="0" w:color="auto"/>
              <w:right w:val="single" w:sz="6" w:space="0" w:color="auto"/>
            </w:tcBorders>
          </w:tcPr>
          <w:p w14:paraId="2DE67B1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B×SD (standardized change in outcome per 1 SD increase in predictor)</w:t>
            </w:r>
          </w:p>
        </w:tc>
        <w:tc>
          <w:tcPr>
            <w:tcW w:w="4500" w:type="dxa"/>
            <w:gridSpan w:val="4"/>
            <w:tcBorders>
              <w:top w:val="single" w:sz="6" w:space="0" w:color="auto"/>
              <w:left w:val="single" w:sz="6" w:space="0" w:color="auto"/>
              <w:bottom w:val="single" w:sz="6" w:space="0" w:color="auto"/>
              <w:right w:val="single" w:sz="6" w:space="0" w:color="auto"/>
            </w:tcBorders>
          </w:tcPr>
          <w:p w14:paraId="7E0CBF9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closest park → MVPA: B×SD = −1.81; 95% CI −2.85 to −0.77; p=0.001; negative (i.e., closer parks → more MVPA)</w:t>
            </w:r>
          </w:p>
          <w:p w14:paraId="4A2045A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31CDA2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(any) → walking for errands/leisure: Null in final models (park variables not retained)</w:t>
            </w:r>
          </w:p>
        </w:tc>
      </w:tr>
      <w:tr w:rsidR="0037619D" w:rsidRPr="000F3EBD" w14:paraId="5F9FE91A" w14:textId="77777777" w:rsidTr="003B2FCF">
        <w:trPr>
          <w:trHeight w:val="2613"/>
        </w:trPr>
        <w:tc>
          <w:tcPr>
            <w:tcW w:w="1072" w:type="dxa"/>
            <w:tcBorders>
              <w:top w:val="nil"/>
              <w:left w:val="single" w:sz="6" w:space="0" w:color="auto"/>
              <w:bottom w:val="single" w:sz="6" w:space="0" w:color="auto"/>
              <w:right w:val="single" w:sz="6" w:space="0" w:color="auto"/>
            </w:tcBorders>
          </w:tcPr>
          <w:p w14:paraId="4A08180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Pietilä et al.,</w:t>
            </w:r>
          </w:p>
          <w:p w14:paraId="338FC3E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2015</w:t>
            </w:r>
          </w:p>
        </w:tc>
        <w:tc>
          <w:tcPr>
            <w:tcW w:w="896" w:type="dxa"/>
            <w:tcBorders>
              <w:top w:val="nil"/>
              <w:left w:val="single" w:sz="6" w:space="0" w:color="auto"/>
              <w:bottom w:val="single" w:sz="6" w:space="0" w:color="auto"/>
              <w:right w:val="single" w:sz="6" w:space="0" w:color="auto"/>
            </w:tcBorders>
          </w:tcPr>
          <w:p w14:paraId="2D5A4C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Finland</w:t>
            </w:r>
          </w:p>
        </w:tc>
        <w:tc>
          <w:tcPr>
            <w:tcW w:w="899" w:type="dxa"/>
            <w:tcBorders>
              <w:top w:val="nil"/>
              <w:left w:val="single" w:sz="6" w:space="0" w:color="auto"/>
              <w:bottom w:val="single" w:sz="6" w:space="0" w:color="auto"/>
              <w:right w:val="single" w:sz="6" w:space="0" w:color="auto"/>
            </w:tcBorders>
          </w:tcPr>
          <w:p w14:paraId="7C3D77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D200DC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2,323</w:t>
            </w:r>
          </w:p>
        </w:tc>
        <w:tc>
          <w:tcPr>
            <w:tcW w:w="1028" w:type="dxa"/>
            <w:tcBorders>
              <w:top w:val="nil"/>
              <w:left w:val="single" w:sz="6" w:space="0" w:color="auto"/>
              <w:bottom w:val="single" w:sz="6" w:space="0" w:color="auto"/>
              <w:right w:val="single" w:sz="6" w:space="0" w:color="auto"/>
            </w:tcBorders>
          </w:tcPr>
          <w:p w14:paraId="31BC5B2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urban/suburban residents</w:t>
            </w:r>
          </w:p>
          <w:p w14:paraId="2201262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15–74 years.</w:t>
            </w:r>
          </w:p>
        </w:tc>
        <w:tc>
          <w:tcPr>
            <w:tcW w:w="1446" w:type="dxa"/>
            <w:tcBorders>
              <w:top w:val="nil"/>
              <w:left w:val="single" w:sz="6" w:space="0" w:color="auto"/>
              <w:bottom w:val="single" w:sz="6" w:space="0" w:color="auto"/>
              <w:right w:val="single" w:sz="6" w:space="0" w:color="auto"/>
            </w:tcBorders>
          </w:tcPr>
          <w:p w14:paraId="2120A6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distance (km) to nearest built park, forest, larger forest;</w:t>
            </w:r>
          </w:p>
          <w:p w14:paraId="7CA8957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A79FD8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 built/green/forest in 1-km radius; km of paths/roads (1-km).</w:t>
            </w:r>
          </w:p>
          <w:p w14:paraId="64FFBF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6" w:space="0" w:color="auto"/>
              <w:right w:val="single" w:sz="6" w:space="0" w:color="auto"/>
            </w:tcBorders>
          </w:tcPr>
          <w:p w14:paraId="4269C41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CORINE “green” (agricultural, semi-natural, wetlands)</w:t>
            </w:r>
          </w:p>
          <w:p w14:paraId="6E956C1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755FB8B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“forest”; forest treated as recreation-suitable.</w:t>
            </w:r>
          </w:p>
        </w:tc>
        <w:tc>
          <w:tcPr>
            <w:tcW w:w="1080" w:type="dxa"/>
            <w:tcBorders>
              <w:top w:val="nil"/>
              <w:left w:val="single" w:sz="6" w:space="0" w:color="auto"/>
              <w:bottom w:val="single" w:sz="6" w:space="0" w:color="auto"/>
              <w:right w:val="single" w:sz="6" w:space="0" w:color="auto"/>
            </w:tcBorders>
          </w:tcPr>
          <w:p w14:paraId="743E3E1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CORINE Land Cover (Finnish Environment Institute)</w:t>
            </w:r>
          </w:p>
        </w:tc>
        <w:tc>
          <w:tcPr>
            <w:tcW w:w="1530" w:type="dxa"/>
            <w:tcBorders>
              <w:top w:val="nil"/>
              <w:left w:val="single" w:sz="6" w:space="0" w:color="auto"/>
              <w:bottom w:val="single" w:sz="6" w:space="0" w:color="auto"/>
              <w:right w:val="single" w:sz="6" w:space="0" w:color="auto"/>
            </w:tcBorders>
          </w:tcPr>
          <w:p w14:paraId="12E0CAB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distances (km)</w:t>
            </w:r>
          </w:p>
          <w:p w14:paraId="54CD26D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D5802E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1-km circular buffers (Euclidean).</w:t>
            </w:r>
          </w:p>
        </w:tc>
        <w:tc>
          <w:tcPr>
            <w:tcW w:w="1054" w:type="dxa"/>
            <w:tcBorders>
              <w:top w:val="nil"/>
              <w:left w:val="single" w:sz="6" w:space="0" w:color="auto"/>
              <w:bottom w:val="single" w:sz="6" w:space="0" w:color="auto"/>
              <w:right w:val="single" w:sz="6" w:space="0" w:color="auto"/>
            </w:tcBorders>
          </w:tcPr>
          <w:p w14:paraId="14757C3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1-km buffer for land-cover/paths</w:t>
            </w:r>
          </w:p>
        </w:tc>
        <w:tc>
          <w:tcPr>
            <w:tcW w:w="1102" w:type="dxa"/>
            <w:tcBorders>
              <w:top w:val="nil"/>
              <w:left w:val="single" w:sz="6" w:space="0" w:color="auto"/>
              <w:bottom w:val="single" w:sz="6" w:space="0" w:color="auto"/>
              <w:right w:val="single" w:sz="6" w:space="0" w:color="auto"/>
            </w:tcBorders>
          </w:tcPr>
          <w:p w14:paraId="7A2A36D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residence buffers</w:t>
            </w:r>
          </w:p>
        </w:tc>
        <w:tc>
          <w:tcPr>
            <w:tcW w:w="1354" w:type="dxa"/>
            <w:tcBorders>
              <w:top w:val="nil"/>
              <w:left w:val="single" w:sz="6" w:space="0" w:color="auto"/>
              <w:bottom w:val="single" w:sz="6" w:space="0" w:color="auto"/>
              <w:right w:val="single" w:sz="6" w:space="0" w:color="auto"/>
            </w:tcBorders>
          </w:tcPr>
          <w:p w14:paraId="4085FA0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Outdoor recreation visits/year</w:t>
            </w:r>
          </w:p>
          <w:p w14:paraId="6ED562A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B36ED3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Everyday outings/year (walking/biking for commuting/errands).</w:t>
            </w:r>
          </w:p>
        </w:tc>
        <w:tc>
          <w:tcPr>
            <w:tcW w:w="1350" w:type="dxa"/>
            <w:tcBorders>
              <w:top w:val="nil"/>
              <w:left w:val="single" w:sz="6" w:space="0" w:color="auto"/>
              <w:bottom w:val="single" w:sz="6" w:space="0" w:color="auto"/>
              <w:right w:val="single" w:sz="6" w:space="0" w:color="auto"/>
            </w:tcBorders>
          </w:tcPr>
          <w:p w14:paraId="553779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0" w:type="dxa"/>
            <w:tcBorders>
              <w:top w:val="nil"/>
              <w:left w:val="single" w:sz="6" w:space="0" w:color="auto"/>
              <w:bottom w:val="single" w:sz="6" w:space="0" w:color="auto"/>
              <w:right w:val="single" w:sz="6" w:space="0" w:color="auto"/>
            </w:tcBorders>
          </w:tcPr>
          <w:p w14:paraId="4C2BBD4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Path analysis / structural equation modeling</w:t>
            </w:r>
          </w:p>
        </w:tc>
        <w:tc>
          <w:tcPr>
            <w:tcW w:w="1350" w:type="dxa"/>
            <w:tcBorders>
              <w:top w:val="nil"/>
              <w:left w:val="single" w:sz="6" w:space="0" w:color="auto"/>
              <w:bottom w:val="single" w:sz="6" w:space="0" w:color="auto"/>
              <w:right w:val="single" w:sz="6" w:space="0" w:color="auto"/>
            </w:tcBorders>
          </w:tcPr>
          <w:p w14:paraId="4509AA5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1ED9432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0FF2A7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6B1E513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indoor PA</w:t>
            </w:r>
          </w:p>
          <w:p w14:paraId="051F01A7"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forest</w:t>
            </w:r>
          </w:p>
          <w:p w14:paraId="118F269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built</w:t>
            </w:r>
          </w:p>
        </w:tc>
        <w:tc>
          <w:tcPr>
            <w:tcW w:w="990" w:type="dxa"/>
            <w:tcBorders>
              <w:top w:val="nil"/>
              <w:left w:val="single" w:sz="6" w:space="0" w:color="auto"/>
              <w:bottom w:val="single" w:sz="6" w:space="0" w:color="auto"/>
              <w:right w:val="single" w:sz="6" w:space="0" w:color="auto"/>
            </w:tcBorders>
          </w:tcPr>
          <w:p w14:paraId="3BC7DD7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β</w:t>
            </w:r>
          </w:p>
        </w:tc>
        <w:tc>
          <w:tcPr>
            <w:tcW w:w="1260" w:type="dxa"/>
            <w:tcBorders>
              <w:top w:val="nil"/>
              <w:left w:val="single" w:sz="6" w:space="0" w:color="auto"/>
              <w:bottom w:val="single" w:sz="6" w:space="0" w:color="auto"/>
              <w:right w:val="single" w:sz="6" w:space="0" w:color="auto"/>
            </w:tcBorders>
          </w:tcPr>
          <w:p w14:paraId="7D883F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Suburbs—</w:t>
            </w:r>
          </w:p>
          <w:p w14:paraId="6EF5211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OR visits→health β=0.083; </w:t>
            </w:r>
          </w:p>
          <w:p w14:paraId="4D03651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164924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Everyday outings→health β=0.143;</w:t>
            </w:r>
          </w:p>
          <w:p w14:paraId="0F15AE5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4DCDAE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Dist. to forest→OR visits β=−0.082. </w:t>
            </w:r>
          </w:p>
        </w:tc>
        <w:tc>
          <w:tcPr>
            <w:tcW w:w="900" w:type="dxa"/>
            <w:tcBorders>
              <w:top w:val="nil"/>
              <w:left w:val="single" w:sz="6" w:space="0" w:color="auto"/>
              <w:bottom w:val="single" w:sz="6" w:space="0" w:color="auto"/>
              <w:right w:val="single" w:sz="6" w:space="0" w:color="auto"/>
            </w:tcBorders>
          </w:tcPr>
          <w:p w14:paraId="66BB73F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810" w:type="dxa"/>
            <w:tcBorders>
              <w:top w:val="nil"/>
              <w:left w:val="single" w:sz="6" w:space="0" w:color="auto"/>
              <w:bottom w:val="single" w:sz="6" w:space="0" w:color="auto"/>
              <w:right w:val="single" w:sz="6" w:space="0" w:color="auto"/>
            </w:tcBorders>
          </w:tcPr>
          <w:p w14:paraId="405D80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OR→health p&lt;0.05;</w:t>
            </w:r>
          </w:p>
          <w:p w14:paraId="5E254A7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EO→health p&lt;0.001; </w:t>
            </w:r>
          </w:p>
          <w:p w14:paraId="57A7A40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Dist. to forest→OR p&lt;0.001.</w:t>
            </w:r>
          </w:p>
        </w:tc>
        <w:tc>
          <w:tcPr>
            <w:tcW w:w="1530" w:type="dxa"/>
            <w:tcBorders>
              <w:top w:val="nil"/>
              <w:left w:val="single" w:sz="6" w:space="0" w:color="auto"/>
              <w:bottom w:val="single" w:sz="6" w:space="0" w:color="auto"/>
              <w:right w:val="single" w:sz="6" w:space="0" w:color="auto"/>
            </w:tcBorders>
          </w:tcPr>
          <w:p w14:paraId="554D969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Shorter forest distance ↑ outdoor recreation (positive); higher built % ↑ everyday outings (positive); both PA types ↑ self-rated health; direct environment→health mostly null. </w:t>
            </w:r>
          </w:p>
          <w:p w14:paraId="1C96C8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tc>
      </w:tr>
      <w:tr w:rsidR="0037619D" w:rsidRPr="000F3EBD" w14:paraId="16E5272C" w14:textId="77777777" w:rsidTr="00693EBB">
        <w:trPr>
          <w:trHeight w:val="255"/>
        </w:trPr>
        <w:tc>
          <w:tcPr>
            <w:tcW w:w="1072" w:type="dxa"/>
            <w:tcBorders>
              <w:top w:val="nil"/>
              <w:left w:val="single" w:sz="6" w:space="0" w:color="auto"/>
              <w:bottom w:val="single" w:sz="6" w:space="0" w:color="auto"/>
              <w:right w:val="single" w:sz="6" w:space="0" w:color="auto"/>
            </w:tcBorders>
          </w:tcPr>
          <w:p w14:paraId="14BE809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Mäki-Opas TE et al.</w:t>
            </w:r>
          </w:p>
          <w:p w14:paraId="6B58A5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2016</w:t>
            </w:r>
          </w:p>
        </w:tc>
        <w:tc>
          <w:tcPr>
            <w:tcW w:w="896" w:type="dxa"/>
            <w:tcBorders>
              <w:top w:val="nil"/>
              <w:left w:val="single" w:sz="6" w:space="0" w:color="auto"/>
              <w:bottom w:val="single" w:sz="6" w:space="0" w:color="auto"/>
              <w:right w:val="single" w:sz="6" w:space="0" w:color="auto"/>
            </w:tcBorders>
          </w:tcPr>
          <w:p w14:paraId="42CA89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Finland</w:t>
            </w:r>
          </w:p>
        </w:tc>
        <w:tc>
          <w:tcPr>
            <w:tcW w:w="899" w:type="dxa"/>
            <w:tcBorders>
              <w:top w:val="nil"/>
              <w:left w:val="single" w:sz="6" w:space="0" w:color="auto"/>
              <w:bottom w:val="single" w:sz="6" w:space="0" w:color="auto"/>
              <w:right w:val="single" w:sz="6" w:space="0" w:color="auto"/>
            </w:tcBorders>
          </w:tcPr>
          <w:p w14:paraId="6F17A5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793E6EA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2,098</w:t>
            </w:r>
          </w:p>
        </w:tc>
        <w:tc>
          <w:tcPr>
            <w:tcW w:w="1028" w:type="dxa"/>
            <w:tcBorders>
              <w:top w:val="nil"/>
              <w:left w:val="single" w:sz="6" w:space="0" w:color="auto"/>
              <w:bottom w:val="single" w:sz="6" w:space="0" w:color="auto"/>
              <w:right w:val="single" w:sz="6" w:space="0" w:color="auto"/>
            </w:tcBorders>
          </w:tcPr>
          <w:p w14:paraId="6B279D4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Employed, working-age urban residents</w:t>
            </w:r>
          </w:p>
          <w:p w14:paraId="69C8ED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30–64</w:t>
            </w:r>
          </w:p>
        </w:tc>
        <w:tc>
          <w:tcPr>
            <w:tcW w:w="1446" w:type="dxa"/>
            <w:tcBorders>
              <w:top w:val="nil"/>
              <w:left w:val="single" w:sz="6" w:space="0" w:color="auto"/>
              <w:bottom w:val="single" w:sz="6" w:space="0" w:color="auto"/>
              <w:right w:val="single" w:sz="6" w:space="0" w:color="auto"/>
            </w:tcBorders>
          </w:tcPr>
          <w:p w14:paraId="5C56CE6C" w14:textId="7BB997EE"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Euclidean distance from home to nearest greenspace</w:t>
            </w:r>
          </w:p>
          <w:p w14:paraId="0939EAF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Proportion of recreational green space around home</w:t>
            </w:r>
          </w:p>
        </w:tc>
        <w:tc>
          <w:tcPr>
            <w:tcW w:w="1080" w:type="dxa"/>
            <w:tcBorders>
              <w:top w:val="nil"/>
              <w:left w:val="single" w:sz="6" w:space="0" w:color="auto"/>
              <w:bottom w:val="single" w:sz="6" w:space="0" w:color="auto"/>
              <w:right w:val="single" w:sz="6" w:space="0" w:color="auto"/>
            </w:tcBorders>
          </w:tcPr>
          <w:p w14:paraId="0DF8B90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Recreational green spaces ≥1.5 ha</w:t>
            </w:r>
          </w:p>
        </w:tc>
        <w:tc>
          <w:tcPr>
            <w:tcW w:w="1080" w:type="dxa"/>
            <w:tcBorders>
              <w:top w:val="nil"/>
              <w:left w:val="single" w:sz="6" w:space="0" w:color="auto"/>
              <w:bottom w:val="single" w:sz="6" w:space="0" w:color="auto"/>
              <w:right w:val="single" w:sz="6" w:space="0" w:color="auto"/>
            </w:tcBorders>
          </w:tcPr>
          <w:p w14:paraId="19DE7E6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CORINE Land Cover 2006 (25 m raster)</w:t>
            </w:r>
          </w:p>
        </w:tc>
        <w:tc>
          <w:tcPr>
            <w:tcW w:w="1530" w:type="dxa"/>
            <w:tcBorders>
              <w:top w:val="nil"/>
              <w:left w:val="single" w:sz="6" w:space="0" w:color="auto"/>
              <w:bottom w:val="single" w:sz="6" w:space="0" w:color="auto"/>
              <w:right w:val="single" w:sz="6" w:space="0" w:color="auto"/>
            </w:tcBorders>
          </w:tcPr>
          <w:p w14:paraId="07A43F3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distance; % green space within home buffer</w:t>
            </w:r>
          </w:p>
        </w:tc>
        <w:tc>
          <w:tcPr>
            <w:tcW w:w="1054" w:type="dxa"/>
            <w:tcBorders>
              <w:top w:val="nil"/>
              <w:left w:val="single" w:sz="6" w:space="0" w:color="auto"/>
              <w:bottom w:val="single" w:sz="6" w:space="0" w:color="auto"/>
              <w:right w:val="single" w:sz="6" w:space="0" w:color="auto"/>
            </w:tcBorders>
          </w:tcPr>
          <w:p w14:paraId="4319D5E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w:t>
            </w:r>
          </w:p>
          <w:p w14:paraId="512EFB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0–199 m vs ≥200 m;</w:t>
            </w:r>
          </w:p>
        </w:tc>
        <w:tc>
          <w:tcPr>
            <w:tcW w:w="1102" w:type="dxa"/>
            <w:tcBorders>
              <w:top w:val="nil"/>
              <w:left w:val="single" w:sz="6" w:space="0" w:color="auto"/>
              <w:bottom w:val="single" w:sz="6" w:space="0" w:color="auto"/>
              <w:right w:val="single" w:sz="6" w:space="0" w:color="auto"/>
            </w:tcBorders>
          </w:tcPr>
          <w:p w14:paraId="127B99A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buffer around home</w:t>
            </w:r>
          </w:p>
        </w:tc>
        <w:tc>
          <w:tcPr>
            <w:tcW w:w="1354" w:type="dxa"/>
            <w:tcBorders>
              <w:top w:val="nil"/>
              <w:left w:val="single" w:sz="6" w:space="0" w:color="auto"/>
              <w:bottom w:val="single" w:sz="6" w:space="0" w:color="auto"/>
              <w:right w:val="single" w:sz="6" w:space="0" w:color="auto"/>
            </w:tcBorders>
          </w:tcPr>
          <w:p w14:paraId="2AC2BDB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Commuting PA (walking/cycling to/from work)</w:t>
            </w:r>
          </w:p>
        </w:tc>
        <w:tc>
          <w:tcPr>
            <w:tcW w:w="1350" w:type="dxa"/>
            <w:tcBorders>
              <w:top w:val="nil"/>
              <w:left w:val="single" w:sz="6" w:space="0" w:color="auto"/>
              <w:bottom w:val="single" w:sz="6" w:space="0" w:color="auto"/>
              <w:right w:val="single" w:sz="6" w:space="0" w:color="auto"/>
            </w:tcBorders>
          </w:tcPr>
          <w:p w14:paraId="0BF5D13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0" w:type="dxa"/>
            <w:tcBorders>
              <w:top w:val="nil"/>
              <w:left w:val="single" w:sz="6" w:space="0" w:color="auto"/>
              <w:bottom w:val="single" w:sz="6" w:space="0" w:color="auto"/>
              <w:right w:val="single" w:sz="6" w:space="0" w:color="auto"/>
            </w:tcBorders>
          </w:tcPr>
          <w:p w14:paraId="7068888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Survey logistic regression</w:t>
            </w:r>
          </w:p>
        </w:tc>
        <w:tc>
          <w:tcPr>
            <w:tcW w:w="1350" w:type="dxa"/>
            <w:tcBorders>
              <w:top w:val="nil"/>
              <w:left w:val="single" w:sz="6" w:space="0" w:color="auto"/>
              <w:bottom w:val="single" w:sz="6" w:space="0" w:color="auto"/>
              <w:right w:val="single" w:sz="6" w:space="0" w:color="auto"/>
            </w:tcBorders>
          </w:tcPr>
          <w:p w14:paraId="754B1A9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D488B8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431E283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76FA96B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PA,</w:t>
            </w:r>
          </w:p>
          <w:p w14:paraId="067482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occupational PA</w:t>
            </w:r>
          </w:p>
        </w:tc>
        <w:tc>
          <w:tcPr>
            <w:tcW w:w="990" w:type="dxa"/>
            <w:tcBorders>
              <w:top w:val="nil"/>
              <w:left w:val="single" w:sz="6" w:space="0" w:color="auto"/>
              <w:bottom w:val="single" w:sz="6" w:space="0" w:color="auto"/>
              <w:right w:val="single" w:sz="6" w:space="0" w:color="auto"/>
            </w:tcBorders>
          </w:tcPr>
          <w:p w14:paraId="3ECC009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1260" w:type="dxa"/>
            <w:tcBorders>
              <w:top w:val="nil"/>
              <w:left w:val="single" w:sz="6" w:space="0" w:color="auto"/>
              <w:bottom w:val="single" w:sz="6" w:space="0" w:color="auto"/>
              <w:right w:val="single" w:sz="6" w:space="0" w:color="auto"/>
            </w:tcBorders>
          </w:tcPr>
          <w:p w14:paraId="333E96B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00" w:type="dxa"/>
            <w:tcBorders>
              <w:top w:val="nil"/>
              <w:left w:val="single" w:sz="6" w:space="0" w:color="auto"/>
              <w:bottom w:val="single" w:sz="6" w:space="0" w:color="auto"/>
              <w:right w:val="single" w:sz="6" w:space="0" w:color="auto"/>
            </w:tcBorders>
          </w:tcPr>
          <w:p w14:paraId="0327B9E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810" w:type="dxa"/>
            <w:tcBorders>
              <w:top w:val="nil"/>
              <w:left w:val="single" w:sz="6" w:space="0" w:color="auto"/>
              <w:bottom w:val="single" w:sz="6" w:space="0" w:color="auto"/>
              <w:right w:val="single" w:sz="6" w:space="0" w:color="auto"/>
            </w:tcBorders>
          </w:tcPr>
          <w:p w14:paraId="26129B5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530" w:type="dxa"/>
            <w:tcBorders>
              <w:top w:val="nil"/>
              <w:left w:val="single" w:sz="6" w:space="0" w:color="auto"/>
              <w:bottom w:val="single" w:sz="6" w:space="0" w:color="auto"/>
              <w:right w:val="single" w:sz="6" w:space="0" w:color="auto"/>
            </w:tcBorders>
          </w:tcPr>
          <w:p w14:paraId="32DE58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Distance ≥200 m vs 0–199 m became null after full adjustment</w:t>
            </w:r>
          </w:p>
        </w:tc>
      </w:tr>
      <w:tr w:rsidR="0037619D" w:rsidRPr="000F3EBD" w14:paraId="6302A05F" w14:textId="77777777" w:rsidTr="00693EBB">
        <w:trPr>
          <w:trHeight w:val="3261"/>
        </w:trPr>
        <w:tc>
          <w:tcPr>
            <w:tcW w:w="1072" w:type="dxa"/>
            <w:tcBorders>
              <w:top w:val="nil"/>
              <w:left w:val="single" w:sz="6" w:space="0" w:color="auto"/>
              <w:bottom w:val="single" w:sz="6" w:space="0" w:color="auto"/>
              <w:right w:val="single" w:sz="6" w:space="0" w:color="auto"/>
            </w:tcBorders>
          </w:tcPr>
          <w:p w14:paraId="701C6FC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Coombes et al.,</w:t>
            </w:r>
          </w:p>
          <w:p w14:paraId="0DF98A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2010</w:t>
            </w:r>
          </w:p>
        </w:tc>
        <w:tc>
          <w:tcPr>
            <w:tcW w:w="896" w:type="dxa"/>
            <w:tcBorders>
              <w:top w:val="nil"/>
              <w:left w:val="single" w:sz="6" w:space="0" w:color="auto"/>
              <w:bottom w:val="single" w:sz="6" w:space="0" w:color="auto"/>
              <w:right w:val="single" w:sz="6" w:space="0" w:color="auto"/>
            </w:tcBorders>
          </w:tcPr>
          <w:p w14:paraId="3931DD5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899" w:type="dxa"/>
            <w:tcBorders>
              <w:top w:val="nil"/>
              <w:left w:val="single" w:sz="6" w:space="0" w:color="auto"/>
              <w:bottom w:val="single" w:sz="6" w:space="0" w:color="auto"/>
              <w:right w:val="single" w:sz="6" w:space="0" w:color="auto"/>
            </w:tcBorders>
          </w:tcPr>
          <w:p w14:paraId="4904B9B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556091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6,803</w:t>
            </w:r>
          </w:p>
        </w:tc>
        <w:tc>
          <w:tcPr>
            <w:tcW w:w="1028" w:type="dxa"/>
            <w:tcBorders>
              <w:top w:val="nil"/>
              <w:left w:val="single" w:sz="6" w:space="0" w:color="auto"/>
              <w:bottom w:val="single" w:sz="6" w:space="0" w:color="auto"/>
              <w:right w:val="single" w:sz="6" w:space="0" w:color="auto"/>
            </w:tcBorders>
          </w:tcPr>
          <w:p w14:paraId="60A755C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adults</w:t>
            </w:r>
          </w:p>
          <w:p w14:paraId="0E92836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w:t>
            </w:r>
          </w:p>
        </w:tc>
        <w:tc>
          <w:tcPr>
            <w:tcW w:w="1446" w:type="dxa"/>
            <w:tcBorders>
              <w:top w:val="nil"/>
              <w:left w:val="single" w:sz="6" w:space="0" w:color="auto"/>
              <w:bottom w:val="single" w:sz="6" w:space="0" w:color="auto"/>
              <w:right w:val="single" w:sz="6" w:space="0" w:color="auto"/>
            </w:tcBorders>
          </w:tcPr>
          <w:p w14:paraId="25C773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Road-network distance from home to nearest green space</w:t>
            </w:r>
          </w:p>
        </w:tc>
        <w:tc>
          <w:tcPr>
            <w:tcW w:w="1080" w:type="dxa"/>
            <w:tcBorders>
              <w:top w:val="nil"/>
              <w:left w:val="single" w:sz="6" w:space="0" w:color="auto"/>
              <w:bottom w:val="single" w:sz="6" w:space="0" w:color="auto"/>
              <w:right w:val="single" w:sz="6" w:space="0" w:color="auto"/>
            </w:tcBorders>
          </w:tcPr>
          <w:p w14:paraId="6FB3B0C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green spaces ≥2 ha</w:t>
            </w:r>
          </w:p>
        </w:tc>
        <w:tc>
          <w:tcPr>
            <w:tcW w:w="1080" w:type="dxa"/>
            <w:tcBorders>
              <w:top w:val="nil"/>
              <w:left w:val="single" w:sz="6" w:space="0" w:color="auto"/>
              <w:bottom w:val="single" w:sz="6" w:space="0" w:color="auto"/>
              <w:right w:val="single" w:sz="6" w:space="0" w:color="auto"/>
            </w:tcBorders>
          </w:tcPr>
          <w:p w14:paraId="5B91D2E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Bristol City Council green space GIS;</w:t>
            </w:r>
          </w:p>
          <w:p w14:paraId="0454D7A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45E15B6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OS datasets</w:t>
            </w:r>
          </w:p>
        </w:tc>
        <w:tc>
          <w:tcPr>
            <w:tcW w:w="1530" w:type="dxa"/>
            <w:tcBorders>
              <w:top w:val="nil"/>
              <w:left w:val="single" w:sz="6" w:space="0" w:color="auto"/>
              <w:bottom w:val="single" w:sz="6" w:space="0" w:color="auto"/>
              <w:right w:val="single" w:sz="6" w:space="0" w:color="auto"/>
            </w:tcBorders>
          </w:tcPr>
          <w:p w14:paraId="717BB0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w:t>
            </w:r>
          </w:p>
        </w:tc>
        <w:tc>
          <w:tcPr>
            <w:tcW w:w="1054" w:type="dxa"/>
            <w:tcBorders>
              <w:top w:val="nil"/>
              <w:left w:val="single" w:sz="6" w:space="0" w:color="auto"/>
              <w:bottom w:val="single" w:sz="6" w:space="0" w:color="auto"/>
              <w:right w:val="single" w:sz="6" w:space="0" w:color="auto"/>
            </w:tcBorders>
          </w:tcPr>
          <w:p w14:paraId="31260F9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Quartiles by distance</w:t>
            </w:r>
          </w:p>
        </w:tc>
        <w:tc>
          <w:tcPr>
            <w:tcW w:w="1102" w:type="dxa"/>
            <w:tcBorders>
              <w:top w:val="nil"/>
              <w:left w:val="single" w:sz="6" w:space="0" w:color="auto"/>
              <w:bottom w:val="single" w:sz="6" w:space="0" w:color="auto"/>
              <w:right w:val="single" w:sz="6" w:space="0" w:color="auto"/>
            </w:tcBorders>
          </w:tcPr>
          <w:p w14:paraId="1C3133D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location</w:t>
            </w:r>
          </w:p>
          <w:p w14:paraId="269E1E4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1AFCC14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covariates within 800 m road-network buffer</w:t>
            </w:r>
          </w:p>
        </w:tc>
        <w:tc>
          <w:tcPr>
            <w:tcW w:w="1354" w:type="dxa"/>
            <w:tcBorders>
              <w:top w:val="nil"/>
              <w:left w:val="single" w:sz="6" w:space="0" w:color="auto"/>
              <w:bottom w:val="single" w:sz="6" w:space="0" w:color="auto"/>
              <w:right w:val="single" w:sz="6" w:space="0" w:color="auto"/>
            </w:tcBorders>
          </w:tcPr>
          <w:p w14:paraId="6D902DD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Meeting CMO guideline</w:t>
            </w:r>
          </w:p>
          <w:p w14:paraId="4F3C6C6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C175B4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min moderate PA ≥5×/week)</w:t>
            </w:r>
          </w:p>
        </w:tc>
        <w:tc>
          <w:tcPr>
            <w:tcW w:w="1350" w:type="dxa"/>
            <w:tcBorders>
              <w:top w:val="nil"/>
              <w:left w:val="single" w:sz="6" w:space="0" w:color="auto"/>
              <w:bottom w:val="single" w:sz="6" w:space="0" w:color="auto"/>
              <w:right w:val="single" w:sz="6" w:space="0" w:color="auto"/>
            </w:tcBorders>
          </w:tcPr>
          <w:p w14:paraId="07164F1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0" w:type="dxa"/>
            <w:tcBorders>
              <w:top w:val="nil"/>
              <w:left w:val="single" w:sz="6" w:space="0" w:color="auto"/>
              <w:bottom w:val="single" w:sz="6" w:space="0" w:color="auto"/>
              <w:right w:val="single" w:sz="6" w:space="0" w:color="auto"/>
            </w:tcBorders>
          </w:tcPr>
          <w:p w14:paraId="7DE444E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logistic regression</w:t>
            </w:r>
          </w:p>
        </w:tc>
        <w:tc>
          <w:tcPr>
            <w:tcW w:w="1350" w:type="dxa"/>
            <w:tcBorders>
              <w:top w:val="nil"/>
              <w:left w:val="single" w:sz="6" w:space="0" w:color="auto"/>
              <w:bottom w:val="single" w:sz="6" w:space="0" w:color="auto"/>
              <w:right w:val="single" w:sz="6" w:space="0" w:color="auto"/>
            </w:tcBorders>
          </w:tcPr>
          <w:p w14:paraId="3934F45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F8E88F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5A286F8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socioeconomic status</w:t>
            </w:r>
          </w:p>
          <w:p w14:paraId="5C4A553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self-rated health,</w:t>
            </w:r>
          </w:p>
          <w:p w14:paraId="2AB334E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area deprivation</w:t>
            </w:r>
          </w:p>
          <w:p w14:paraId="3800942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walkability</w:t>
            </w:r>
          </w:p>
          <w:p w14:paraId="09404BAD"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road/junction density</w:t>
            </w:r>
          </w:p>
          <w:p w14:paraId="02A3E579" w14:textId="77777777" w:rsidR="0037619D" w:rsidRDefault="0037619D" w:rsidP="00693EBB">
            <w:pPr>
              <w:autoSpaceDE w:val="0"/>
              <w:autoSpaceDN w:val="0"/>
              <w:adjustRightInd w:val="0"/>
              <w:rPr>
                <w:rFonts w:asciiTheme="majorBidi" w:hAnsiTheme="majorBidi" w:cstheme="majorBidi"/>
                <w:color w:val="000000"/>
                <w:kern w:val="0"/>
                <w:sz w:val="18"/>
                <w:szCs w:val="18"/>
              </w:rPr>
            </w:pPr>
            <w:r>
              <w:rPr>
                <w:rFonts w:asciiTheme="majorBidi" w:hAnsiTheme="majorBidi" w:cstheme="majorBidi"/>
                <w:color w:val="000000"/>
                <w:kern w:val="0"/>
                <w:sz w:val="18"/>
                <w:szCs w:val="18"/>
              </w:rPr>
              <w:t>land-use diversity</w:t>
            </w:r>
          </w:p>
          <w:p w14:paraId="64A6FA3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walk/bike to work</w:t>
            </w:r>
          </w:p>
        </w:tc>
        <w:tc>
          <w:tcPr>
            <w:tcW w:w="990" w:type="dxa"/>
            <w:tcBorders>
              <w:top w:val="nil"/>
              <w:left w:val="single" w:sz="6" w:space="0" w:color="auto"/>
              <w:bottom w:val="single" w:sz="6" w:space="0" w:color="auto"/>
              <w:right w:val="single" w:sz="6" w:space="0" w:color="auto"/>
            </w:tcBorders>
          </w:tcPr>
          <w:p w14:paraId="74DA171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1260" w:type="dxa"/>
            <w:tcBorders>
              <w:top w:val="nil"/>
              <w:left w:val="single" w:sz="6" w:space="0" w:color="auto"/>
              <w:bottom w:val="single" w:sz="6" w:space="0" w:color="auto"/>
              <w:right w:val="single" w:sz="6" w:space="0" w:color="auto"/>
            </w:tcBorders>
          </w:tcPr>
          <w:p w14:paraId="6DB437D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0.76 (respondent-adjusted model)</w:t>
            </w:r>
          </w:p>
          <w:p w14:paraId="35CF7B1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73B1F38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0.88 (fully adjusted)</w:t>
            </w:r>
          </w:p>
        </w:tc>
        <w:tc>
          <w:tcPr>
            <w:tcW w:w="900" w:type="dxa"/>
            <w:tcBorders>
              <w:top w:val="nil"/>
              <w:left w:val="single" w:sz="6" w:space="0" w:color="auto"/>
              <w:bottom w:val="single" w:sz="6" w:space="0" w:color="auto"/>
              <w:right w:val="single" w:sz="6" w:space="0" w:color="auto"/>
            </w:tcBorders>
          </w:tcPr>
          <w:p w14:paraId="0CD94C0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0.65–0.88 (respondent-adjusted)</w:t>
            </w:r>
          </w:p>
          <w:p w14:paraId="0746804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36B43EE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0.73–1.06 (fully adjusted)</w:t>
            </w:r>
          </w:p>
        </w:tc>
        <w:tc>
          <w:tcPr>
            <w:tcW w:w="810" w:type="dxa"/>
            <w:tcBorders>
              <w:top w:val="nil"/>
              <w:left w:val="single" w:sz="6" w:space="0" w:color="auto"/>
              <w:bottom w:val="single" w:sz="6" w:space="0" w:color="auto"/>
              <w:right w:val="single" w:sz="6" w:space="0" w:color="auto"/>
            </w:tcBorders>
          </w:tcPr>
          <w:p w14:paraId="3BDDB0E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&lt;0.01</w:t>
            </w:r>
          </w:p>
        </w:tc>
        <w:tc>
          <w:tcPr>
            <w:tcW w:w="1530" w:type="dxa"/>
            <w:tcBorders>
              <w:top w:val="nil"/>
              <w:left w:val="single" w:sz="6" w:space="0" w:color="auto"/>
              <w:bottom w:val="single" w:sz="6" w:space="0" w:color="auto"/>
              <w:right w:val="single" w:sz="6" w:space="0" w:color="auto"/>
            </w:tcBorders>
          </w:tcPr>
          <w:p w14:paraId="42D791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access → PA (greater distance = lower odds of meeting PA guideline)</w:t>
            </w:r>
          </w:p>
        </w:tc>
      </w:tr>
      <w:tr w:rsidR="0037619D" w:rsidRPr="000F3EBD" w14:paraId="62C0394D" w14:textId="77777777" w:rsidTr="00A136E2">
        <w:trPr>
          <w:trHeight w:val="2514"/>
        </w:trPr>
        <w:tc>
          <w:tcPr>
            <w:tcW w:w="1072" w:type="dxa"/>
            <w:tcBorders>
              <w:top w:val="nil"/>
              <w:left w:val="single" w:sz="6" w:space="0" w:color="auto"/>
              <w:bottom w:val="single" w:sz="6" w:space="0" w:color="auto"/>
              <w:right w:val="single" w:sz="6" w:space="0" w:color="auto"/>
            </w:tcBorders>
          </w:tcPr>
          <w:p w14:paraId="76CF505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Patnode CD et al.</w:t>
            </w:r>
          </w:p>
          <w:p w14:paraId="0A4A5F7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2010</w:t>
            </w:r>
          </w:p>
        </w:tc>
        <w:tc>
          <w:tcPr>
            <w:tcW w:w="896" w:type="dxa"/>
            <w:tcBorders>
              <w:top w:val="nil"/>
              <w:left w:val="single" w:sz="6" w:space="0" w:color="auto"/>
              <w:bottom w:val="single" w:sz="6" w:space="0" w:color="auto"/>
              <w:right w:val="single" w:sz="6" w:space="0" w:color="auto"/>
            </w:tcBorders>
          </w:tcPr>
          <w:p w14:paraId="623E33A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0751319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50E83B1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294</w:t>
            </w:r>
          </w:p>
        </w:tc>
        <w:tc>
          <w:tcPr>
            <w:tcW w:w="1028" w:type="dxa"/>
            <w:tcBorders>
              <w:top w:val="nil"/>
              <w:left w:val="single" w:sz="6" w:space="0" w:color="auto"/>
              <w:bottom w:val="single" w:sz="6" w:space="0" w:color="auto"/>
              <w:right w:val="single" w:sz="6" w:space="0" w:color="auto"/>
            </w:tcBorders>
          </w:tcPr>
          <w:p w14:paraId="78305F0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Children/adolescents</w:t>
            </w:r>
          </w:p>
          <w:p w14:paraId="72BBC3F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10–17 y</w:t>
            </w:r>
          </w:p>
        </w:tc>
        <w:tc>
          <w:tcPr>
            <w:tcW w:w="1446" w:type="dxa"/>
            <w:tcBorders>
              <w:top w:val="nil"/>
              <w:left w:val="single" w:sz="6" w:space="0" w:color="auto"/>
              <w:bottom w:val="single" w:sz="6" w:space="0" w:color="auto"/>
              <w:right w:val="single" w:sz="6" w:space="0" w:color="auto"/>
            </w:tcBorders>
          </w:tcPr>
          <w:p w14:paraId="285B101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distance (km) to nearest park, trail access</w:t>
            </w:r>
          </w:p>
          <w:p w14:paraId="4884FEF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31366E4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walkability index</w:t>
            </w:r>
          </w:p>
        </w:tc>
        <w:tc>
          <w:tcPr>
            <w:tcW w:w="1080" w:type="dxa"/>
            <w:tcBorders>
              <w:top w:val="nil"/>
              <w:left w:val="single" w:sz="6" w:space="0" w:color="auto"/>
              <w:bottom w:val="single" w:sz="6" w:space="0" w:color="auto"/>
              <w:right w:val="single" w:sz="6" w:space="0" w:color="auto"/>
            </w:tcBorders>
          </w:tcPr>
          <w:p w14:paraId="103148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 bicycle/pedestrian trails</w:t>
            </w:r>
          </w:p>
        </w:tc>
        <w:tc>
          <w:tcPr>
            <w:tcW w:w="1080" w:type="dxa"/>
            <w:tcBorders>
              <w:top w:val="nil"/>
              <w:left w:val="single" w:sz="6" w:space="0" w:color="auto"/>
              <w:bottom w:val="single" w:sz="6" w:space="0" w:color="auto"/>
              <w:right w:val="single" w:sz="6" w:space="0" w:color="auto"/>
            </w:tcBorders>
          </w:tcPr>
          <w:p w14:paraId="4DC1A97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GIS-derived</w:t>
            </w:r>
          </w:p>
        </w:tc>
        <w:tc>
          <w:tcPr>
            <w:tcW w:w="1530" w:type="dxa"/>
            <w:tcBorders>
              <w:top w:val="nil"/>
              <w:left w:val="single" w:sz="6" w:space="0" w:color="auto"/>
              <w:bottom w:val="single" w:sz="6" w:space="0" w:color="auto"/>
              <w:right w:val="single" w:sz="6" w:space="0" w:color="auto"/>
            </w:tcBorders>
          </w:tcPr>
          <w:p w14:paraId="1990579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w:t>
            </w:r>
          </w:p>
        </w:tc>
        <w:tc>
          <w:tcPr>
            <w:tcW w:w="1054" w:type="dxa"/>
            <w:tcBorders>
              <w:top w:val="nil"/>
              <w:left w:val="single" w:sz="6" w:space="0" w:color="auto"/>
              <w:bottom w:val="single" w:sz="6" w:space="0" w:color="auto"/>
              <w:right w:val="single" w:sz="6" w:space="0" w:color="auto"/>
            </w:tcBorders>
          </w:tcPr>
          <w:p w14:paraId="517DD9C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102" w:type="dxa"/>
            <w:tcBorders>
              <w:top w:val="nil"/>
              <w:left w:val="single" w:sz="6" w:space="0" w:color="auto"/>
              <w:bottom w:val="single" w:sz="6" w:space="0" w:color="auto"/>
              <w:right w:val="single" w:sz="6" w:space="0" w:color="auto"/>
            </w:tcBorders>
          </w:tcPr>
          <w:p w14:paraId="6418ACE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address</w:t>
            </w:r>
          </w:p>
          <w:p w14:paraId="21AD7B8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17679A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network buffer (walkability)</w:t>
            </w:r>
          </w:p>
        </w:tc>
        <w:tc>
          <w:tcPr>
            <w:tcW w:w="1354" w:type="dxa"/>
            <w:tcBorders>
              <w:top w:val="nil"/>
              <w:left w:val="single" w:sz="6" w:space="0" w:color="auto"/>
              <w:bottom w:val="single" w:sz="6" w:space="0" w:color="auto"/>
              <w:right w:val="single" w:sz="6" w:space="0" w:color="auto"/>
            </w:tcBorders>
          </w:tcPr>
          <w:p w14:paraId="7CA747A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(min/day)</w:t>
            </w:r>
          </w:p>
        </w:tc>
        <w:tc>
          <w:tcPr>
            <w:tcW w:w="1350" w:type="dxa"/>
            <w:tcBorders>
              <w:top w:val="nil"/>
              <w:left w:val="single" w:sz="6" w:space="0" w:color="auto"/>
              <w:bottom w:val="single" w:sz="6" w:space="0" w:color="auto"/>
              <w:right w:val="single" w:sz="6" w:space="0" w:color="auto"/>
            </w:tcBorders>
          </w:tcPr>
          <w:p w14:paraId="3875B8F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(ActiGraph 7164)</w:t>
            </w:r>
          </w:p>
        </w:tc>
        <w:tc>
          <w:tcPr>
            <w:tcW w:w="1080" w:type="dxa"/>
            <w:tcBorders>
              <w:top w:val="nil"/>
              <w:left w:val="single" w:sz="6" w:space="0" w:color="auto"/>
              <w:bottom w:val="single" w:sz="6" w:space="0" w:color="auto"/>
              <w:right w:val="single" w:sz="6" w:space="0" w:color="auto"/>
            </w:tcBorders>
          </w:tcPr>
          <w:p w14:paraId="17451AE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350" w:type="dxa"/>
            <w:tcBorders>
              <w:top w:val="nil"/>
              <w:left w:val="single" w:sz="6" w:space="0" w:color="auto"/>
              <w:bottom w:val="single" w:sz="6" w:space="0" w:color="auto"/>
              <w:right w:val="single" w:sz="6" w:space="0" w:color="auto"/>
            </w:tcBorders>
          </w:tcPr>
          <w:p w14:paraId="51267EA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4CD5282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287334F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 education</w:t>
            </w:r>
          </w:p>
          <w:p w14:paraId="66C2DF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free/reduced lunch (SES)</w:t>
            </w:r>
          </w:p>
          <w:p w14:paraId="5CFCD64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 z-score</w:t>
            </w:r>
          </w:p>
          <w:p w14:paraId="6AB524B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physical maturation</w:t>
            </w:r>
          </w:p>
          <w:p w14:paraId="424DEF1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plus significant individual/social/env. factors</w:t>
            </w:r>
          </w:p>
          <w:p w14:paraId="42DA66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990" w:type="dxa"/>
            <w:tcBorders>
              <w:top w:val="nil"/>
              <w:left w:val="single" w:sz="6" w:space="0" w:color="auto"/>
              <w:bottom w:val="single" w:sz="6" w:space="0" w:color="auto"/>
              <w:right w:val="single" w:sz="6" w:space="0" w:color="auto"/>
            </w:tcBorders>
          </w:tcPr>
          <w:p w14:paraId="4F9C17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β</w:t>
            </w:r>
          </w:p>
          <w:p w14:paraId="3246BD0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w:t>
            </w:r>
          </w:p>
        </w:tc>
        <w:tc>
          <w:tcPr>
            <w:tcW w:w="1260" w:type="dxa"/>
            <w:tcBorders>
              <w:top w:val="nil"/>
              <w:left w:val="single" w:sz="6" w:space="0" w:color="auto"/>
              <w:bottom w:val="single" w:sz="6" w:space="0" w:color="auto"/>
              <w:right w:val="single" w:sz="6" w:space="0" w:color="auto"/>
            </w:tcBorders>
          </w:tcPr>
          <w:p w14:paraId="5ECF289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Girls: distance to school attended β = −0.20 (full model)</w:t>
            </w:r>
          </w:p>
        </w:tc>
        <w:tc>
          <w:tcPr>
            <w:tcW w:w="900" w:type="dxa"/>
            <w:tcBorders>
              <w:top w:val="nil"/>
              <w:left w:val="single" w:sz="6" w:space="0" w:color="auto"/>
              <w:bottom w:val="single" w:sz="6" w:space="0" w:color="auto"/>
              <w:right w:val="single" w:sz="6" w:space="0" w:color="auto"/>
            </w:tcBorders>
          </w:tcPr>
          <w:p w14:paraId="4C55CBC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810" w:type="dxa"/>
            <w:tcBorders>
              <w:top w:val="nil"/>
              <w:left w:val="single" w:sz="6" w:space="0" w:color="auto"/>
              <w:bottom w:val="single" w:sz="6" w:space="0" w:color="auto"/>
              <w:right w:val="single" w:sz="6" w:space="0" w:color="auto"/>
            </w:tcBorders>
          </w:tcPr>
          <w:p w14:paraId="12785D3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0.03</w:t>
            </w:r>
          </w:p>
        </w:tc>
        <w:tc>
          <w:tcPr>
            <w:tcW w:w="1530" w:type="dxa"/>
            <w:tcBorders>
              <w:top w:val="nil"/>
              <w:left w:val="single" w:sz="6" w:space="0" w:color="auto"/>
              <w:bottom w:val="single" w:sz="6" w:space="0" w:color="auto"/>
              <w:right w:val="single" w:sz="6" w:space="0" w:color="auto"/>
            </w:tcBorders>
          </w:tcPr>
          <w:p w14:paraId="2E9D472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(farther from school → less MVPA in girls); null for distance to parks/trails in both sexes; walkability positive (girls, borderline)</w:t>
            </w:r>
          </w:p>
        </w:tc>
      </w:tr>
      <w:tr w:rsidR="0037619D" w:rsidRPr="000F3EBD" w14:paraId="1A7A85EB" w14:textId="77777777" w:rsidTr="00693EBB">
        <w:trPr>
          <w:trHeight w:val="3353"/>
        </w:trPr>
        <w:tc>
          <w:tcPr>
            <w:tcW w:w="1072" w:type="dxa"/>
            <w:tcBorders>
              <w:top w:val="nil"/>
              <w:left w:val="single" w:sz="6" w:space="0" w:color="auto"/>
              <w:bottom w:val="single" w:sz="6" w:space="0" w:color="auto"/>
              <w:right w:val="single" w:sz="6" w:space="0" w:color="auto"/>
            </w:tcBorders>
          </w:tcPr>
          <w:p w14:paraId="0363226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Mowen et al.,</w:t>
            </w:r>
          </w:p>
          <w:p w14:paraId="0D2BA4A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2007</w:t>
            </w:r>
          </w:p>
        </w:tc>
        <w:tc>
          <w:tcPr>
            <w:tcW w:w="896" w:type="dxa"/>
            <w:tcBorders>
              <w:top w:val="nil"/>
              <w:left w:val="single" w:sz="6" w:space="0" w:color="auto"/>
              <w:bottom w:val="single" w:sz="6" w:space="0" w:color="auto"/>
              <w:right w:val="single" w:sz="6" w:space="0" w:color="auto"/>
            </w:tcBorders>
          </w:tcPr>
          <w:p w14:paraId="5E598A3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2C1751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15A2EFB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1,515</w:t>
            </w:r>
          </w:p>
        </w:tc>
        <w:tc>
          <w:tcPr>
            <w:tcW w:w="1028" w:type="dxa"/>
            <w:tcBorders>
              <w:top w:val="nil"/>
              <w:left w:val="single" w:sz="6" w:space="0" w:color="auto"/>
              <w:bottom w:val="single" w:sz="6" w:space="0" w:color="auto"/>
              <w:right w:val="single" w:sz="6" w:space="0" w:color="auto"/>
            </w:tcBorders>
          </w:tcPr>
          <w:p w14:paraId="26D4219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Older adults in community settings</w:t>
            </w:r>
          </w:p>
          <w:p w14:paraId="3319885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50–99 y</w:t>
            </w:r>
          </w:p>
        </w:tc>
        <w:tc>
          <w:tcPr>
            <w:tcW w:w="1446" w:type="dxa"/>
            <w:tcBorders>
              <w:top w:val="nil"/>
              <w:left w:val="single" w:sz="6" w:space="0" w:color="auto"/>
              <w:bottom w:val="single" w:sz="6" w:space="0" w:color="auto"/>
              <w:right w:val="single" w:sz="6" w:space="0" w:color="auto"/>
            </w:tcBorders>
          </w:tcPr>
          <w:p w14:paraId="758FDC9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Objective Euclidean distance (miles) from home to nearest public park</w:t>
            </w:r>
          </w:p>
          <w:p w14:paraId="2B0FC55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17132F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Perceived park “within walking distance” (yes/no)</w:t>
            </w:r>
          </w:p>
        </w:tc>
        <w:tc>
          <w:tcPr>
            <w:tcW w:w="1080" w:type="dxa"/>
            <w:tcBorders>
              <w:top w:val="nil"/>
              <w:left w:val="single" w:sz="6" w:space="0" w:color="auto"/>
              <w:bottom w:val="single" w:sz="6" w:space="0" w:color="auto"/>
              <w:right w:val="single" w:sz="6" w:space="0" w:color="auto"/>
            </w:tcBorders>
          </w:tcPr>
          <w:p w14:paraId="560548C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080" w:type="dxa"/>
            <w:tcBorders>
              <w:top w:val="nil"/>
              <w:left w:val="single" w:sz="6" w:space="0" w:color="auto"/>
              <w:bottom w:val="single" w:sz="6" w:space="0" w:color="auto"/>
              <w:right w:val="single" w:sz="6" w:space="0" w:color="auto"/>
            </w:tcBorders>
          </w:tcPr>
          <w:p w14:paraId="23C6EBE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Geocoded respondent address to nearest park (county park GIS)</w:t>
            </w:r>
          </w:p>
        </w:tc>
        <w:tc>
          <w:tcPr>
            <w:tcW w:w="1530" w:type="dxa"/>
            <w:tcBorders>
              <w:top w:val="nil"/>
              <w:left w:val="single" w:sz="6" w:space="0" w:color="auto"/>
              <w:bottom w:val="single" w:sz="6" w:space="0" w:color="auto"/>
              <w:right w:val="single" w:sz="6" w:space="0" w:color="auto"/>
            </w:tcBorders>
          </w:tcPr>
          <w:p w14:paraId="21554B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straight-line distance</w:t>
            </w:r>
          </w:p>
          <w:p w14:paraId="602FB9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1E4C56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 distance (binary)</w:t>
            </w:r>
          </w:p>
        </w:tc>
        <w:tc>
          <w:tcPr>
            <w:tcW w:w="1054" w:type="dxa"/>
            <w:tcBorders>
              <w:top w:val="nil"/>
              <w:left w:val="single" w:sz="6" w:space="0" w:color="auto"/>
              <w:bottom w:val="single" w:sz="6" w:space="0" w:color="auto"/>
              <w:right w:val="single" w:sz="6" w:space="0" w:color="auto"/>
            </w:tcBorders>
          </w:tcPr>
          <w:p w14:paraId="6075884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102" w:type="dxa"/>
            <w:tcBorders>
              <w:top w:val="nil"/>
              <w:left w:val="single" w:sz="6" w:space="0" w:color="auto"/>
              <w:bottom w:val="single" w:sz="6" w:space="0" w:color="auto"/>
              <w:right w:val="single" w:sz="6" w:space="0" w:color="auto"/>
            </w:tcBorders>
          </w:tcPr>
          <w:p w14:paraId="17FA352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address</w:t>
            </w:r>
          </w:p>
        </w:tc>
        <w:tc>
          <w:tcPr>
            <w:tcW w:w="1354" w:type="dxa"/>
            <w:tcBorders>
              <w:top w:val="nil"/>
              <w:left w:val="single" w:sz="6" w:space="0" w:color="auto"/>
              <w:bottom w:val="single" w:sz="6" w:space="0" w:color="auto"/>
              <w:right w:val="single" w:sz="6" w:space="0" w:color="auto"/>
            </w:tcBorders>
          </w:tcPr>
          <w:p w14:paraId="74D520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Daily PA level</w:t>
            </w:r>
          </w:p>
          <w:p w14:paraId="2F4551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(sedentary / moderate / vigorous)</w:t>
            </w:r>
          </w:p>
        </w:tc>
        <w:tc>
          <w:tcPr>
            <w:tcW w:w="1350" w:type="dxa"/>
            <w:tcBorders>
              <w:top w:val="nil"/>
              <w:left w:val="single" w:sz="6" w:space="0" w:color="auto"/>
              <w:bottom w:val="single" w:sz="6" w:space="0" w:color="auto"/>
              <w:right w:val="single" w:sz="6" w:space="0" w:color="auto"/>
            </w:tcBorders>
          </w:tcPr>
          <w:p w14:paraId="1143AF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0" w:type="dxa"/>
            <w:tcBorders>
              <w:top w:val="nil"/>
              <w:left w:val="single" w:sz="6" w:space="0" w:color="auto"/>
              <w:bottom w:val="single" w:sz="6" w:space="0" w:color="auto"/>
              <w:right w:val="single" w:sz="6" w:space="0" w:color="auto"/>
            </w:tcBorders>
          </w:tcPr>
          <w:p w14:paraId="6C9F503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Path analysis via OLS regressions</w:t>
            </w:r>
          </w:p>
        </w:tc>
        <w:tc>
          <w:tcPr>
            <w:tcW w:w="1350" w:type="dxa"/>
            <w:tcBorders>
              <w:top w:val="nil"/>
              <w:left w:val="single" w:sz="6" w:space="0" w:color="auto"/>
              <w:bottom w:val="single" w:sz="6" w:space="0" w:color="auto"/>
              <w:right w:val="single" w:sz="6" w:space="0" w:color="auto"/>
            </w:tcBorders>
          </w:tcPr>
          <w:p w14:paraId="36D4A37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income</w:t>
            </w:r>
          </w:p>
          <w:p w14:paraId="1691196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social support (network size, satisfaction)</w:t>
            </w:r>
          </w:p>
          <w:p w14:paraId="57893FB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visitation frequency &amp; duration included as mediators</w:t>
            </w:r>
          </w:p>
        </w:tc>
        <w:tc>
          <w:tcPr>
            <w:tcW w:w="990" w:type="dxa"/>
            <w:tcBorders>
              <w:top w:val="nil"/>
              <w:left w:val="single" w:sz="6" w:space="0" w:color="auto"/>
              <w:bottom w:val="single" w:sz="6" w:space="0" w:color="auto"/>
              <w:right w:val="single" w:sz="6" w:space="0" w:color="auto"/>
            </w:tcBorders>
          </w:tcPr>
          <w:p w14:paraId="475E36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β</w:t>
            </w:r>
          </w:p>
        </w:tc>
        <w:tc>
          <w:tcPr>
            <w:tcW w:w="1260" w:type="dxa"/>
            <w:tcBorders>
              <w:top w:val="nil"/>
              <w:left w:val="single" w:sz="6" w:space="0" w:color="auto"/>
              <w:bottom w:val="single" w:sz="6" w:space="0" w:color="auto"/>
              <w:right w:val="single" w:sz="6" w:space="0" w:color="auto"/>
            </w:tcBorders>
          </w:tcPr>
          <w:p w14:paraId="045DE9B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Distance → PA: </w:t>
            </w:r>
          </w:p>
          <w:p w14:paraId="76593DE3" w14:textId="02B0A031"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−0.042 (ns)</w:t>
            </w:r>
          </w:p>
          <w:p w14:paraId="58A8199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walking-distance → PA:</w:t>
            </w:r>
          </w:p>
          <w:p w14:paraId="1378AC50" w14:textId="4CFE183F" w:rsidR="0037619D" w:rsidRPr="000F3EBD" w:rsidRDefault="0037619D"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β = 0.025 (ns)</w:t>
            </w:r>
          </w:p>
          <w:p w14:paraId="17772B7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 visitation frequency → PA: </w:t>
            </w:r>
          </w:p>
          <w:p w14:paraId="51CC3D9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0.136 (significant)</w:t>
            </w:r>
          </w:p>
        </w:tc>
        <w:tc>
          <w:tcPr>
            <w:tcW w:w="900" w:type="dxa"/>
            <w:tcBorders>
              <w:top w:val="nil"/>
              <w:left w:val="single" w:sz="6" w:space="0" w:color="auto"/>
              <w:bottom w:val="single" w:sz="6" w:space="0" w:color="auto"/>
              <w:right w:val="single" w:sz="6" w:space="0" w:color="auto"/>
            </w:tcBorders>
          </w:tcPr>
          <w:p w14:paraId="23649CC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810" w:type="dxa"/>
            <w:tcBorders>
              <w:top w:val="nil"/>
              <w:left w:val="single" w:sz="6" w:space="0" w:color="auto"/>
              <w:bottom w:val="single" w:sz="6" w:space="0" w:color="auto"/>
              <w:right w:val="single" w:sz="6" w:space="0" w:color="auto"/>
            </w:tcBorders>
          </w:tcPr>
          <w:p w14:paraId="65DE877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p=0.354</w:t>
            </w:r>
          </w:p>
          <w:p w14:paraId="24FF6A3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walking-distance p=0.581</w:t>
            </w:r>
          </w:p>
          <w:p w14:paraId="7599E01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Frequency p=0.003</w:t>
            </w:r>
          </w:p>
        </w:tc>
        <w:tc>
          <w:tcPr>
            <w:tcW w:w="1530" w:type="dxa"/>
            <w:tcBorders>
              <w:top w:val="nil"/>
              <w:left w:val="single" w:sz="6" w:space="0" w:color="auto"/>
              <w:bottom w:val="single" w:sz="6" w:space="0" w:color="auto"/>
              <w:right w:val="single" w:sz="6" w:space="0" w:color="auto"/>
            </w:tcBorders>
          </w:tcPr>
          <w:p w14:paraId="2B35FF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for proximity → PA</w:t>
            </w:r>
          </w:p>
          <w:p w14:paraId="5199F5E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park visitation frequency → PA</w:t>
            </w:r>
          </w:p>
        </w:tc>
      </w:tr>
      <w:tr w:rsidR="0037619D" w:rsidRPr="000F3EBD" w14:paraId="65ED1272" w14:textId="77777777" w:rsidTr="003B2FCF">
        <w:trPr>
          <w:trHeight w:val="2226"/>
        </w:trPr>
        <w:tc>
          <w:tcPr>
            <w:tcW w:w="1072" w:type="dxa"/>
            <w:tcBorders>
              <w:top w:val="nil"/>
              <w:left w:val="single" w:sz="6" w:space="0" w:color="auto"/>
              <w:bottom w:val="single" w:sz="6" w:space="0" w:color="auto"/>
              <w:right w:val="single" w:sz="6" w:space="0" w:color="auto"/>
            </w:tcBorders>
          </w:tcPr>
          <w:p w14:paraId="69703F4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Magalhães et al.,</w:t>
            </w:r>
          </w:p>
          <w:p w14:paraId="1238FF8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896" w:type="dxa"/>
            <w:tcBorders>
              <w:top w:val="nil"/>
              <w:left w:val="single" w:sz="6" w:space="0" w:color="auto"/>
              <w:bottom w:val="single" w:sz="6" w:space="0" w:color="auto"/>
              <w:right w:val="single" w:sz="6" w:space="0" w:color="auto"/>
            </w:tcBorders>
          </w:tcPr>
          <w:p w14:paraId="2FB0C63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Portugal</w:t>
            </w:r>
          </w:p>
        </w:tc>
        <w:tc>
          <w:tcPr>
            <w:tcW w:w="899" w:type="dxa"/>
            <w:tcBorders>
              <w:top w:val="nil"/>
              <w:left w:val="single" w:sz="6" w:space="0" w:color="auto"/>
              <w:bottom w:val="single" w:sz="6" w:space="0" w:color="auto"/>
              <w:right w:val="single" w:sz="6" w:space="0" w:color="auto"/>
            </w:tcBorders>
          </w:tcPr>
          <w:p w14:paraId="2BB158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 cohort</w:t>
            </w:r>
          </w:p>
        </w:tc>
        <w:tc>
          <w:tcPr>
            <w:tcW w:w="771" w:type="dxa"/>
            <w:tcBorders>
              <w:top w:val="nil"/>
              <w:left w:val="single" w:sz="6" w:space="0" w:color="auto"/>
              <w:bottom w:val="single" w:sz="6" w:space="0" w:color="auto"/>
              <w:right w:val="single" w:sz="6" w:space="0" w:color="auto"/>
            </w:tcBorders>
          </w:tcPr>
          <w:p w14:paraId="4D902CD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969</w:t>
            </w:r>
          </w:p>
        </w:tc>
        <w:tc>
          <w:tcPr>
            <w:tcW w:w="1028" w:type="dxa"/>
            <w:tcBorders>
              <w:top w:val="nil"/>
              <w:left w:val="single" w:sz="6" w:space="0" w:color="auto"/>
              <w:bottom w:val="single" w:sz="6" w:space="0" w:color="auto"/>
              <w:right w:val="single" w:sz="6" w:space="0" w:color="auto"/>
            </w:tcBorders>
          </w:tcPr>
          <w:p w14:paraId="2F14BE9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School-based adolescent cohort</w:t>
            </w:r>
          </w:p>
          <w:p w14:paraId="49E0B7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13–17</w:t>
            </w:r>
          </w:p>
        </w:tc>
        <w:tc>
          <w:tcPr>
            <w:tcW w:w="1446" w:type="dxa"/>
            <w:tcBorders>
              <w:top w:val="nil"/>
              <w:left w:val="single" w:sz="6" w:space="0" w:color="auto"/>
              <w:bottom w:val="single" w:sz="6" w:space="0" w:color="auto"/>
              <w:right w:val="single" w:sz="6" w:space="0" w:color="auto"/>
            </w:tcBorders>
          </w:tcPr>
          <w:p w14:paraId="4CEE1FA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distance from residence to nearest urban green space (UGS) and open sports space (OSS)</w:t>
            </w:r>
          </w:p>
        </w:tc>
        <w:tc>
          <w:tcPr>
            <w:tcW w:w="1080" w:type="dxa"/>
            <w:tcBorders>
              <w:top w:val="nil"/>
              <w:left w:val="single" w:sz="6" w:space="0" w:color="auto"/>
              <w:bottom w:val="single" w:sz="6" w:space="0" w:color="auto"/>
              <w:right w:val="single" w:sz="6" w:space="0" w:color="auto"/>
            </w:tcBorders>
          </w:tcPr>
          <w:p w14:paraId="6641CA9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UGS ≥2,000 m²,</w:t>
            </w:r>
          </w:p>
          <w:p w14:paraId="0506238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public/free access,</w:t>
            </w:r>
          </w:p>
          <w:p w14:paraId="578CD01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with PA-suitable facilities </w:t>
            </w:r>
          </w:p>
          <w:p w14:paraId="5019214F" w14:textId="4AF4F551"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6" w:space="0" w:color="auto"/>
              <w:right w:val="single" w:sz="6" w:space="0" w:color="auto"/>
            </w:tcBorders>
          </w:tcPr>
          <w:p w14:paraId="6F1FAAB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Porto city council maps</w:t>
            </w:r>
          </w:p>
        </w:tc>
        <w:tc>
          <w:tcPr>
            <w:tcW w:w="1530" w:type="dxa"/>
            <w:tcBorders>
              <w:top w:val="nil"/>
              <w:left w:val="single" w:sz="6" w:space="0" w:color="auto"/>
              <w:bottom w:val="single" w:sz="6" w:space="0" w:color="auto"/>
              <w:right w:val="single" w:sz="6" w:space="0" w:color="auto"/>
            </w:tcBorders>
          </w:tcPr>
          <w:p w14:paraId="2CE41D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shortest path</w:t>
            </w:r>
          </w:p>
        </w:tc>
        <w:tc>
          <w:tcPr>
            <w:tcW w:w="1054" w:type="dxa"/>
            <w:tcBorders>
              <w:top w:val="nil"/>
              <w:left w:val="single" w:sz="6" w:space="0" w:color="auto"/>
              <w:bottom w:val="single" w:sz="6" w:space="0" w:color="auto"/>
              <w:right w:val="single" w:sz="6" w:space="0" w:color="auto"/>
            </w:tcBorders>
          </w:tcPr>
          <w:p w14:paraId="4654F86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≤400 m;</w:t>
            </w:r>
          </w:p>
          <w:p w14:paraId="44C9879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401–800 m;</w:t>
            </w:r>
          </w:p>
          <w:p w14:paraId="02638A5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&gt;800 m</w:t>
            </w:r>
          </w:p>
        </w:tc>
        <w:tc>
          <w:tcPr>
            <w:tcW w:w="1102" w:type="dxa"/>
            <w:tcBorders>
              <w:top w:val="nil"/>
              <w:left w:val="single" w:sz="6" w:space="0" w:color="auto"/>
              <w:bottom w:val="single" w:sz="6" w:space="0" w:color="auto"/>
              <w:right w:val="single" w:sz="6" w:space="0" w:color="auto"/>
            </w:tcBorders>
          </w:tcPr>
          <w:p w14:paraId="3FBF075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address</w:t>
            </w:r>
          </w:p>
        </w:tc>
        <w:tc>
          <w:tcPr>
            <w:tcW w:w="1354" w:type="dxa"/>
            <w:tcBorders>
              <w:top w:val="nil"/>
              <w:left w:val="single" w:sz="6" w:space="0" w:color="auto"/>
              <w:bottom w:val="single" w:sz="6" w:space="0" w:color="auto"/>
              <w:right w:val="single" w:sz="6" w:space="0" w:color="auto"/>
            </w:tcBorders>
          </w:tcPr>
          <w:p w14:paraId="1E8894D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PA level</w:t>
            </w:r>
          </w:p>
        </w:tc>
        <w:tc>
          <w:tcPr>
            <w:tcW w:w="1350" w:type="dxa"/>
            <w:tcBorders>
              <w:top w:val="nil"/>
              <w:left w:val="single" w:sz="6" w:space="0" w:color="auto"/>
              <w:bottom w:val="single" w:sz="6" w:space="0" w:color="auto"/>
              <w:right w:val="single" w:sz="6" w:space="0" w:color="auto"/>
            </w:tcBorders>
          </w:tcPr>
          <w:p w14:paraId="78C36BA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0" w:type="dxa"/>
            <w:tcBorders>
              <w:top w:val="nil"/>
              <w:left w:val="single" w:sz="6" w:space="0" w:color="auto"/>
              <w:bottom w:val="single" w:sz="6" w:space="0" w:color="auto"/>
              <w:right w:val="single" w:sz="6" w:space="0" w:color="auto"/>
            </w:tcBorders>
          </w:tcPr>
          <w:p w14:paraId="7C05B43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multinomial logistic regression</w:t>
            </w:r>
          </w:p>
        </w:tc>
        <w:tc>
          <w:tcPr>
            <w:tcW w:w="1350" w:type="dxa"/>
            <w:tcBorders>
              <w:top w:val="nil"/>
              <w:left w:val="single" w:sz="6" w:space="0" w:color="auto"/>
              <w:bottom w:val="single" w:sz="6" w:space="0" w:color="auto"/>
              <w:right w:val="single" w:sz="6" w:space="0" w:color="auto"/>
            </w:tcBorders>
          </w:tcPr>
          <w:p w14:paraId="01DEA36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Parental education,</w:t>
            </w:r>
          </w:p>
          <w:p w14:paraId="55306E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body image (final model)</w:t>
            </w:r>
          </w:p>
        </w:tc>
        <w:tc>
          <w:tcPr>
            <w:tcW w:w="990" w:type="dxa"/>
            <w:tcBorders>
              <w:top w:val="nil"/>
              <w:left w:val="single" w:sz="6" w:space="0" w:color="auto"/>
              <w:bottom w:val="single" w:sz="6" w:space="0" w:color="auto"/>
              <w:right w:val="single" w:sz="6" w:space="0" w:color="auto"/>
            </w:tcBorders>
          </w:tcPr>
          <w:p w14:paraId="3E0D1A6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2160" w:type="dxa"/>
            <w:gridSpan w:val="2"/>
            <w:tcBorders>
              <w:top w:val="nil"/>
              <w:left w:val="single" w:sz="6" w:space="0" w:color="auto"/>
              <w:bottom w:val="single" w:sz="6" w:space="0" w:color="auto"/>
              <w:right w:val="single" w:sz="6" w:space="0" w:color="auto"/>
            </w:tcBorders>
          </w:tcPr>
          <w:p w14:paraId="17BA6E0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UGS ≤400 m vs &gt;800 m predicting stable high (vs stable light): </w:t>
            </w:r>
          </w:p>
          <w:p w14:paraId="661B09F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Girls OR 1.09, 95% CI 0.57–2.11; </w:t>
            </w:r>
          </w:p>
          <w:p w14:paraId="365AD86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62D72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Boys OR 1.08, 95% CI 0.51–2.29 (ns).</w:t>
            </w:r>
          </w:p>
        </w:tc>
        <w:tc>
          <w:tcPr>
            <w:tcW w:w="810" w:type="dxa"/>
            <w:tcBorders>
              <w:top w:val="nil"/>
              <w:left w:val="single" w:sz="6" w:space="0" w:color="auto"/>
              <w:bottom w:val="single" w:sz="6" w:space="0" w:color="auto"/>
              <w:right w:val="single" w:sz="6" w:space="0" w:color="auto"/>
            </w:tcBorders>
          </w:tcPr>
          <w:p w14:paraId="289B602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NS</w:t>
            </w:r>
          </w:p>
        </w:tc>
        <w:tc>
          <w:tcPr>
            <w:tcW w:w="1530" w:type="dxa"/>
            <w:tcBorders>
              <w:top w:val="nil"/>
              <w:left w:val="single" w:sz="6" w:space="0" w:color="auto"/>
              <w:bottom w:val="single" w:sz="6" w:space="0" w:color="auto"/>
              <w:right w:val="single" w:sz="6" w:space="0" w:color="auto"/>
            </w:tcBorders>
          </w:tcPr>
          <w:p w14:paraId="6BC454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w:t>
            </w:r>
          </w:p>
        </w:tc>
      </w:tr>
      <w:tr w:rsidR="0037619D" w:rsidRPr="000F3EBD" w14:paraId="373B8BE0" w14:textId="77777777" w:rsidTr="00693EBB">
        <w:trPr>
          <w:trHeight w:val="2438"/>
        </w:trPr>
        <w:tc>
          <w:tcPr>
            <w:tcW w:w="1072" w:type="dxa"/>
            <w:tcBorders>
              <w:top w:val="nil"/>
              <w:left w:val="single" w:sz="6" w:space="0" w:color="auto"/>
              <w:bottom w:val="single" w:sz="6" w:space="0" w:color="auto"/>
              <w:right w:val="single" w:sz="6" w:space="0" w:color="auto"/>
            </w:tcBorders>
          </w:tcPr>
          <w:p w14:paraId="52E97C4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Mass et al.,</w:t>
            </w:r>
          </w:p>
          <w:p w14:paraId="62507F1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2008</w:t>
            </w:r>
          </w:p>
        </w:tc>
        <w:tc>
          <w:tcPr>
            <w:tcW w:w="896" w:type="dxa"/>
            <w:tcBorders>
              <w:top w:val="nil"/>
              <w:left w:val="single" w:sz="6" w:space="0" w:color="auto"/>
              <w:bottom w:val="single" w:sz="6" w:space="0" w:color="auto"/>
              <w:right w:val="single" w:sz="6" w:space="0" w:color="auto"/>
            </w:tcBorders>
          </w:tcPr>
          <w:p w14:paraId="4529498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Netherlands</w:t>
            </w:r>
          </w:p>
        </w:tc>
        <w:tc>
          <w:tcPr>
            <w:tcW w:w="899" w:type="dxa"/>
            <w:tcBorders>
              <w:top w:val="nil"/>
              <w:left w:val="single" w:sz="6" w:space="0" w:color="auto"/>
              <w:bottom w:val="single" w:sz="6" w:space="0" w:color="auto"/>
              <w:right w:val="single" w:sz="6" w:space="0" w:color="auto"/>
            </w:tcBorders>
          </w:tcPr>
          <w:p w14:paraId="5BF6E9F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 cohort</w:t>
            </w:r>
          </w:p>
        </w:tc>
        <w:tc>
          <w:tcPr>
            <w:tcW w:w="771" w:type="dxa"/>
            <w:tcBorders>
              <w:top w:val="nil"/>
              <w:left w:val="single" w:sz="6" w:space="0" w:color="auto"/>
              <w:bottom w:val="single" w:sz="6" w:space="0" w:color="auto"/>
              <w:right w:val="single" w:sz="6" w:space="0" w:color="auto"/>
            </w:tcBorders>
          </w:tcPr>
          <w:p w14:paraId="2A7B1A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4,899</w:t>
            </w:r>
          </w:p>
        </w:tc>
        <w:tc>
          <w:tcPr>
            <w:tcW w:w="1028" w:type="dxa"/>
            <w:tcBorders>
              <w:top w:val="nil"/>
              <w:left w:val="single" w:sz="6" w:space="0" w:color="auto"/>
              <w:bottom w:val="single" w:sz="6" w:space="0" w:color="auto"/>
              <w:right w:val="single" w:sz="6" w:space="0" w:color="auto"/>
            </w:tcBorders>
          </w:tcPr>
          <w:p w14:paraId="4FB566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Dutch residents registered with GP practices.</w:t>
            </w:r>
          </w:p>
          <w:p w14:paraId="7D27B5C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 years.</w:t>
            </w:r>
          </w:p>
        </w:tc>
        <w:tc>
          <w:tcPr>
            <w:tcW w:w="1446" w:type="dxa"/>
            <w:tcBorders>
              <w:top w:val="nil"/>
              <w:left w:val="single" w:sz="6" w:space="0" w:color="auto"/>
              <w:bottom w:val="single" w:sz="6" w:space="0" w:color="auto"/>
              <w:right w:val="single" w:sz="6" w:space="0" w:color="auto"/>
            </w:tcBorders>
          </w:tcPr>
          <w:p w14:paraId="777533A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total green within 1 km and 3 km of 6-digit postal-code centroid.</w:t>
            </w:r>
          </w:p>
        </w:tc>
        <w:tc>
          <w:tcPr>
            <w:tcW w:w="1080" w:type="dxa"/>
            <w:tcBorders>
              <w:top w:val="nil"/>
              <w:left w:val="single" w:sz="6" w:space="0" w:color="auto"/>
              <w:bottom w:val="single" w:sz="6" w:space="0" w:color="auto"/>
              <w:right w:val="single" w:sz="6" w:space="0" w:color="auto"/>
            </w:tcBorders>
          </w:tcPr>
          <w:p w14:paraId="664BC63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LGN4 25×25 m dominant land-use grid; includes urban, agricultural, and natural green; gardens/small strips excluded unless dominant.</w:t>
            </w:r>
          </w:p>
        </w:tc>
        <w:tc>
          <w:tcPr>
            <w:tcW w:w="1080" w:type="dxa"/>
            <w:tcBorders>
              <w:top w:val="nil"/>
              <w:left w:val="single" w:sz="6" w:space="0" w:color="auto"/>
              <w:bottom w:val="single" w:sz="6" w:space="0" w:color="auto"/>
              <w:right w:val="single" w:sz="6" w:space="0" w:color="auto"/>
            </w:tcBorders>
          </w:tcPr>
          <w:p w14:paraId="0400148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LGN4 (National Land Cover Classification).</w:t>
            </w:r>
          </w:p>
        </w:tc>
        <w:tc>
          <w:tcPr>
            <w:tcW w:w="1530" w:type="dxa"/>
            <w:tcBorders>
              <w:top w:val="nil"/>
              <w:left w:val="single" w:sz="6" w:space="0" w:color="auto"/>
              <w:bottom w:val="single" w:sz="6" w:space="0" w:color="auto"/>
              <w:right w:val="single" w:sz="6" w:space="0" w:color="auto"/>
            </w:tcBorders>
          </w:tcPr>
          <w:p w14:paraId="121F819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radial buffers (1 km, 3 km) around postal-code coordinates.</w:t>
            </w:r>
          </w:p>
        </w:tc>
        <w:tc>
          <w:tcPr>
            <w:tcW w:w="1054" w:type="dxa"/>
            <w:tcBorders>
              <w:top w:val="nil"/>
              <w:left w:val="single" w:sz="6" w:space="0" w:color="auto"/>
              <w:bottom w:val="single" w:sz="6" w:space="0" w:color="auto"/>
              <w:right w:val="single" w:sz="6" w:space="0" w:color="auto"/>
            </w:tcBorders>
          </w:tcPr>
          <w:p w14:paraId="5DBC3B5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102" w:type="dxa"/>
            <w:tcBorders>
              <w:top w:val="nil"/>
              <w:left w:val="single" w:sz="6" w:space="0" w:color="auto"/>
              <w:bottom w:val="single" w:sz="6" w:space="0" w:color="auto"/>
              <w:right w:val="single" w:sz="6" w:space="0" w:color="auto"/>
            </w:tcBorders>
          </w:tcPr>
          <w:p w14:paraId="193CD0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address</w:t>
            </w:r>
          </w:p>
        </w:tc>
        <w:tc>
          <w:tcPr>
            <w:tcW w:w="1354" w:type="dxa"/>
            <w:tcBorders>
              <w:top w:val="nil"/>
              <w:left w:val="single" w:sz="6" w:space="0" w:color="auto"/>
              <w:bottom w:val="single" w:sz="6" w:space="0" w:color="auto"/>
              <w:right w:val="single" w:sz="6" w:space="0" w:color="auto"/>
            </w:tcBorders>
          </w:tcPr>
          <w:p w14:paraId="4D15717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Meeting Dutch public-health PA recommendation;</w:t>
            </w:r>
          </w:p>
          <w:p w14:paraId="4AAECA1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plus domain-specific (leisure walking/cycling, commuting walking/cycling, sports, gardening)</w:t>
            </w:r>
          </w:p>
        </w:tc>
        <w:tc>
          <w:tcPr>
            <w:tcW w:w="1350" w:type="dxa"/>
            <w:tcBorders>
              <w:top w:val="nil"/>
              <w:left w:val="single" w:sz="6" w:space="0" w:color="auto"/>
              <w:bottom w:val="single" w:sz="6" w:space="0" w:color="auto"/>
              <w:right w:val="single" w:sz="6" w:space="0" w:color="auto"/>
            </w:tcBorders>
          </w:tcPr>
          <w:p w14:paraId="2E8B580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SQUASH self-report questionnaire.</w:t>
            </w:r>
          </w:p>
        </w:tc>
        <w:tc>
          <w:tcPr>
            <w:tcW w:w="1080" w:type="dxa"/>
            <w:tcBorders>
              <w:top w:val="nil"/>
              <w:left w:val="single" w:sz="6" w:space="0" w:color="auto"/>
              <w:bottom w:val="single" w:sz="6" w:space="0" w:color="auto"/>
              <w:right w:val="single" w:sz="6" w:space="0" w:color="auto"/>
            </w:tcBorders>
          </w:tcPr>
          <w:p w14:paraId="32BCDA9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Multivariate multilevel models</w:t>
            </w:r>
          </w:p>
        </w:tc>
        <w:tc>
          <w:tcPr>
            <w:tcW w:w="1350" w:type="dxa"/>
            <w:tcBorders>
              <w:top w:val="nil"/>
              <w:left w:val="single" w:sz="6" w:space="0" w:color="auto"/>
              <w:bottom w:val="single" w:sz="6" w:space="0" w:color="auto"/>
              <w:right w:val="single" w:sz="6" w:space="0" w:color="auto"/>
            </w:tcBorders>
          </w:tcPr>
          <w:p w14:paraId="12198DD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7964696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1C2C292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653462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25C5596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urbanicity;</w:t>
            </w:r>
          </w:p>
          <w:p w14:paraId="1F0281D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garden ownership used in one analysis</w:t>
            </w:r>
          </w:p>
        </w:tc>
        <w:tc>
          <w:tcPr>
            <w:tcW w:w="990" w:type="dxa"/>
            <w:tcBorders>
              <w:top w:val="nil"/>
              <w:left w:val="single" w:sz="6" w:space="0" w:color="auto"/>
              <w:bottom w:val="single" w:sz="6" w:space="0" w:color="auto"/>
              <w:right w:val="single" w:sz="6" w:space="0" w:color="auto"/>
            </w:tcBorders>
          </w:tcPr>
          <w:p w14:paraId="3E3B869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Regression coefficient</w:t>
            </w:r>
          </w:p>
        </w:tc>
        <w:tc>
          <w:tcPr>
            <w:tcW w:w="2970" w:type="dxa"/>
            <w:gridSpan w:val="3"/>
            <w:tcBorders>
              <w:top w:val="nil"/>
              <w:left w:val="single" w:sz="6" w:space="0" w:color="auto"/>
              <w:bottom w:val="single" w:sz="6" w:space="0" w:color="auto"/>
              <w:right w:val="single" w:sz="6" w:space="0" w:color="auto"/>
            </w:tcBorders>
          </w:tcPr>
          <w:p w14:paraId="0CA65FB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Meeting PA recommendation (yes/no), % green (1 km): −0.0004 (SE 0.002).</w:t>
            </w:r>
          </w:p>
        </w:tc>
        <w:tc>
          <w:tcPr>
            <w:tcW w:w="1530" w:type="dxa"/>
            <w:tcBorders>
              <w:top w:val="nil"/>
              <w:left w:val="single" w:sz="6" w:space="0" w:color="auto"/>
              <w:bottom w:val="single" w:sz="6" w:space="0" w:color="auto"/>
              <w:right w:val="single" w:sz="6" w:space="0" w:color="auto"/>
            </w:tcBorders>
          </w:tcPr>
          <w:p w14:paraId="65B3A13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for guideline attainment.</w:t>
            </w:r>
          </w:p>
        </w:tc>
      </w:tr>
      <w:tr w:rsidR="0037619D" w:rsidRPr="000F3EBD" w14:paraId="7B1569E2" w14:textId="77777777" w:rsidTr="00693EBB">
        <w:trPr>
          <w:trHeight w:val="2438"/>
        </w:trPr>
        <w:tc>
          <w:tcPr>
            <w:tcW w:w="1072" w:type="dxa"/>
            <w:tcBorders>
              <w:top w:val="nil"/>
              <w:left w:val="single" w:sz="6" w:space="0" w:color="auto"/>
              <w:bottom w:val="single" w:sz="6" w:space="0" w:color="auto"/>
              <w:right w:val="single" w:sz="6" w:space="0" w:color="auto"/>
            </w:tcBorders>
          </w:tcPr>
          <w:p w14:paraId="0271D74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Feng  et al.,</w:t>
            </w:r>
          </w:p>
          <w:p w14:paraId="645BD25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6" w:type="dxa"/>
            <w:tcBorders>
              <w:top w:val="nil"/>
              <w:left w:val="single" w:sz="6" w:space="0" w:color="auto"/>
              <w:bottom w:val="single" w:sz="6" w:space="0" w:color="auto"/>
              <w:right w:val="single" w:sz="6" w:space="0" w:color="auto"/>
            </w:tcBorders>
          </w:tcPr>
          <w:p w14:paraId="31A266B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899" w:type="dxa"/>
            <w:tcBorders>
              <w:top w:val="nil"/>
              <w:left w:val="single" w:sz="6" w:space="0" w:color="auto"/>
              <w:bottom w:val="single" w:sz="6" w:space="0" w:color="auto"/>
              <w:right w:val="single" w:sz="6" w:space="0" w:color="auto"/>
            </w:tcBorders>
          </w:tcPr>
          <w:p w14:paraId="3E4B9A6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756E468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267,153</w:t>
            </w:r>
          </w:p>
        </w:tc>
        <w:tc>
          <w:tcPr>
            <w:tcW w:w="1028" w:type="dxa"/>
            <w:tcBorders>
              <w:top w:val="nil"/>
              <w:left w:val="single" w:sz="6" w:space="0" w:color="auto"/>
              <w:bottom w:val="single" w:sz="6" w:space="0" w:color="auto"/>
              <w:right w:val="single" w:sz="6" w:space="0" w:color="auto"/>
            </w:tcBorders>
          </w:tcPr>
          <w:p w14:paraId="22950B0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in houses/apartments</w:t>
            </w:r>
          </w:p>
          <w:p w14:paraId="4AD4DEC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 years</w:t>
            </w:r>
          </w:p>
        </w:tc>
        <w:tc>
          <w:tcPr>
            <w:tcW w:w="1446" w:type="dxa"/>
            <w:tcBorders>
              <w:top w:val="nil"/>
              <w:left w:val="single" w:sz="6" w:space="0" w:color="auto"/>
              <w:bottom w:val="single" w:sz="6" w:space="0" w:color="auto"/>
              <w:right w:val="single" w:sz="6" w:space="0" w:color="auto"/>
            </w:tcBorders>
          </w:tcPr>
          <w:p w14:paraId="6373BDA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total green;</w:t>
            </w:r>
          </w:p>
          <w:p w14:paraId="6A3F9A7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2514B4A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tree canopy;</w:t>
            </w:r>
          </w:p>
          <w:p w14:paraId="2663F9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645D48F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open grass within 1.6 km</w:t>
            </w:r>
          </w:p>
        </w:tc>
        <w:tc>
          <w:tcPr>
            <w:tcW w:w="1080" w:type="dxa"/>
            <w:tcBorders>
              <w:top w:val="nil"/>
              <w:left w:val="single" w:sz="6" w:space="0" w:color="auto"/>
              <w:bottom w:val="single" w:sz="6" w:space="0" w:color="auto"/>
              <w:right w:val="single" w:sz="6" w:space="0" w:color="auto"/>
            </w:tcBorders>
          </w:tcPr>
          <w:p w14:paraId="69C5013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Tree canopy (evergreen/deciduous) and open grass (2 m land-use classes)</w:t>
            </w:r>
          </w:p>
        </w:tc>
        <w:tc>
          <w:tcPr>
            <w:tcW w:w="1080" w:type="dxa"/>
            <w:tcBorders>
              <w:top w:val="nil"/>
              <w:left w:val="single" w:sz="6" w:space="0" w:color="auto"/>
              <w:bottom w:val="single" w:sz="6" w:space="0" w:color="auto"/>
              <w:right w:val="single" w:sz="6" w:space="0" w:color="auto"/>
            </w:tcBorders>
          </w:tcPr>
          <w:p w14:paraId="45CCCB3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Pitney Bowes 2 m land-use dataset</w:t>
            </w:r>
          </w:p>
        </w:tc>
        <w:tc>
          <w:tcPr>
            <w:tcW w:w="1530" w:type="dxa"/>
            <w:tcBorders>
              <w:top w:val="nil"/>
              <w:left w:val="single" w:sz="6" w:space="0" w:color="auto"/>
              <w:bottom w:val="single" w:sz="6" w:space="0" w:color="auto"/>
              <w:right w:val="single" w:sz="6" w:space="0" w:color="auto"/>
            </w:tcBorders>
          </w:tcPr>
          <w:p w14:paraId="5C9CB8D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 km road-network buffers around residential Mesh Block centroid</w:t>
            </w:r>
          </w:p>
        </w:tc>
        <w:tc>
          <w:tcPr>
            <w:tcW w:w="1054" w:type="dxa"/>
            <w:tcBorders>
              <w:top w:val="nil"/>
              <w:left w:val="single" w:sz="6" w:space="0" w:color="auto"/>
              <w:bottom w:val="single" w:sz="6" w:space="0" w:color="auto"/>
              <w:right w:val="single" w:sz="6" w:space="0" w:color="auto"/>
            </w:tcBorders>
          </w:tcPr>
          <w:p w14:paraId="036C3BB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 10% increment of greenness</w:t>
            </w:r>
          </w:p>
        </w:tc>
        <w:tc>
          <w:tcPr>
            <w:tcW w:w="1102" w:type="dxa"/>
            <w:tcBorders>
              <w:top w:val="nil"/>
              <w:left w:val="single" w:sz="6" w:space="0" w:color="auto"/>
              <w:bottom w:val="single" w:sz="6" w:space="0" w:color="auto"/>
              <w:right w:val="single" w:sz="6" w:space="0" w:color="auto"/>
            </w:tcBorders>
          </w:tcPr>
          <w:p w14:paraId="6A3ACD7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address</w:t>
            </w:r>
          </w:p>
        </w:tc>
        <w:tc>
          <w:tcPr>
            <w:tcW w:w="1354" w:type="dxa"/>
            <w:tcBorders>
              <w:top w:val="nil"/>
              <w:left w:val="single" w:sz="6" w:space="0" w:color="auto"/>
              <w:bottom w:val="single" w:sz="6" w:space="0" w:color="auto"/>
              <w:right w:val="single" w:sz="6" w:space="0" w:color="auto"/>
            </w:tcBorders>
          </w:tcPr>
          <w:p w14:paraId="6CEA2C9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Time outdoors (≥2 h weekdays; ≥4 h weekends);</w:t>
            </w:r>
          </w:p>
          <w:p w14:paraId="6EBDAA8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7D4482E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MVPA minutes/week;</w:t>
            </w:r>
          </w:p>
          <w:p w14:paraId="485F44E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09E3B33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 % MVPA vigorous (&gt;30%)</w:t>
            </w:r>
          </w:p>
        </w:tc>
        <w:tc>
          <w:tcPr>
            <w:tcW w:w="1350" w:type="dxa"/>
            <w:tcBorders>
              <w:top w:val="nil"/>
              <w:left w:val="single" w:sz="6" w:space="0" w:color="auto"/>
              <w:bottom w:val="single" w:sz="6" w:space="0" w:color="auto"/>
              <w:right w:val="single" w:sz="6" w:space="0" w:color="auto"/>
            </w:tcBorders>
          </w:tcPr>
          <w:p w14:paraId="7F5F995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0" w:type="dxa"/>
            <w:tcBorders>
              <w:top w:val="nil"/>
              <w:left w:val="single" w:sz="6" w:space="0" w:color="auto"/>
              <w:bottom w:val="single" w:sz="6" w:space="0" w:color="auto"/>
              <w:right w:val="single" w:sz="6" w:space="0" w:color="auto"/>
            </w:tcBorders>
          </w:tcPr>
          <w:p w14:paraId="1189FC8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w:t>
            </w:r>
          </w:p>
        </w:tc>
        <w:tc>
          <w:tcPr>
            <w:tcW w:w="1350" w:type="dxa"/>
            <w:tcBorders>
              <w:top w:val="nil"/>
              <w:left w:val="single" w:sz="6" w:space="0" w:color="auto"/>
              <w:bottom w:val="single" w:sz="6" w:space="0" w:color="auto"/>
              <w:right w:val="single" w:sz="6" w:space="0" w:color="auto"/>
            </w:tcBorders>
          </w:tcPr>
          <w:p w14:paraId="75A91510"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729A01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1928E05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503355B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work status,</w:t>
            </w:r>
          </w:p>
          <w:p w14:paraId="5C6C9E8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4E0A98B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region of birth</w:t>
            </w:r>
          </w:p>
        </w:tc>
        <w:tc>
          <w:tcPr>
            <w:tcW w:w="990" w:type="dxa"/>
            <w:tcBorders>
              <w:top w:val="nil"/>
              <w:left w:val="single" w:sz="6" w:space="0" w:color="auto"/>
              <w:bottom w:val="single" w:sz="6" w:space="0" w:color="auto"/>
              <w:right w:val="single" w:sz="6" w:space="0" w:color="auto"/>
            </w:tcBorders>
          </w:tcPr>
          <w:p w14:paraId="07910E4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(binary) / IRR (minutes)</w:t>
            </w:r>
          </w:p>
        </w:tc>
        <w:tc>
          <w:tcPr>
            <w:tcW w:w="1260" w:type="dxa"/>
            <w:tcBorders>
              <w:top w:val="nil"/>
              <w:left w:val="single" w:sz="6" w:space="0" w:color="auto"/>
              <w:bottom w:val="single" w:sz="6" w:space="0" w:color="auto"/>
              <w:right w:val="single" w:sz="6" w:space="0" w:color="auto"/>
            </w:tcBorders>
          </w:tcPr>
          <w:p w14:paraId="62DE82C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Houses—per 10% total green:</w:t>
            </w:r>
          </w:p>
          <w:p w14:paraId="0D4CE2B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weekend outdoors OR 1.03; </w:t>
            </w:r>
          </w:p>
          <w:p w14:paraId="59A2641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MVPA IRR 1.01; </w:t>
            </w:r>
          </w:p>
          <w:p w14:paraId="45E5B4F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 vigorous OR 1.03</w:t>
            </w:r>
          </w:p>
        </w:tc>
        <w:tc>
          <w:tcPr>
            <w:tcW w:w="900" w:type="dxa"/>
            <w:tcBorders>
              <w:top w:val="nil"/>
              <w:left w:val="single" w:sz="6" w:space="0" w:color="auto"/>
              <w:bottom w:val="single" w:sz="6" w:space="0" w:color="auto"/>
              <w:right w:val="single" w:sz="6" w:space="0" w:color="auto"/>
            </w:tcBorders>
          </w:tcPr>
          <w:p w14:paraId="185D65C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1.01–1.05 (weekend OR)</w:t>
            </w:r>
          </w:p>
          <w:p w14:paraId="5216D75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5150001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1.00–1.03 (IRR)</w:t>
            </w:r>
          </w:p>
          <w:p w14:paraId="05206A3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1.01–1.06 (vigorous OR)</w:t>
            </w:r>
          </w:p>
        </w:tc>
        <w:tc>
          <w:tcPr>
            <w:tcW w:w="810" w:type="dxa"/>
            <w:tcBorders>
              <w:top w:val="nil"/>
              <w:left w:val="single" w:sz="6" w:space="0" w:color="auto"/>
              <w:bottom w:val="single" w:sz="6" w:space="0" w:color="auto"/>
              <w:right w:val="single" w:sz="6" w:space="0" w:color="auto"/>
            </w:tcBorders>
          </w:tcPr>
          <w:p w14:paraId="479897F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1530" w:type="dxa"/>
            <w:tcBorders>
              <w:top w:val="nil"/>
              <w:left w:val="single" w:sz="6" w:space="0" w:color="auto"/>
              <w:bottom w:val="single" w:sz="6" w:space="0" w:color="auto"/>
              <w:right w:val="single" w:sz="6" w:space="0" w:color="auto"/>
            </w:tcBorders>
          </w:tcPr>
          <w:p w14:paraId="440B284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houses (total green/tree canopy); null for apartments; open grass negative for MVPA/vigorous</w:t>
            </w:r>
          </w:p>
        </w:tc>
      </w:tr>
      <w:tr w:rsidR="0037619D" w:rsidRPr="000F3EBD" w14:paraId="2E5D08A5" w14:textId="77777777" w:rsidTr="00693EBB">
        <w:trPr>
          <w:trHeight w:val="4572"/>
        </w:trPr>
        <w:tc>
          <w:tcPr>
            <w:tcW w:w="1072" w:type="dxa"/>
            <w:tcBorders>
              <w:top w:val="nil"/>
              <w:left w:val="single" w:sz="6" w:space="0" w:color="auto"/>
              <w:bottom w:val="single" w:sz="6" w:space="0" w:color="auto"/>
              <w:right w:val="single" w:sz="6" w:space="0" w:color="auto"/>
            </w:tcBorders>
          </w:tcPr>
          <w:p w14:paraId="7F8BFC7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Besser et al.,</w:t>
            </w:r>
          </w:p>
          <w:p w14:paraId="386204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896" w:type="dxa"/>
            <w:tcBorders>
              <w:top w:val="nil"/>
              <w:left w:val="single" w:sz="6" w:space="0" w:color="auto"/>
              <w:bottom w:val="single" w:sz="6" w:space="0" w:color="auto"/>
              <w:right w:val="single" w:sz="6" w:space="0" w:color="auto"/>
            </w:tcBorders>
          </w:tcPr>
          <w:p w14:paraId="235E172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899" w:type="dxa"/>
            <w:tcBorders>
              <w:top w:val="nil"/>
              <w:left w:val="single" w:sz="6" w:space="0" w:color="auto"/>
              <w:bottom w:val="single" w:sz="6" w:space="0" w:color="auto"/>
              <w:right w:val="single" w:sz="6" w:space="0" w:color="auto"/>
            </w:tcBorders>
          </w:tcPr>
          <w:p w14:paraId="6BAA998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771" w:type="dxa"/>
            <w:tcBorders>
              <w:top w:val="nil"/>
              <w:left w:val="single" w:sz="6" w:space="0" w:color="auto"/>
              <w:bottom w:val="single" w:sz="6" w:space="0" w:color="auto"/>
              <w:right w:val="single" w:sz="6" w:space="0" w:color="auto"/>
            </w:tcBorders>
          </w:tcPr>
          <w:p w14:paraId="0AD13EB1"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72,753</w:t>
            </w:r>
          </w:p>
        </w:tc>
        <w:tc>
          <w:tcPr>
            <w:tcW w:w="1028" w:type="dxa"/>
            <w:tcBorders>
              <w:top w:val="nil"/>
              <w:left w:val="single" w:sz="6" w:space="0" w:color="auto"/>
              <w:bottom w:val="single" w:sz="6" w:space="0" w:color="auto"/>
              <w:right w:val="single" w:sz="6" w:space="0" w:color="auto"/>
            </w:tcBorders>
          </w:tcPr>
          <w:p w14:paraId="185ED40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adults</w:t>
            </w:r>
          </w:p>
          <w:p w14:paraId="08F8240D"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 years</w:t>
            </w:r>
          </w:p>
        </w:tc>
        <w:tc>
          <w:tcPr>
            <w:tcW w:w="1446" w:type="dxa"/>
            <w:tcBorders>
              <w:top w:val="nil"/>
              <w:left w:val="single" w:sz="6" w:space="0" w:color="auto"/>
              <w:bottom w:val="single" w:sz="6" w:space="0" w:color="auto"/>
              <w:right w:val="single" w:sz="6" w:space="0" w:color="auto"/>
            </w:tcBorders>
          </w:tcPr>
          <w:p w14:paraId="328BB99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developed open space; % forest in census tract</w:t>
            </w:r>
          </w:p>
        </w:tc>
        <w:tc>
          <w:tcPr>
            <w:tcW w:w="1080" w:type="dxa"/>
            <w:tcBorders>
              <w:top w:val="nil"/>
              <w:left w:val="single" w:sz="6" w:space="0" w:color="auto"/>
              <w:bottom w:val="single" w:sz="6" w:space="0" w:color="auto"/>
              <w:right w:val="single" w:sz="6" w:space="0" w:color="auto"/>
            </w:tcBorders>
          </w:tcPr>
          <w:p w14:paraId="355C093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Developed open space (&lt;20% impervious: parks/lawns/golf);</w:t>
            </w:r>
          </w:p>
          <w:p w14:paraId="26DB16C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p>
          <w:p w14:paraId="3E0634F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forest (deciduous/evergreen/mixed)</w:t>
            </w:r>
          </w:p>
        </w:tc>
        <w:tc>
          <w:tcPr>
            <w:tcW w:w="1080" w:type="dxa"/>
            <w:tcBorders>
              <w:top w:val="nil"/>
              <w:left w:val="single" w:sz="6" w:space="0" w:color="auto"/>
              <w:bottom w:val="single" w:sz="6" w:space="0" w:color="auto"/>
              <w:right w:val="single" w:sz="6" w:space="0" w:color="auto"/>
            </w:tcBorders>
          </w:tcPr>
          <w:p w14:paraId="0F2B1C6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NLCD 2011 (30 m), via NHGIS</w:t>
            </w:r>
          </w:p>
        </w:tc>
        <w:tc>
          <w:tcPr>
            <w:tcW w:w="1530" w:type="dxa"/>
            <w:tcBorders>
              <w:top w:val="nil"/>
              <w:left w:val="single" w:sz="6" w:space="0" w:color="auto"/>
              <w:bottom w:val="single" w:sz="6" w:space="0" w:color="auto"/>
              <w:right w:val="single" w:sz="6" w:space="0" w:color="auto"/>
            </w:tcBorders>
          </w:tcPr>
          <w:p w14:paraId="03ECB2F9"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w:t>
            </w:r>
          </w:p>
        </w:tc>
        <w:tc>
          <w:tcPr>
            <w:tcW w:w="1054" w:type="dxa"/>
            <w:tcBorders>
              <w:top w:val="nil"/>
              <w:left w:val="single" w:sz="6" w:space="0" w:color="auto"/>
              <w:bottom w:val="single" w:sz="6" w:space="0" w:color="auto"/>
              <w:right w:val="single" w:sz="6" w:space="0" w:color="auto"/>
            </w:tcBorders>
          </w:tcPr>
          <w:p w14:paraId="2A9AA5F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Continuous (% per 1-point increase)</w:t>
            </w:r>
          </w:p>
        </w:tc>
        <w:tc>
          <w:tcPr>
            <w:tcW w:w="1102" w:type="dxa"/>
            <w:tcBorders>
              <w:top w:val="nil"/>
              <w:left w:val="single" w:sz="6" w:space="0" w:color="auto"/>
              <w:bottom w:val="single" w:sz="6" w:space="0" w:color="auto"/>
              <w:right w:val="single" w:sz="6" w:space="0" w:color="auto"/>
            </w:tcBorders>
          </w:tcPr>
          <w:p w14:paraId="09DEC935"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outcomes linked to census-tract exposures</w:t>
            </w:r>
          </w:p>
        </w:tc>
        <w:tc>
          <w:tcPr>
            <w:tcW w:w="1354" w:type="dxa"/>
            <w:tcBorders>
              <w:top w:val="nil"/>
              <w:left w:val="single" w:sz="6" w:space="0" w:color="auto"/>
              <w:bottom w:val="single" w:sz="6" w:space="0" w:color="auto"/>
              <w:right w:val="single" w:sz="6" w:space="0" w:color="auto"/>
            </w:tcBorders>
          </w:tcPr>
          <w:p w14:paraId="42D9B81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Minutes/day of neighborhood walking</w:t>
            </w:r>
          </w:p>
        </w:tc>
        <w:tc>
          <w:tcPr>
            <w:tcW w:w="1350" w:type="dxa"/>
            <w:tcBorders>
              <w:top w:val="nil"/>
              <w:left w:val="single" w:sz="6" w:space="0" w:color="auto"/>
              <w:bottom w:val="single" w:sz="6" w:space="0" w:color="auto"/>
              <w:right w:val="single" w:sz="6" w:space="0" w:color="auto"/>
            </w:tcBorders>
          </w:tcPr>
          <w:p w14:paraId="357923C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One-day travel diary</w:t>
            </w:r>
          </w:p>
        </w:tc>
        <w:tc>
          <w:tcPr>
            <w:tcW w:w="1080" w:type="dxa"/>
            <w:tcBorders>
              <w:top w:val="nil"/>
              <w:left w:val="single" w:sz="6" w:space="0" w:color="auto"/>
              <w:bottom w:val="single" w:sz="6" w:space="0" w:color="auto"/>
              <w:right w:val="single" w:sz="6" w:space="0" w:color="auto"/>
            </w:tcBorders>
          </w:tcPr>
          <w:p w14:paraId="035E4AB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w:t>
            </w:r>
          </w:p>
        </w:tc>
        <w:tc>
          <w:tcPr>
            <w:tcW w:w="1350" w:type="dxa"/>
            <w:tcBorders>
              <w:top w:val="nil"/>
              <w:left w:val="single" w:sz="6" w:space="0" w:color="auto"/>
              <w:bottom w:val="single" w:sz="6" w:space="0" w:color="auto"/>
              <w:right w:val="single" w:sz="6" w:space="0" w:color="auto"/>
            </w:tcBorders>
          </w:tcPr>
          <w:p w14:paraId="5364CB2F"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CD3A43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3E4F992A"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0EB3A92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1D6D7FFC"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race/ethnicity,</w:t>
            </w:r>
          </w:p>
          <w:p w14:paraId="0CD3A43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employment,</w:t>
            </w:r>
          </w:p>
          <w:p w14:paraId="2E4F98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mobility device,</w:t>
            </w:r>
          </w:p>
          <w:p w14:paraId="3E912AB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vehicles,</w:t>
            </w:r>
          </w:p>
          <w:p w14:paraId="6220894B"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size,</w:t>
            </w:r>
          </w:p>
          <w:p w14:paraId="153FE1C8"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homeownership,</w:t>
            </w:r>
          </w:p>
          <w:p w14:paraId="4EC57FD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 density,</w:t>
            </w:r>
          </w:p>
          <w:p w14:paraId="09C607D7"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census region,</w:t>
            </w:r>
          </w:p>
          <w:p w14:paraId="0D278772"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weekday/weekend,</w:t>
            </w:r>
          </w:p>
          <w:p w14:paraId="4083C6B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season,</w:t>
            </w:r>
          </w:p>
          <w:p w14:paraId="1A6ABA4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ADI</w:t>
            </w:r>
          </w:p>
        </w:tc>
        <w:tc>
          <w:tcPr>
            <w:tcW w:w="990" w:type="dxa"/>
            <w:tcBorders>
              <w:top w:val="nil"/>
              <w:left w:val="single" w:sz="6" w:space="0" w:color="auto"/>
              <w:bottom w:val="single" w:sz="6" w:space="0" w:color="auto"/>
              <w:right w:val="single" w:sz="6" w:space="0" w:color="auto"/>
            </w:tcBorders>
          </w:tcPr>
          <w:p w14:paraId="0B787223"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w:t>
            </w:r>
          </w:p>
        </w:tc>
        <w:tc>
          <w:tcPr>
            <w:tcW w:w="1260" w:type="dxa"/>
            <w:tcBorders>
              <w:top w:val="nil"/>
              <w:left w:val="single" w:sz="6" w:space="0" w:color="auto"/>
              <w:bottom w:val="single" w:sz="6" w:space="0" w:color="auto"/>
              <w:right w:val="single" w:sz="6" w:space="0" w:color="auto"/>
            </w:tcBorders>
          </w:tcPr>
          <w:p w14:paraId="26BF5B5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Forest β=0.028</w:t>
            </w:r>
          </w:p>
        </w:tc>
        <w:tc>
          <w:tcPr>
            <w:tcW w:w="900" w:type="dxa"/>
            <w:tcBorders>
              <w:top w:val="nil"/>
              <w:left w:val="single" w:sz="6" w:space="0" w:color="auto"/>
              <w:bottom w:val="single" w:sz="6" w:space="0" w:color="auto"/>
              <w:right w:val="single" w:sz="6" w:space="0" w:color="auto"/>
            </w:tcBorders>
          </w:tcPr>
          <w:p w14:paraId="1620F6E6"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0.006–0.050</w:t>
            </w:r>
          </w:p>
        </w:tc>
        <w:tc>
          <w:tcPr>
            <w:tcW w:w="810" w:type="dxa"/>
            <w:tcBorders>
              <w:top w:val="nil"/>
              <w:left w:val="single" w:sz="6" w:space="0" w:color="auto"/>
              <w:bottom w:val="single" w:sz="6" w:space="0" w:color="auto"/>
              <w:right w:val="single" w:sz="6" w:space="0" w:color="auto"/>
            </w:tcBorders>
          </w:tcPr>
          <w:p w14:paraId="09AC8F8E"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0.01</w:t>
            </w:r>
          </w:p>
        </w:tc>
        <w:tc>
          <w:tcPr>
            <w:tcW w:w="1530" w:type="dxa"/>
            <w:tcBorders>
              <w:top w:val="nil"/>
              <w:left w:val="single" w:sz="6" w:space="0" w:color="auto"/>
              <w:bottom w:val="single" w:sz="6" w:space="0" w:color="auto"/>
              <w:right w:val="single" w:sz="6" w:space="0" w:color="auto"/>
            </w:tcBorders>
          </w:tcPr>
          <w:p w14:paraId="3C0BDE54" w14:textId="77777777" w:rsidR="0037619D" w:rsidRPr="000F3EBD" w:rsidRDefault="0037619D"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forest (overall); open space null overall (positive in African Americans)</w:t>
            </w:r>
          </w:p>
        </w:tc>
      </w:tr>
    </w:tbl>
    <w:p w14:paraId="224E7594" w14:textId="77777777" w:rsidR="0037619D" w:rsidRDefault="0037619D" w:rsidP="00E45623">
      <w:pPr>
        <w:tabs>
          <w:tab w:val="left" w:pos="540"/>
        </w:tabs>
        <w:rPr>
          <w:rFonts w:asciiTheme="majorBidi" w:hAnsiTheme="majorBidi" w:cstheme="majorBidi"/>
          <w:szCs w:val="21"/>
        </w:rPr>
      </w:pPr>
    </w:p>
    <w:p w14:paraId="61CA6E55" w14:textId="77777777" w:rsidR="00CF2149" w:rsidRPr="00CF2149" w:rsidRDefault="00CF2149" w:rsidP="00CF2149">
      <w:pPr>
        <w:rPr>
          <w:rFonts w:asciiTheme="majorBidi" w:hAnsiTheme="majorBidi" w:cstheme="majorBidi"/>
          <w:szCs w:val="21"/>
        </w:rPr>
      </w:pPr>
    </w:p>
    <w:p w14:paraId="1136AE78" w14:textId="77777777" w:rsidR="00CF2149" w:rsidRPr="00CF2149" w:rsidRDefault="00CF2149" w:rsidP="00CF2149">
      <w:pPr>
        <w:rPr>
          <w:rFonts w:asciiTheme="majorBidi" w:hAnsiTheme="majorBidi" w:cstheme="majorBidi"/>
          <w:szCs w:val="21"/>
        </w:rPr>
      </w:pPr>
    </w:p>
    <w:p w14:paraId="39F7F9AA" w14:textId="77777777" w:rsidR="00CF2149" w:rsidRDefault="00CF2149" w:rsidP="00CF2149">
      <w:pPr>
        <w:rPr>
          <w:rFonts w:asciiTheme="majorBidi" w:hAnsiTheme="majorBidi" w:cstheme="majorBidi"/>
          <w:szCs w:val="21"/>
        </w:rPr>
      </w:pPr>
    </w:p>
    <w:p w14:paraId="0EFE9A19" w14:textId="6A09A12A" w:rsidR="00CF2149" w:rsidRPr="00CF2149" w:rsidRDefault="00CF2149" w:rsidP="00CF2149">
      <w:pPr>
        <w:pStyle w:val="Caption"/>
        <w:keepNext/>
        <w:rPr>
          <w:rFonts w:asciiTheme="majorBidi" w:hAnsiTheme="majorBidi" w:cstheme="majorBidi"/>
          <w:b/>
          <w:bCs/>
          <w:color w:val="auto"/>
          <w:sz w:val="24"/>
          <w:szCs w:val="24"/>
        </w:rPr>
      </w:pPr>
      <w:r>
        <w:rPr>
          <w:rFonts w:asciiTheme="majorBidi" w:hAnsiTheme="majorBidi" w:cstheme="majorBidi"/>
          <w:b/>
          <w:bCs/>
          <w:color w:val="auto"/>
          <w:sz w:val="24"/>
          <w:szCs w:val="24"/>
        </w:rPr>
        <w:lastRenderedPageBreak/>
        <w:t xml:space="preserve">Table D</w:t>
        <w:fldChar w:fldCharType="begin"/>
        <w:instrText xml:space="preserve"> SEQ Table \* ARABIC </w:instrText>
        <w:fldChar w:fldCharType="separate"/>
      </w:r>
      <w:r>
        <w:rPr>
          <w:rFonts w:asciiTheme="majorBidi" w:hAnsiTheme="majorBidi" w:cstheme="majorBidi"/>
          <w:b/>
          <w:bCs/>
          <w:noProof/>
          <w:color w:val="auto"/>
          <w:sz w:val="24"/>
          <w:szCs w:val="24"/>
        </w:rPr>
        <w:t>3</w:t>
      </w:r>
      <w:r>
        <w:rPr>
          <w:rFonts w:asciiTheme="majorBidi" w:hAnsiTheme="majorBidi" w:cstheme="majorBidi"/>
          <w:b/>
          <w:bCs/>
          <w:color w:val="auto"/>
          <w:sz w:val="24"/>
          <w:szCs w:val="24"/>
        </w:rPr>
        <w:fldChar w:fldCharType="end"/>
        <w:t>. Accessibility studies (n = 49)</w:t>
      </w:r>
    </w:p>
    <w:tbl>
      <w:tblPr>
        <w:tblW w:w="22598" w:type="dxa"/>
        <w:tblInd w:w="-458" w:type="dxa"/>
        <w:tblLayout w:type="fixed"/>
        <w:tblLook w:val="0000" w:firstRow="0" w:lastRow="0" w:firstColumn="0" w:lastColumn="0" w:noHBand="0" w:noVBand="0"/>
      </w:tblPr>
      <w:tblGrid>
        <w:gridCol w:w="990"/>
        <w:gridCol w:w="900"/>
        <w:gridCol w:w="8"/>
        <w:gridCol w:w="892"/>
        <w:gridCol w:w="810"/>
        <w:gridCol w:w="1080"/>
        <w:gridCol w:w="8"/>
        <w:gridCol w:w="1432"/>
        <w:gridCol w:w="1080"/>
        <w:gridCol w:w="1260"/>
        <w:gridCol w:w="1377"/>
        <w:gridCol w:w="1143"/>
        <w:gridCol w:w="1253"/>
        <w:gridCol w:w="1260"/>
        <w:gridCol w:w="1260"/>
        <w:gridCol w:w="1087"/>
        <w:gridCol w:w="1260"/>
        <w:gridCol w:w="990"/>
        <w:gridCol w:w="1440"/>
        <w:gridCol w:w="983"/>
        <w:gridCol w:w="997"/>
        <w:gridCol w:w="1080"/>
        <w:gridCol w:w="8"/>
      </w:tblGrid>
      <w:tr w:rsidR="00CF2149" w:rsidRPr="00B01F30" w14:paraId="7B0F33EC" w14:textId="77777777" w:rsidTr="00AE5170">
        <w:trPr>
          <w:trHeight w:val="451"/>
        </w:trPr>
        <w:tc>
          <w:tcPr>
            <w:tcW w:w="1898" w:type="dxa"/>
            <w:gridSpan w:val="3"/>
            <w:tcBorders>
              <w:top w:val="single" w:sz="12" w:space="0" w:color="auto"/>
              <w:left w:val="single" w:sz="12" w:space="0" w:color="auto"/>
              <w:bottom w:val="single" w:sz="12" w:space="0" w:color="auto"/>
              <w:right w:val="single" w:sz="6" w:space="0" w:color="auto"/>
            </w:tcBorders>
          </w:tcPr>
          <w:p w14:paraId="210A930E" w14:textId="77777777" w:rsidR="00CF2149" w:rsidRPr="00B01F30" w:rsidRDefault="00CF2149"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Study Identification &amp; General Info</w:t>
            </w:r>
          </w:p>
        </w:tc>
        <w:tc>
          <w:tcPr>
            <w:tcW w:w="2790" w:type="dxa"/>
            <w:gridSpan w:val="4"/>
            <w:tcBorders>
              <w:top w:val="single" w:sz="12" w:space="0" w:color="auto"/>
              <w:left w:val="single" w:sz="6" w:space="0" w:color="auto"/>
              <w:bottom w:val="single" w:sz="12" w:space="0" w:color="auto"/>
              <w:right w:val="single" w:sz="12" w:space="0" w:color="auto"/>
            </w:tcBorders>
          </w:tcPr>
          <w:p w14:paraId="2DB849D1" w14:textId="77777777" w:rsidR="00CF2149" w:rsidRPr="00B01F30" w:rsidRDefault="00CF2149"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Study Design &amp; Population</w:t>
            </w:r>
          </w:p>
        </w:tc>
        <w:tc>
          <w:tcPr>
            <w:tcW w:w="7545" w:type="dxa"/>
            <w:gridSpan w:val="6"/>
            <w:tcBorders>
              <w:top w:val="single" w:sz="12" w:space="0" w:color="auto"/>
              <w:left w:val="single" w:sz="12" w:space="0" w:color="auto"/>
              <w:bottom w:val="single" w:sz="12" w:space="0" w:color="auto"/>
              <w:right w:val="single" w:sz="12" w:space="0" w:color="auto"/>
            </w:tcBorders>
          </w:tcPr>
          <w:p w14:paraId="11F4A694" w14:textId="77777777" w:rsidR="00CF2149" w:rsidRPr="00B01F30" w:rsidRDefault="00CF2149"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Exposure Details</w:t>
            </w:r>
          </w:p>
        </w:tc>
        <w:tc>
          <w:tcPr>
            <w:tcW w:w="2520" w:type="dxa"/>
            <w:gridSpan w:val="2"/>
            <w:tcBorders>
              <w:top w:val="single" w:sz="12" w:space="0" w:color="auto"/>
              <w:left w:val="single" w:sz="12" w:space="0" w:color="auto"/>
              <w:bottom w:val="single" w:sz="12" w:space="0" w:color="auto"/>
              <w:right w:val="single" w:sz="6" w:space="0" w:color="auto"/>
            </w:tcBorders>
          </w:tcPr>
          <w:p w14:paraId="71A73276" w14:textId="77777777" w:rsidR="00CF2149" w:rsidRPr="00B01F30" w:rsidRDefault="00CF2149"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Physical Activity (PA) Outcome Details</w:t>
            </w:r>
          </w:p>
        </w:tc>
        <w:tc>
          <w:tcPr>
            <w:tcW w:w="7845" w:type="dxa"/>
            <w:gridSpan w:val="8"/>
            <w:tcBorders>
              <w:top w:val="single" w:sz="12" w:space="0" w:color="auto"/>
              <w:left w:val="single" w:sz="6" w:space="0" w:color="auto"/>
              <w:bottom w:val="single" w:sz="12" w:space="0" w:color="auto"/>
              <w:right w:val="single" w:sz="12" w:space="0" w:color="auto"/>
            </w:tcBorders>
          </w:tcPr>
          <w:p w14:paraId="3647C9A3" w14:textId="77777777" w:rsidR="00CF2149" w:rsidRPr="00B01F30" w:rsidRDefault="00CF2149" w:rsidP="00693EBB">
            <w:pPr>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Statistical Analysis &amp; Results</w:t>
            </w:r>
          </w:p>
        </w:tc>
      </w:tr>
      <w:tr w:rsidR="00CF2149" w:rsidRPr="00B01F30" w14:paraId="2DEDB715" w14:textId="77777777" w:rsidTr="00AE5170">
        <w:trPr>
          <w:gridAfter w:val="1"/>
          <w:wAfter w:w="8" w:type="dxa"/>
          <w:trHeight w:val="1284"/>
        </w:trPr>
        <w:tc>
          <w:tcPr>
            <w:tcW w:w="990" w:type="dxa"/>
            <w:tcBorders>
              <w:top w:val="nil"/>
              <w:left w:val="single" w:sz="6" w:space="0" w:color="auto"/>
              <w:bottom w:val="single" w:sz="12" w:space="0" w:color="auto"/>
              <w:right w:val="single" w:sz="6" w:space="0" w:color="auto"/>
            </w:tcBorders>
            <w:vAlign w:val="center"/>
          </w:tcPr>
          <w:p w14:paraId="1147F067"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Study</w:t>
            </w:r>
          </w:p>
        </w:tc>
        <w:tc>
          <w:tcPr>
            <w:tcW w:w="900" w:type="dxa"/>
            <w:tcBorders>
              <w:top w:val="nil"/>
              <w:left w:val="single" w:sz="6" w:space="0" w:color="auto"/>
              <w:bottom w:val="single" w:sz="12" w:space="0" w:color="auto"/>
              <w:right w:val="single" w:sz="6" w:space="0" w:color="auto"/>
            </w:tcBorders>
            <w:vAlign w:val="center"/>
          </w:tcPr>
          <w:p w14:paraId="0FDE6913"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Country / Region</w:t>
            </w:r>
          </w:p>
        </w:tc>
        <w:tc>
          <w:tcPr>
            <w:tcW w:w="900" w:type="dxa"/>
            <w:gridSpan w:val="2"/>
            <w:tcBorders>
              <w:top w:val="nil"/>
              <w:left w:val="single" w:sz="6" w:space="0" w:color="auto"/>
              <w:bottom w:val="single" w:sz="12" w:space="0" w:color="auto"/>
              <w:right w:val="single" w:sz="6" w:space="0" w:color="auto"/>
            </w:tcBorders>
            <w:vAlign w:val="center"/>
          </w:tcPr>
          <w:p w14:paraId="6271C695"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Study Design</w:t>
            </w:r>
          </w:p>
        </w:tc>
        <w:tc>
          <w:tcPr>
            <w:tcW w:w="810" w:type="dxa"/>
            <w:tcBorders>
              <w:top w:val="nil"/>
              <w:left w:val="single" w:sz="6" w:space="0" w:color="auto"/>
              <w:bottom w:val="single" w:sz="12" w:space="0" w:color="auto"/>
              <w:right w:val="single" w:sz="6" w:space="0" w:color="auto"/>
            </w:tcBorders>
            <w:vAlign w:val="center"/>
          </w:tcPr>
          <w:p w14:paraId="41DC2350"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Sample Size</w:t>
            </w:r>
          </w:p>
        </w:tc>
        <w:tc>
          <w:tcPr>
            <w:tcW w:w="1080" w:type="dxa"/>
            <w:tcBorders>
              <w:top w:val="nil"/>
              <w:left w:val="single" w:sz="6" w:space="0" w:color="auto"/>
              <w:bottom w:val="single" w:sz="12" w:space="0" w:color="auto"/>
              <w:right w:val="single" w:sz="6" w:space="0" w:color="auto"/>
            </w:tcBorders>
            <w:vAlign w:val="center"/>
          </w:tcPr>
          <w:p w14:paraId="35437E18"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Population </w:t>
            </w:r>
          </w:p>
          <w:p w14:paraId="794923E0"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p>
        </w:tc>
        <w:tc>
          <w:tcPr>
            <w:tcW w:w="1440" w:type="dxa"/>
            <w:gridSpan w:val="2"/>
            <w:tcBorders>
              <w:top w:val="nil"/>
              <w:left w:val="single" w:sz="6" w:space="0" w:color="auto"/>
              <w:bottom w:val="single" w:sz="12" w:space="0" w:color="auto"/>
              <w:right w:val="single" w:sz="6" w:space="0" w:color="auto"/>
            </w:tcBorders>
            <w:vAlign w:val="center"/>
          </w:tcPr>
          <w:p w14:paraId="05F23B52"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Accessibility </w:t>
            </w:r>
          </w:p>
          <w:p w14:paraId="38DA5E7B"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Metric</w:t>
            </w:r>
          </w:p>
          <w:p w14:paraId="2C67562C"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12" w:space="0" w:color="auto"/>
              <w:right w:val="single" w:sz="6" w:space="0" w:color="auto"/>
            </w:tcBorders>
            <w:vAlign w:val="center"/>
          </w:tcPr>
          <w:p w14:paraId="1361A663"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Greenspace </w:t>
            </w:r>
          </w:p>
          <w:p w14:paraId="2438D39F"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Definition</w:t>
            </w:r>
          </w:p>
        </w:tc>
        <w:tc>
          <w:tcPr>
            <w:tcW w:w="1260" w:type="dxa"/>
            <w:tcBorders>
              <w:top w:val="nil"/>
              <w:left w:val="single" w:sz="6" w:space="0" w:color="auto"/>
              <w:bottom w:val="single" w:sz="12" w:space="0" w:color="auto"/>
              <w:right w:val="single" w:sz="6" w:space="0" w:color="auto"/>
            </w:tcBorders>
            <w:vAlign w:val="center"/>
          </w:tcPr>
          <w:p w14:paraId="331B4252"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Greenspace </w:t>
            </w:r>
          </w:p>
          <w:p w14:paraId="37CC092C"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Data Source</w:t>
            </w:r>
          </w:p>
        </w:tc>
        <w:tc>
          <w:tcPr>
            <w:tcW w:w="1377" w:type="dxa"/>
            <w:tcBorders>
              <w:top w:val="nil"/>
              <w:left w:val="single" w:sz="6" w:space="0" w:color="auto"/>
              <w:bottom w:val="single" w:sz="12" w:space="0" w:color="auto"/>
              <w:right w:val="single" w:sz="6" w:space="0" w:color="auto"/>
            </w:tcBorders>
            <w:vAlign w:val="center"/>
          </w:tcPr>
          <w:p w14:paraId="2988BE78"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Measurement Method </w:t>
            </w:r>
          </w:p>
          <w:p w14:paraId="7DFFC121"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p>
        </w:tc>
        <w:tc>
          <w:tcPr>
            <w:tcW w:w="1143" w:type="dxa"/>
            <w:tcBorders>
              <w:top w:val="nil"/>
              <w:left w:val="single" w:sz="6" w:space="0" w:color="auto"/>
              <w:bottom w:val="single" w:sz="12" w:space="0" w:color="auto"/>
              <w:right w:val="single" w:sz="6" w:space="0" w:color="auto"/>
            </w:tcBorders>
            <w:vAlign w:val="center"/>
          </w:tcPr>
          <w:p w14:paraId="57A11063"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Threshold Used</w:t>
            </w:r>
          </w:p>
        </w:tc>
        <w:tc>
          <w:tcPr>
            <w:tcW w:w="1253" w:type="dxa"/>
            <w:tcBorders>
              <w:top w:val="nil"/>
              <w:left w:val="single" w:sz="6" w:space="0" w:color="auto"/>
              <w:bottom w:val="single" w:sz="12" w:space="0" w:color="auto"/>
              <w:right w:val="single" w:sz="6" w:space="0" w:color="auto"/>
            </w:tcBorders>
            <w:vAlign w:val="center"/>
          </w:tcPr>
          <w:p w14:paraId="58FE9A7A"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Spatial Level / </w:t>
            </w:r>
          </w:p>
          <w:p w14:paraId="3A792578"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Unit of Analysis</w:t>
            </w:r>
          </w:p>
        </w:tc>
        <w:tc>
          <w:tcPr>
            <w:tcW w:w="1260" w:type="dxa"/>
            <w:tcBorders>
              <w:top w:val="nil"/>
              <w:left w:val="single" w:sz="6" w:space="0" w:color="auto"/>
              <w:bottom w:val="single" w:sz="12" w:space="0" w:color="auto"/>
              <w:right w:val="single" w:sz="6" w:space="0" w:color="auto"/>
            </w:tcBorders>
            <w:vAlign w:val="center"/>
          </w:tcPr>
          <w:p w14:paraId="549F3CB1"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Outcome Type</w:t>
            </w:r>
          </w:p>
        </w:tc>
        <w:tc>
          <w:tcPr>
            <w:tcW w:w="1260" w:type="dxa"/>
            <w:tcBorders>
              <w:top w:val="nil"/>
              <w:left w:val="single" w:sz="6" w:space="0" w:color="auto"/>
              <w:bottom w:val="single" w:sz="12" w:space="0" w:color="auto"/>
              <w:right w:val="single" w:sz="6" w:space="0" w:color="auto"/>
            </w:tcBorders>
            <w:vAlign w:val="center"/>
          </w:tcPr>
          <w:p w14:paraId="7BE832CE"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Measurement Method</w:t>
            </w:r>
          </w:p>
          <w:p w14:paraId="15F2073E"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p>
        </w:tc>
        <w:tc>
          <w:tcPr>
            <w:tcW w:w="1087" w:type="dxa"/>
            <w:tcBorders>
              <w:top w:val="nil"/>
              <w:left w:val="single" w:sz="6" w:space="0" w:color="auto"/>
              <w:bottom w:val="single" w:sz="12" w:space="0" w:color="auto"/>
              <w:right w:val="single" w:sz="6" w:space="0" w:color="auto"/>
            </w:tcBorders>
            <w:vAlign w:val="center"/>
          </w:tcPr>
          <w:p w14:paraId="010C997D"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Statistical Model</w:t>
            </w:r>
          </w:p>
          <w:p w14:paraId="5B68FA38"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p>
        </w:tc>
        <w:tc>
          <w:tcPr>
            <w:tcW w:w="1260" w:type="dxa"/>
            <w:tcBorders>
              <w:top w:val="nil"/>
              <w:left w:val="single" w:sz="6" w:space="0" w:color="auto"/>
              <w:bottom w:val="single" w:sz="12" w:space="0" w:color="auto"/>
              <w:right w:val="single" w:sz="6" w:space="0" w:color="auto"/>
            </w:tcBorders>
            <w:vAlign w:val="center"/>
          </w:tcPr>
          <w:p w14:paraId="65541DD2"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Covariates Adjusted For</w:t>
            </w:r>
          </w:p>
          <w:p w14:paraId="6708E0AC"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tc>
        <w:tc>
          <w:tcPr>
            <w:tcW w:w="990" w:type="dxa"/>
            <w:tcBorders>
              <w:top w:val="nil"/>
              <w:left w:val="single" w:sz="6" w:space="0" w:color="auto"/>
              <w:bottom w:val="single" w:sz="12" w:space="0" w:color="auto"/>
              <w:right w:val="single" w:sz="6" w:space="0" w:color="auto"/>
            </w:tcBorders>
            <w:vAlign w:val="center"/>
          </w:tcPr>
          <w:p w14:paraId="5AA00917"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Effect Estimate Type </w:t>
            </w:r>
          </w:p>
          <w:p w14:paraId="488992B1"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p>
        </w:tc>
        <w:tc>
          <w:tcPr>
            <w:tcW w:w="1440" w:type="dxa"/>
            <w:tcBorders>
              <w:top w:val="nil"/>
              <w:left w:val="single" w:sz="6" w:space="0" w:color="auto"/>
              <w:bottom w:val="single" w:sz="12" w:space="0" w:color="auto"/>
              <w:right w:val="single" w:sz="6" w:space="0" w:color="auto"/>
            </w:tcBorders>
            <w:vAlign w:val="center"/>
          </w:tcPr>
          <w:p w14:paraId="60CD7A3F"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Effect Estimate</w:t>
            </w:r>
          </w:p>
          <w:p w14:paraId="45D7BCF2"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p>
        </w:tc>
        <w:tc>
          <w:tcPr>
            <w:tcW w:w="983" w:type="dxa"/>
            <w:tcBorders>
              <w:top w:val="nil"/>
              <w:left w:val="single" w:sz="6" w:space="0" w:color="auto"/>
              <w:bottom w:val="single" w:sz="12" w:space="0" w:color="auto"/>
              <w:right w:val="single" w:sz="6" w:space="0" w:color="auto"/>
            </w:tcBorders>
            <w:vAlign w:val="center"/>
          </w:tcPr>
          <w:p w14:paraId="007865A3"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95% Confidence </w:t>
            </w:r>
          </w:p>
          <w:p w14:paraId="25DFC9E6"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Interval / Standard Error</w:t>
            </w:r>
          </w:p>
        </w:tc>
        <w:tc>
          <w:tcPr>
            <w:tcW w:w="997" w:type="dxa"/>
            <w:tcBorders>
              <w:top w:val="nil"/>
              <w:left w:val="single" w:sz="6" w:space="0" w:color="auto"/>
              <w:bottom w:val="single" w:sz="12" w:space="0" w:color="auto"/>
              <w:right w:val="single" w:sz="6" w:space="0" w:color="auto"/>
            </w:tcBorders>
            <w:vAlign w:val="center"/>
          </w:tcPr>
          <w:p w14:paraId="1551526D"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p-value</w:t>
            </w:r>
          </w:p>
        </w:tc>
        <w:tc>
          <w:tcPr>
            <w:tcW w:w="1080" w:type="dxa"/>
            <w:tcBorders>
              <w:top w:val="nil"/>
              <w:left w:val="single" w:sz="6" w:space="0" w:color="auto"/>
              <w:bottom w:val="single" w:sz="12" w:space="0" w:color="auto"/>
              <w:right w:val="single" w:sz="6" w:space="0" w:color="auto"/>
            </w:tcBorders>
            <w:vAlign w:val="center"/>
          </w:tcPr>
          <w:p w14:paraId="6BD3E4B7"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Direction of Association </w:t>
            </w:r>
          </w:p>
          <w:p w14:paraId="3AFA431E" w14:textId="77777777" w:rsidR="00CF2149" w:rsidRPr="00E713EA" w:rsidRDefault="00CF2149" w:rsidP="00693EBB">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negative, null)</w:t>
            </w:r>
          </w:p>
        </w:tc>
      </w:tr>
      <w:tr w:rsidR="00CF2149" w:rsidRPr="00B01F30" w14:paraId="5333DE5E" w14:textId="77777777" w:rsidTr="00AE5170">
        <w:trPr>
          <w:gridAfter w:val="1"/>
          <w:wAfter w:w="8" w:type="dxa"/>
          <w:trHeight w:val="3324"/>
        </w:trPr>
        <w:tc>
          <w:tcPr>
            <w:tcW w:w="990" w:type="dxa"/>
            <w:tcBorders>
              <w:top w:val="single" w:sz="12" w:space="0" w:color="auto"/>
              <w:left w:val="single" w:sz="6" w:space="0" w:color="auto"/>
              <w:bottom w:val="single" w:sz="6" w:space="0" w:color="auto"/>
              <w:right w:val="single" w:sz="6" w:space="0" w:color="auto"/>
            </w:tcBorders>
          </w:tcPr>
          <w:p w14:paraId="13956AA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Flowers et al.,</w:t>
            </w:r>
          </w:p>
          <w:p w14:paraId="66299A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2016</w:t>
            </w:r>
          </w:p>
        </w:tc>
        <w:tc>
          <w:tcPr>
            <w:tcW w:w="900" w:type="dxa"/>
            <w:tcBorders>
              <w:top w:val="single" w:sz="12" w:space="0" w:color="auto"/>
              <w:left w:val="single" w:sz="6" w:space="0" w:color="auto"/>
              <w:bottom w:val="single" w:sz="6" w:space="0" w:color="auto"/>
              <w:right w:val="single" w:sz="6" w:space="0" w:color="auto"/>
            </w:tcBorders>
          </w:tcPr>
          <w:p w14:paraId="651B062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900" w:type="dxa"/>
            <w:gridSpan w:val="2"/>
            <w:tcBorders>
              <w:top w:val="single" w:sz="12" w:space="0" w:color="auto"/>
              <w:left w:val="single" w:sz="6" w:space="0" w:color="auto"/>
              <w:bottom w:val="single" w:sz="6" w:space="0" w:color="auto"/>
              <w:right w:val="single" w:sz="6" w:space="0" w:color="auto"/>
            </w:tcBorders>
          </w:tcPr>
          <w:p w14:paraId="58C8452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single" w:sz="12" w:space="0" w:color="auto"/>
              <w:left w:val="single" w:sz="6" w:space="0" w:color="auto"/>
              <w:bottom w:val="single" w:sz="6" w:space="0" w:color="auto"/>
              <w:right w:val="single" w:sz="6" w:space="0" w:color="auto"/>
            </w:tcBorders>
          </w:tcPr>
          <w:p w14:paraId="16120FD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2079</w:t>
            </w:r>
          </w:p>
        </w:tc>
        <w:tc>
          <w:tcPr>
            <w:tcW w:w="1080" w:type="dxa"/>
            <w:tcBorders>
              <w:top w:val="single" w:sz="12" w:space="0" w:color="auto"/>
              <w:left w:val="single" w:sz="6" w:space="0" w:color="auto"/>
              <w:bottom w:val="single" w:sz="6" w:space="0" w:color="auto"/>
              <w:right w:val="single" w:sz="6" w:space="0" w:color="auto"/>
            </w:tcBorders>
          </w:tcPr>
          <w:p w14:paraId="4DF550D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working-age adults</w:t>
            </w:r>
          </w:p>
          <w:p w14:paraId="572B1D5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22–65 years</w:t>
            </w:r>
          </w:p>
        </w:tc>
        <w:tc>
          <w:tcPr>
            <w:tcW w:w="1440" w:type="dxa"/>
            <w:gridSpan w:val="2"/>
            <w:tcBorders>
              <w:top w:val="single" w:sz="12" w:space="0" w:color="auto"/>
              <w:left w:val="single" w:sz="6" w:space="0" w:color="auto"/>
              <w:bottom w:val="single" w:sz="6" w:space="0" w:color="auto"/>
              <w:right w:val="single" w:sz="6" w:space="0" w:color="auto"/>
            </w:tcBorders>
          </w:tcPr>
          <w:p w14:paraId="2C12BA7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access to local green space</w:t>
            </w:r>
          </w:p>
        </w:tc>
        <w:tc>
          <w:tcPr>
            <w:tcW w:w="1080" w:type="dxa"/>
            <w:tcBorders>
              <w:top w:val="single" w:sz="12" w:space="0" w:color="auto"/>
              <w:left w:val="single" w:sz="6" w:space="0" w:color="auto"/>
              <w:bottom w:val="single" w:sz="6" w:space="0" w:color="auto"/>
              <w:right w:val="single" w:sz="6" w:space="0" w:color="auto"/>
            </w:tcBorders>
          </w:tcPr>
          <w:p w14:paraId="6588A2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All vegetated areas &gt;5 m²</w:t>
            </w:r>
          </w:p>
        </w:tc>
        <w:tc>
          <w:tcPr>
            <w:tcW w:w="1260" w:type="dxa"/>
            <w:tcBorders>
              <w:top w:val="single" w:sz="12" w:space="0" w:color="auto"/>
              <w:left w:val="single" w:sz="6" w:space="0" w:color="auto"/>
              <w:bottom w:val="single" w:sz="6" w:space="0" w:color="auto"/>
              <w:right w:val="single" w:sz="6" w:space="0" w:color="auto"/>
            </w:tcBorders>
          </w:tcPr>
          <w:p w14:paraId="45D0D8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Ward-level % local green space from national land-use databases </w:t>
            </w:r>
          </w:p>
          <w:p w14:paraId="782011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(England + datasets for Scotland, Northern Ireland, Wales), </w:t>
            </w:r>
          </w:p>
          <w:p w14:paraId="015628C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linked via Geoconvert</w:t>
            </w:r>
          </w:p>
          <w:p w14:paraId="61662F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database hosted by CRESH.</w:t>
            </w:r>
          </w:p>
        </w:tc>
        <w:tc>
          <w:tcPr>
            <w:tcW w:w="1377" w:type="dxa"/>
            <w:tcBorders>
              <w:top w:val="single" w:sz="12" w:space="0" w:color="auto"/>
              <w:left w:val="single" w:sz="6" w:space="0" w:color="auto"/>
              <w:bottom w:val="single" w:sz="6" w:space="0" w:color="auto"/>
              <w:right w:val="single" w:sz="6" w:space="0" w:color="auto"/>
            </w:tcBorders>
          </w:tcPr>
          <w:p w14:paraId="283A4FD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Likert perception of access</w:t>
            </w:r>
          </w:p>
        </w:tc>
        <w:tc>
          <w:tcPr>
            <w:tcW w:w="1143" w:type="dxa"/>
            <w:tcBorders>
              <w:top w:val="single" w:sz="12" w:space="0" w:color="auto"/>
              <w:left w:val="single" w:sz="6" w:space="0" w:color="auto"/>
              <w:bottom w:val="single" w:sz="6" w:space="0" w:color="auto"/>
              <w:right w:val="single" w:sz="6" w:space="0" w:color="auto"/>
            </w:tcBorders>
          </w:tcPr>
          <w:p w14:paraId="601501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Exposure entered as a continuous 1–7 score </w:t>
            </w:r>
          </w:p>
          <w:p w14:paraId="20DFFB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distance/time threshold).</w:t>
            </w:r>
          </w:p>
        </w:tc>
        <w:tc>
          <w:tcPr>
            <w:tcW w:w="1253" w:type="dxa"/>
            <w:tcBorders>
              <w:top w:val="single" w:sz="12" w:space="0" w:color="auto"/>
              <w:left w:val="single" w:sz="6" w:space="0" w:color="auto"/>
              <w:bottom w:val="single" w:sz="6" w:space="0" w:color="auto"/>
              <w:right w:val="single" w:sz="6" w:space="0" w:color="auto"/>
            </w:tcBorders>
          </w:tcPr>
          <w:p w14:paraId="4BB6D8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Individuals linked to ward-level environmental measures</w:t>
            </w:r>
          </w:p>
        </w:tc>
        <w:tc>
          <w:tcPr>
            <w:tcW w:w="1260" w:type="dxa"/>
            <w:tcBorders>
              <w:top w:val="single" w:sz="12" w:space="0" w:color="auto"/>
              <w:left w:val="single" w:sz="6" w:space="0" w:color="auto"/>
              <w:bottom w:val="single" w:sz="6" w:space="0" w:color="auto"/>
              <w:right w:val="single" w:sz="6" w:space="0" w:color="auto"/>
            </w:tcBorders>
          </w:tcPr>
          <w:p w14:paraId="409722E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Meeting PA guidelines </w:t>
            </w:r>
          </w:p>
          <w:p w14:paraId="0122DD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(≥600 MET·min/week; binary).</w:t>
            </w:r>
          </w:p>
        </w:tc>
        <w:tc>
          <w:tcPr>
            <w:tcW w:w="1260" w:type="dxa"/>
            <w:tcBorders>
              <w:top w:val="single" w:sz="12" w:space="0" w:color="auto"/>
              <w:left w:val="single" w:sz="6" w:space="0" w:color="auto"/>
              <w:bottom w:val="single" w:sz="6" w:space="0" w:color="auto"/>
              <w:right w:val="single" w:sz="6" w:space="0" w:color="auto"/>
            </w:tcBorders>
          </w:tcPr>
          <w:p w14:paraId="31A49C5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IPAQ-Short Form</w:t>
            </w:r>
          </w:p>
        </w:tc>
        <w:tc>
          <w:tcPr>
            <w:tcW w:w="1087" w:type="dxa"/>
            <w:tcBorders>
              <w:top w:val="single" w:sz="12" w:space="0" w:color="auto"/>
              <w:left w:val="single" w:sz="6" w:space="0" w:color="auto"/>
              <w:bottom w:val="single" w:sz="6" w:space="0" w:color="auto"/>
              <w:right w:val="single" w:sz="6" w:space="0" w:color="auto"/>
            </w:tcBorders>
          </w:tcPr>
          <w:p w14:paraId="130E10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logistic regression</w:t>
            </w:r>
          </w:p>
        </w:tc>
        <w:tc>
          <w:tcPr>
            <w:tcW w:w="1260" w:type="dxa"/>
            <w:tcBorders>
              <w:top w:val="single" w:sz="12" w:space="0" w:color="auto"/>
              <w:left w:val="single" w:sz="6" w:space="0" w:color="auto"/>
              <w:bottom w:val="single" w:sz="6" w:space="0" w:color="auto"/>
              <w:right w:val="single" w:sz="6" w:space="0" w:color="auto"/>
            </w:tcBorders>
          </w:tcPr>
          <w:p w14:paraId="1D9F60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6474AA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78072F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subjective health</w:t>
            </w:r>
          </w:p>
          <w:p w14:paraId="46C0142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ward-level road coverage </w:t>
            </w:r>
          </w:p>
          <w:p w14:paraId="51D324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ward-level environmental deprivation;</w:t>
            </w:r>
          </w:p>
          <w:p w14:paraId="2C1D72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travel to work</w:t>
            </w:r>
          </w:p>
          <w:p w14:paraId="00CFF59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travel to local green space</w:t>
            </w:r>
          </w:p>
        </w:tc>
        <w:tc>
          <w:tcPr>
            <w:tcW w:w="990" w:type="dxa"/>
            <w:tcBorders>
              <w:top w:val="single" w:sz="12" w:space="0" w:color="auto"/>
              <w:left w:val="single" w:sz="6" w:space="0" w:color="auto"/>
              <w:bottom w:val="single" w:sz="6" w:space="0" w:color="auto"/>
              <w:right w:val="single" w:sz="6" w:space="0" w:color="auto"/>
            </w:tcBorders>
          </w:tcPr>
          <w:p w14:paraId="450DCB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1440" w:type="dxa"/>
            <w:tcBorders>
              <w:top w:val="single" w:sz="12" w:space="0" w:color="auto"/>
              <w:left w:val="single" w:sz="6" w:space="0" w:color="auto"/>
              <w:bottom w:val="single" w:sz="6" w:space="0" w:color="auto"/>
              <w:right w:val="single" w:sz="6" w:space="0" w:color="auto"/>
            </w:tcBorders>
          </w:tcPr>
          <w:p w14:paraId="3D39041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OR = 0.993 for perceived access → </w:t>
            </w:r>
          </w:p>
          <w:p w14:paraId="4F5FFF1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meeting PA guidelines.</w:t>
            </w:r>
          </w:p>
        </w:tc>
        <w:tc>
          <w:tcPr>
            <w:tcW w:w="983" w:type="dxa"/>
            <w:tcBorders>
              <w:top w:val="single" w:sz="12" w:space="0" w:color="auto"/>
              <w:left w:val="single" w:sz="6" w:space="0" w:color="auto"/>
              <w:bottom w:val="single" w:sz="6" w:space="0" w:color="auto"/>
              <w:right w:val="single" w:sz="6" w:space="0" w:color="auto"/>
            </w:tcBorders>
          </w:tcPr>
          <w:p w14:paraId="30C9E96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0.856–1.151.</w:t>
            </w:r>
          </w:p>
        </w:tc>
        <w:tc>
          <w:tcPr>
            <w:tcW w:w="997" w:type="dxa"/>
            <w:tcBorders>
              <w:top w:val="single" w:sz="12" w:space="0" w:color="auto"/>
              <w:left w:val="single" w:sz="6" w:space="0" w:color="auto"/>
              <w:bottom w:val="single" w:sz="6" w:space="0" w:color="auto"/>
              <w:right w:val="single" w:sz="6" w:space="0" w:color="auto"/>
            </w:tcBorders>
          </w:tcPr>
          <w:p w14:paraId="4D0CCC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Not significant</w:t>
            </w:r>
          </w:p>
        </w:tc>
        <w:tc>
          <w:tcPr>
            <w:tcW w:w="1080" w:type="dxa"/>
            <w:tcBorders>
              <w:top w:val="single" w:sz="12" w:space="0" w:color="auto"/>
              <w:left w:val="single" w:sz="6" w:space="0" w:color="auto"/>
              <w:bottom w:val="single" w:sz="6" w:space="0" w:color="auto"/>
              <w:right w:val="single" w:sz="6" w:space="0" w:color="auto"/>
            </w:tcBorders>
          </w:tcPr>
          <w:p w14:paraId="7F196B8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Null </w:t>
            </w:r>
          </w:p>
          <w:p w14:paraId="0D3FD7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 association between perceived </w:t>
            </w:r>
          </w:p>
          <w:p w14:paraId="654CED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access and meeting PA guidelines).</w:t>
            </w:r>
          </w:p>
        </w:tc>
      </w:tr>
      <w:tr w:rsidR="00CF2149" w:rsidRPr="00B01F30" w14:paraId="4D95D2C9" w14:textId="77777777" w:rsidTr="00AE5170">
        <w:trPr>
          <w:gridAfter w:val="1"/>
          <w:wAfter w:w="8" w:type="dxa"/>
          <w:trHeight w:val="1605"/>
        </w:trPr>
        <w:tc>
          <w:tcPr>
            <w:tcW w:w="990" w:type="dxa"/>
            <w:tcBorders>
              <w:top w:val="nil"/>
              <w:left w:val="single" w:sz="6" w:space="0" w:color="auto"/>
              <w:bottom w:val="single" w:sz="6" w:space="0" w:color="auto"/>
              <w:right w:val="single" w:sz="6" w:space="0" w:color="auto"/>
            </w:tcBorders>
          </w:tcPr>
          <w:p w14:paraId="07E6A22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Ries AV et al.</w:t>
            </w:r>
          </w:p>
          <w:p w14:paraId="35E687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2009</w:t>
            </w:r>
          </w:p>
        </w:tc>
        <w:tc>
          <w:tcPr>
            <w:tcW w:w="900" w:type="dxa"/>
            <w:tcBorders>
              <w:top w:val="nil"/>
              <w:left w:val="single" w:sz="6" w:space="0" w:color="auto"/>
              <w:bottom w:val="single" w:sz="6" w:space="0" w:color="auto"/>
              <w:right w:val="single" w:sz="6" w:space="0" w:color="auto"/>
            </w:tcBorders>
          </w:tcPr>
          <w:p w14:paraId="67EE1BC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34AD926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01D5D7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329</w:t>
            </w:r>
          </w:p>
        </w:tc>
        <w:tc>
          <w:tcPr>
            <w:tcW w:w="1080" w:type="dxa"/>
            <w:tcBorders>
              <w:top w:val="nil"/>
              <w:left w:val="single" w:sz="6" w:space="0" w:color="auto"/>
              <w:bottom w:val="single" w:sz="6" w:space="0" w:color="auto"/>
              <w:right w:val="single" w:sz="6" w:space="0" w:color="auto"/>
            </w:tcBorders>
          </w:tcPr>
          <w:p w14:paraId="03A6F31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high-school students</w:t>
            </w:r>
          </w:p>
          <w:p w14:paraId="36C7D6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Grades 9–12 </w:t>
            </w:r>
          </w:p>
          <w:p w14:paraId="2B8F12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~15.6 y)</w:t>
            </w:r>
          </w:p>
        </w:tc>
        <w:tc>
          <w:tcPr>
            <w:tcW w:w="1440" w:type="dxa"/>
            <w:gridSpan w:val="2"/>
            <w:tcBorders>
              <w:top w:val="nil"/>
              <w:left w:val="single" w:sz="6" w:space="0" w:color="auto"/>
              <w:bottom w:val="single" w:sz="6" w:space="0" w:color="auto"/>
              <w:right w:val="single" w:sz="6" w:space="0" w:color="auto"/>
            </w:tcBorders>
          </w:tcPr>
          <w:p w14:paraId="2ACD181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park within 5-min drive/10-min walk</w:t>
            </w:r>
          </w:p>
          <w:p w14:paraId="1921497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 of parks within 1 mile</w:t>
            </w:r>
          </w:p>
        </w:tc>
        <w:tc>
          <w:tcPr>
            <w:tcW w:w="1080" w:type="dxa"/>
            <w:tcBorders>
              <w:top w:val="nil"/>
              <w:left w:val="single" w:sz="6" w:space="0" w:color="auto"/>
              <w:bottom w:val="single" w:sz="6" w:space="0" w:color="auto"/>
              <w:right w:val="single" w:sz="6" w:space="0" w:color="auto"/>
            </w:tcBorders>
          </w:tcPr>
          <w:p w14:paraId="2D0C86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parks/greenspace polygons</w:t>
            </w:r>
          </w:p>
        </w:tc>
        <w:tc>
          <w:tcPr>
            <w:tcW w:w="1260" w:type="dxa"/>
            <w:tcBorders>
              <w:top w:val="nil"/>
              <w:left w:val="single" w:sz="6" w:space="0" w:color="auto"/>
              <w:bottom w:val="single" w:sz="6" w:space="0" w:color="auto"/>
              <w:right w:val="single" w:sz="6" w:space="0" w:color="auto"/>
            </w:tcBorders>
          </w:tcPr>
          <w:p w14:paraId="5481FA9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Baltimore City Dept. of Planning GIS</w:t>
            </w:r>
          </w:p>
        </w:tc>
        <w:tc>
          <w:tcPr>
            <w:tcW w:w="1377" w:type="dxa"/>
            <w:tcBorders>
              <w:top w:val="nil"/>
              <w:left w:val="single" w:sz="6" w:space="0" w:color="auto"/>
              <w:bottom w:val="single" w:sz="6" w:space="0" w:color="auto"/>
              <w:right w:val="single" w:sz="6" w:space="0" w:color="auto"/>
            </w:tcBorders>
          </w:tcPr>
          <w:p w14:paraId="1977A7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home-centered buffers</w:t>
            </w:r>
          </w:p>
        </w:tc>
        <w:tc>
          <w:tcPr>
            <w:tcW w:w="1143" w:type="dxa"/>
            <w:tcBorders>
              <w:top w:val="nil"/>
              <w:left w:val="single" w:sz="6" w:space="0" w:color="auto"/>
              <w:bottom w:val="single" w:sz="6" w:space="0" w:color="auto"/>
              <w:right w:val="single" w:sz="6" w:space="0" w:color="auto"/>
            </w:tcBorders>
          </w:tcPr>
          <w:p w14:paraId="1E595D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buffer (parks)</w:t>
            </w:r>
          </w:p>
        </w:tc>
        <w:tc>
          <w:tcPr>
            <w:tcW w:w="1253" w:type="dxa"/>
            <w:tcBorders>
              <w:top w:val="nil"/>
              <w:left w:val="single" w:sz="6" w:space="0" w:color="auto"/>
              <w:bottom w:val="single" w:sz="6" w:space="0" w:color="auto"/>
              <w:right w:val="single" w:sz="6" w:space="0" w:color="auto"/>
            </w:tcBorders>
          </w:tcPr>
          <w:p w14:paraId="657744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Individual (home buffer); </w:t>
            </w:r>
          </w:p>
          <w:p w14:paraId="2B8990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clustering by census tract &amp; school</w:t>
            </w:r>
          </w:p>
        </w:tc>
        <w:tc>
          <w:tcPr>
            <w:tcW w:w="1260" w:type="dxa"/>
            <w:tcBorders>
              <w:top w:val="nil"/>
              <w:left w:val="single" w:sz="6" w:space="0" w:color="auto"/>
              <w:bottom w:val="single" w:sz="6" w:space="0" w:color="auto"/>
              <w:right w:val="single" w:sz="6" w:space="0" w:color="auto"/>
            </w:tcBorders>
          </w:tcPr>
          <w:p w14:paraId="576EA72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Weekly MVPA </w:t>
            </w:r>
          </w:p>
          <w:p w14:paraId="4B0EA7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w:t>
            </w:r>
          </w:p>
        </w:tc>
        <w:tc>
          <w:tcPr>
            <w:tcW w:w="1260" w:type="dxa"/>
            <w:tcBorders>
              <w:top w:val="nil"/>
              <w:left w:val="single" w:sz="6" w:space="0" w:color="auto"/>
              <w:bottom w:val="single" w:sz="6" w:space="0" w:color="auto"/>
              <w:right w:val="single" w:sz="6" w:space="0" w:color="auto"/>
            </w:tcBorders>
          </w:tcPr>
          <w:p w14:paraId="0C43A05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(ActiGraph), </w:t>
            </w:r>
          </w:p>
          <w:p w14:paraId="196C0E0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 days</w:t>
            </w:r>
          </w:p>
        </w:tc>
        <w:tc>
          <w:tcPr>
            <w:tcW w:w="1087" w:type="dxa"/>
            <w:tcBorders>
              <w:top w:val="nil"/>
              <w:left w:val="single" w:sz="6" w:space="0" w:color="auto"/>
              <w:bottom w:val="single" w:sz="6" w:space="0" w:color="auto"/>
              <w:right w:val="single" w:sz="6" w:space="0" w:color="auto"/>
            </w:tcBorders>
          </w:tcPr>
          <w:p w14:paraId="616371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Logistic (park use); </w:t>
            </w:r>
          </w:p>
          <w:p w14:paraId="3F17225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mixed effects (MVPA)</w:t>
            </w:r>
          </w:p>
        </w:tc>
        <w:tc>
          <w:tcPr>
            <w:tcW w:w="1260" w:type="dxa"/>
            <w:tcBorders>
              <w:top w:val="nil"/>
              <w:left w:val="single" w:sz="6" w:space="0" w:color="auto"/>
              <w:bottom w:val="single" w:sz="6" w:space="0" w:color="auto"/>
              <w:right w:val="single" w:sz="6" w:space="0" w:color="auto"/>
            </w:tcBorders>
          </w:tcPr>
          <w:p w14:paraId="758E0E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65C647A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02B7C2B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race/ethnicity</w:t>
            </w:r>
          </w:p>
          <w:p w14:paraId="5EB683C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maternal education </w:t>
            </w:r>
          </w:p>
          <w:p w14:paraId="1AEB6A0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+environmental predictors</w:t>
            </w:r>
          </w:p>
        </w:tc>
        <w:tc>
          <w:tcPr>
            <w:tcW w:w="990" w:type="dxa"/>
            <w:tcBorders>
              <w:top w:val="nil"/>
              <w:left w:val="single" w:sz="6" w:space="0" w:color="auto"/>
              <w:bottom w:val="single" w:sz="6" w:space="0" w:color="auto"/>
              <w:right w:val="single" w:sz="6" w:space="0" w:color="auto"/>
            </w:tcBorders>
          </w:tcPr>
          <w:p w14:paraId="54505B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(minutes/week)</w:t>
            </w:r>
          </w:p>
        </w:tc>
        <w:tc>
          <w:tcPr>
            <w:tcW w:w="1440" w:type="dxa"/>
            <w:tcBorders>
              <w:top w:val="nil"/>
              <w:left w:val="single" w:sz="6" w:space="0" w:color="auto"/>
              <w:bottom w:val="single" w:sz="6" w:space="0" w:color="auto"/>
              <w:right w:val="single" w:sz="6" w:space="0" w:color="auto"/>
            </w:tcBorders>
          </w:tcPr>
          <w:p w14:paraId="29BFE68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availability: +38.7 min/week</w:t>
            </w:r>
          </w:p>
        </w:tc>
        <w:tc>
          <w:tcPr>
            <w:tcW w:w="983" w:type="dxa"/>
            <w:tcBorders>
              <w:top w:val="nil"/>
              <w:left w:val="single" w:sz="6" w:space="0" w:color="auto"/>
              <w:bottom w:val="single" w:sz="6" w:space="0" w:color="auto"/>
              <w:right w:val="single" w:sz="6" w:space="0" w:color="auto"/>
            </w:tcBorders>
          </w:tcPr>
          <w:p w14:paraId="41FB35C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 ≈ 22.3</w:t>
            </w:r>
          </w:p>
        </w:tc>
        <w:tc>
          <w:tcPr>
            <w:tcW w:w="997" w:type="dxa"/>
            <w:tcBorders>
              <w:top w:val="nil"/>
              <w:left w:val="single" w:sz="6" w:space="0" w:color="auto"/>
              <w:bottom w:val="single" w:sz="6" w:space="0" w:color="auto"/>
              <w:right w:val="single" w:sz="6" w:space="0" w:color="auto"/>
            </w:tcBorders>
          </w:tcPr>
          <w:p w14:paraId="5D4B461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~0.10 (marginal)</w:t>
            </w:r>
          </w:p>
        </w:tc>
        <w:tc>
          <w:tcPr>
            <w:tcW w:w="1080" w:type="dxa"/>
            <w:tcBorders>
              <w:top w:val="nil"/>
              <w:left w:val="single" w:sz="6" w:space="0" w:color="auto"/>
              <w:bottom w:val="single" w:sz="6" w:space="0" w:color="auto"/>
              <w:right w:val="single" w:sz="6" w:space="0" w:color="auto"/>
            </w:tcBorders>
          </w:tcPr>
          <w:p w14:paraId="2BCC09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CF2149" w:rsidRPr="00B01F30" w14:paraId="5E6D71A2" w14:textId="77777777" w:rsidTr="00AE5170">
        <w:trPr>
          <w:gridAfter w:val="1"/>
          <w:wAfter w:w="8" w:type="dxa"/>
          <w:trHeight w:val="3324"/>
        </w:trPr>
        <w:tc>
          <w:tcPr>
            <w:tcW w:w="990" w:type="dxa"/>
            <w:tcBorders>
              <w:top w:val="nil"/>
              <w:left w:val="single" w:sz="6" w:space="0" w:color="auto"/>
              <w:bottom w:val="single" w:sz="6" w:space="0" w:color="auto"/>
              <w:right w:val="single" w:sz="6" w:space="0" w:color="auto"/>
            </w:tcBorders>
          </w:tcPr>
          <w:p w14:paraId="07C44D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Veitch J. et al.</w:t>
            </w:r>
          </w:p>
          <w:p w14:paraId="10EF30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2021</w:t>
            </w:r>
          </w:p>
        </w:tc>
        <w:tc>
          <w:tcPr>
            <w:tcW w:w="900" w:type="dxa"/>
            <w:tcBorders>
              <w:top w:val="nil"/>
              <w:left w:val="single" w:sz="6" w:space="0" w:color="auto"/>
              <w:bottom w:val="single" w:sz="6" w:space="0" w:color="auto"/>
              <w:right w:val="single" w:sz="6" w:space="0" w:color="auto"/>
            </w:tcBorders>
          </w:tcPr>
          <w:p w14:paraId="4322AF6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900" w:type="dxa"/>
            <w:gridSpan w:val="2"/>
            <w:tcBorders>
              <w:top w:val="nil"/>
              <w:left w:val="single" w:sz="6" w:space="0" w:color="auto"/>
              <w:bottom w:val="single" w:sz="6" w:space="0" w:color="auto"/>
              <w:right w:val="single" w:sz="6" w:space="0" w:color="auto"/>
            </w:tcBorders>
          </w:tcPr>
          <w:p w14:paraId="24B0C7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2CF1EAE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n=1085; </w:t>
            </w:r>
          </w:p>
          <w:p w14:paraId="57CE18D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n=753</w:t>
            </w:r>
          </w:p>
        </w:tc>
        <w:tc>
          <w:tcPr>
            <w:tcW w:w="1080" w:type="dxa"/>
            <w:tcBorders>
              <w:top w:val="nil"/>
              <w:left w:val="single" w:sz="6" w:space="0" w:color="auto"/>
              <w:bottom w:val="single" w:sz="6" w:space="0" w:color="auto"/>
              <w:right w:val="single" w:sz="6" w:space="0" w:color="auto"/>
            </w:tcBorders>
          </w:tcPr>
          <w:p w14:paraId="189B66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living within 5 km of two parks </w:t>
            </w:r>
          </w:p>
          <w:p w14:paraId="1CBB861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parents of children.</w:t>
            </w:r>
          </w:p>
          <w:p w14:paraId="61134AD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2–15 y</w:t>
            </w:r>
          </w:p>
          <w:p w14:paraId="3C2BD0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tc>
        <w:tc>
          <w:tcPr>
            <w:tcW w:w="1440" w:type="dxa"/>
            <w:gridSpan w:val="2"/>
            <w:tcBorders>
              <w:top w:val="nil"/>
              <w:left w:val="single" w:sz="6" w:space="0" w:color="auto"/>
              <w:bottom w:val="single" w:sz="6" w:space="0" w:color="auto"/>
              <w:right w:val="single" w:sz="6" w:space="0" w:color="auto"/>
            </w:tcBorders>
          </w:tcPr>
          <w:p w14:paraId="77E8FF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 time to nearest park;</w:t>
            </w:r>
          </w:p>
          <w:p w14:paraId="40B114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 parks within walking distance (yes/no).</w:t>
            </w:r>
          </w:p>
        </w:tc>
        <w:tc>
          <w:tcPr>
            <w:tcW w:w="1080" w:type="dxa"/>
            <w:tcBorders>
              <w:top w:val="nil"/>
              <w:left w:val="single" w:sz="6" w:space="0" w:color="auto"/>
              <w:bottom w:val="single" w:sz="6" w:space="0" w:color="auto"/>
              <w:right w:val="single" w:sz="6" w:space="0" w:color="auto"/>
            </w:tcBorders>
          </w:tcPr>
          <w:p w14:paraId="645D14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“Neighbourhood” parks; neighbourhood = within a 10–15 min walk from home.</w:t>
            </w:r>
          </w:p>
        </w:tc>
        <w:tc>
          <w:tcPr>
            <w:tcW w:w="1260" w:type="dxa"/>
            <w:tcBorders>
              <w:top w:val="nil"/>
              <w:left w:val="single" w:sz="6" w:space="0" w:color="auto"/>
              <w:bottom w:val="single" w:sz="6" w:space="0" w:color="auto"/>
              <w:right w:val="single" w:sz="6" w:space="0" w:color="auto"/>
            </w:tcBorders>
          </w:tcPr>
          <w:p w14:paraId="61D7BC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survey</w:t>
            </w:r>
          </w:p>
        </w:tc>
        <w:tc>
          <w:tcPr>
            <w:tcW w:w="1377" w:type="dxa"/>
            <w:tcBorders>
              <w:top w:val="nil"/>
              <w:left w:val="single" w:sz="6" w:space="0" w:color="auto"/>
              <w:bottom w:val="single" w:sz="6" w:space="0" w:color="auto"/>
              <w:right w:val="single" w:sz="6" w:space="0" w:color="auto"/>
            </w:tcBorders>
          </w:tcPr>
          <w:p w14:paraId="2C5CAD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walking-time categories (self-report)</w:t>
            </w:r>
          </w:p>
        </w:tc>
        <w:tc>
          <w:tcPr>
            <w:tcW w:w="1143" w:type="dxa"/>
            <w:tcBorders>
              <w:top w:val="nil"/>
              <w:left w:val="single" w:sz="6" w:space="0" w:color="auto"/>
              <w:bottom w:val="single" w:sz="6" w:space="0" w:color="auto"/>
              <w:right w:val="single" w:sz="6" w:space="0" w:color="auto"/>
            </w:tcBorders>
          </w:tcPr>
          <w:p w14:paraId="7A8081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 6–10, 11–20, 21–30, 31+ min; child: walking distance yes/no</w:t>
            </w:r>
          </w:p>
        </w:tc>
        <w:tc>
          <w:tcPr>
            <w:tcW w:w="1253" w:type="dxa"/>
            <w:tcBorders>
              <w:top w:val="nil"/>
              <w:left w:val="single" w:sz="6" w:space="0" w:color="auto"/>
              <w:bottom w:val="single" w:sz="6" w:space="0" w:color="auto"/>
              <w:right w:val="single" w:sz="6" w:space="0" w:color="auto"/>
            </w:tcBorders>
          </w:tcPr>
          <w:p w14:paraId="2EF2CE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respondents.</w:t>
            </w:r>
          </w:p>
        </w:tc>
        <w:tc>
          <w:tcPr>
            <w:tcW w:w="1260" w:type="dxa"/>
            <w:tcBorders>
              <w:top w:val="nil"/>
              <w:left w:val="single" w:sz="6" w:space="0" w:color="auto"/>
              <w:bottom w:val="single" w:sz="6" w:space="0" w:color="auto"/>
              <w:right w:val="single" w:sz="6" w:space="0" w:color="auto"/>
            </w:tcBorders>
          </w:tcPr>
          <w:p w14:paraId="33FA26B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Adults—LTPA (primary), combined TPA+LTPA (secondary); </w:t>
            </w:r>
          </w:p>
          <w:p w14:paraId="1EABACD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Children—time outdoors (primary), days meeting 60-min guideline (secondary).</w:t>
            </w:r>
          </w:p>
        </w:tc>
        <w:tc>
          <w:tcPr>
            <w:tcW w:w="1260" w:type="dxa"/>
            <w:tcBorders>
              <w:top w:val="nil"/>
              <w:left w:val="single" w:sz="6" w:space="0" w:color="auto"/>
              <w:bottom w:val="single" w:sz="6" w:space="0" w:color="auto"/>
              <w:right w:val="single" w:sz="6" w:space="0" w:color="auto"/>
            </w:tcBorders>
          </w:tcPr>
          <w:p w14:paraId="3B12B2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Adults—IPAQ Long Form (self-report); </w:t>
            </w:r>
          </w:p>
          <w:p w14:paraId="5745D04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Children—parent-proxy outdoor time &amp; days meeting guideline (self-report).</w:t>
            </w:r>
          </w:p>
        </w:tc>
        <w:tc>
          <w:tcPr>
            <w:tcW w:w="1087" w:type="dxa"/>
            <w:tcBorders>
              <w:top w:val="nil"/>
              <w:left w:val="single" w:sz="6" w:space="0" w:color="auto"/>
              <w:bottom w:val="single" w:sz="6" w:space="0" w:color="auto"/>
              <w:right w:val="single" w:sz="6" w:space="0" w:color="auto"/>
            </w:tcBorders>
          </w:tcPr>
          <w:p w14:paraId="2C53092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OLS / logistic regression</w:t>
            </w:r>
          </w:p>
        </w:tc>
        <w:tc>
          <w:tcPr>
            <w:tcW w:w="1260" w:type="dxa"/>
            <w:tcBorders>
              <w:top w:val="nil"/>
              <w:left w:val="single" w:sz="6" w:space="0" w:color="auto"/>
              <w:bottom w:val="single" w:sz="6" w:space="0" w:color="auto"/>
              <w:right w:val="single" w:sz="6" w:space="0" w:color="auto"/>
            </w:tcBorders>
          </w:tcPr>
          <w:p w14:paraId="089413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3AC0F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6ACD0EF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57C34F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employment</w:t>
            </w:r>
          </w:p>
          <w:p w14:paraId="7AC715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dog ownership</w:t>
            </w:r>
          </w:p>
          <w:p w14:paraId="4287C40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residential location</w:t>
            </w:r>
          </w:p>
          <w:p w14:paraId="6D78BB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 age/sex, </w:t>
            </w:r>
          </w:p>
          <w:p w14:paraId="4BABDE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 occupation/education</w:t>
            </w:r>
          </w:p>
          <w:p w14:paraId="1B70738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location</w:t>
            </w:r>
          </w:p>
          <w:p w14:paraId="440DC1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 independence walking</w:t>
            </w:r>
          </w:p>
          <w:p w14:paraId="5ED7D19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tc>
        <w:tc>
          <w:tcPr>
            <w:tcW w:w="990" w:type="dxa"/>
            <w:tcBorders>
              <w:top w:val="nil"/>
              <w:left w:val="single" w:sz="6" w:space="0" w:color="auto"/>
              <w:bottom w:val="single" w:sz="6" w:space="0" w:color="auto"/>
              <w:right w:val="single" w:sz="6" w:space="0" w:color="auto"/>
            </w:tcBorders>
          </w:tcPr>
          <w:p w14:paraId="1891518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Standardized indirect effect (a×b via park visitation)</w:t>
            </w:r>
          </w:p>
        </w:tc>
        <w:tc>
          <w:tcPr>
            <w:tcW w:w="1440" w:type="dxa"/>
            <w:tcBorders>
              <w:top w:val="nil"/>
              <w:left w:val="single" w:sz="6" w:space="0" w:color="auto"/>
              <w:bottom w:val="single" w:sz="6" w:space="0" w:color="auto"/>
              <w:right w:val="single" w:sz="6" w:space="0" w:color="auto"/>
            </w:tcBorders>
          </w:tcPr>
          <w:p w14:paraId="19F235B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LTPA (primary): 0.028</w:t>
            </w:r>
          </w:p>
          <w:p w14:paraId="7C0356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7161A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Time outdoors: 0.017 (95% CI 0.005–0.037)</w:t>
            </w:r>
          </w:p>
          <w:p w14:paraId="16133B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Days ≥60 min: 0.025 (95% CI 0.006–0.054)</w:t>
            </w:r>
          </w:p>
        </w:tc>
        <w:tc>
          <w:tcPr>
            <w:tcW w:w="983" w:type="dxa"/>
            <w:tcBorders>
              <w:top w:val="nil"/>
              <w:left w:val="single" w:sz="6" w:space="0" w:color="auto"/>
              <w:bottom w:val="single" w:sz="6" w:space="0" w:color="auto"/>
              <w:right w:val="single" w:sz="6" w:space="0" w:color="auto"/>
            </w:tcBorders>
          </w:tcPr>
          <w:p w14:paraId="7AE73B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0.014–0.045.</w:t>
            </w:r>
          </w:p>
        </w:tc>
        <w:tc>
          <w:tcPr>
            <w:tcW w:w="997" w:type="dxa"/>
            <w:tcBorders>
              <w:top w:val="nil"/>
              <w:left w:val="single" w:sz="6" w:space="0" w:color="auto"/>
              <w:bottom w:val="single" w:sz="6" w:space="0" w:color="auto"/>
              <w:right w:val="single" w:sz="6" w:space="0" w:color="auto"/>
            </w:tcBorders>
          </w:tcPr>
          <w:p w14:paraId="13E8D49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Significant (CI excludes 0).</w:t>
            </w:r>
          </w:p>
        </w:tc>
        <w:tc>
          <w:tcPr>
            <w:tcW w:w="1080" w:type="dxa"/>
            <w:tcBorders>
              <w:top w:val="nil"/>
              <w:left w:val="single" w:sz="6" w:space="0" w:color="auto"/>
              <w:bottom w:val="single" w:sz="6" w:space="0" w:color="auto"/>
              <w:right w:val="single" w:sz="6" w:space="0" w:color="auto"/>
            </w:tcBorders>
          </w:tcPr>
          <w:p w14:paraId="66301A4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CF2149" w:rsidRPr="00B01F30" w14:paraId="59A34723" w14:textId="77777777" w:rsidTr="00AE5170">
        <w:trPr>
          <w:gridAfter w:val="1"/>
          <w:wAfter w:w="8" w:type="dxa"/>
          <w:trHeight w:val="3658"/>
        </w:trPr>
        <w:tc>
          <w:tcPr>
            <w:tcW w:w="990" w:type="dxa"/>
            <w:tcBorders>
              <w:top w:val="nil"/>
              <w:left w:val="single" w:sz="6" w:space="0" w:color="auto"/>
              <w:bottom w:val="single" w:sz="6" w:space="0" w:color="auto"/>
              <w:right w:val="single" w:sz="6" w:space="0" w:color="auto"/>
            </w:tcBorders>
          </w:tcPr>
          <w:p w14:paraId="27AD2B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Colom et al.,</w:t>
            </w:r>
          </w:p>
          <w:p w14:paraId="395CF55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2018</w:t>
            </w:r>
          </w:p>
        </w:tc>
        <w:tc>
          <w:tcPr>
            <w:tcW w:w="900" w:type="dxa"/>
            <w:tcBorders>
              <w:top w:val="nil"/>
              <w:left w:val="single" w:sz="6" w:space="0" w:color="auto"/>
              <w:bottom w:val="single" w:sz="6" w:space="0" w:color="auto"/>
              <w:right w:val="single" w:sz="6" w:space="0" w:color="auto"/>
            </w:tcBorders>
          </w:tcPr>
          <w:p w14:paraId="3E3E099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Spain</w:t>
            </w:r>
          </w:p>
        </w:tc>
        <w:tc>
          <w:tcPr>
            <w:tcW w:w="900" w:type="dxa"/>
            <w:gridSpan w:val="2"/>
            <w:tcBorders>
              <w:top w:val="nil"/>
              <w:left w:val="single" w:sz="6" w:space="0" w:color="auto"/>
              <w:bottom w:val="single" w:sz="6" w:space="0" w:color="auto"/>
              <w:right w:val="single" w:sz="6" w:space="0" w:color="auto"/>
            </w:tcBorders>
          </w:tcPr>
          <w:p w14:paraId="6D01C12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75C38A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428</w:t>
            </w:r>
          </w:p>
        </w:tc>
        <w:tc>
          <w:tcPr>
            <w:tcW w:w="1080" w:type="dxa"/>
            <w:tcBorders>
              <w:top w:val="nil"/>
              <w:left w:val="single" w:sz="6" w:space="0" w:color="auto"/>
              <w:bottom w:val="single" w:sz="6" w:space="0" w:color="auto"/>
              <w:right w:val="single" w:sz="6" w:space="0" w:color="auto"/>
            </w:tcBorders>
          </w:tcPr>
          <w:p w14:paraId="27F65B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Older adults at high cardiovascular risk</w:t>
            </w:r>
          </w:p>
          <w:p w14:paraId="3112A9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Men 55–80</w:t>
            </w:r>
          </w:p>
          <w:p w14:paraId="33F2DE4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Women 60–80</w:t>
            </w:r>
          </w:p>
        </w:tc>
        <w:tc>
          <w:tcPr>
            <w:tcW w:w="1440" w:type="dxa"/>
            <w:gridSpan w:val="2"/>
            <w:tcBorders>
              <w:top w:val="nil"/>
              <w:left w:val="single" w:sz="6" w:space="0" w:color="auto"/>
              <w:bottom w:val="single" w:sz="6" w:space="0" w:color="auto"/>
              <w:right w:val="single" w:sz="6" w:space="0" w:color="auto"/>
            </w:tcBorders>
          </w:tcPr>
          <w:p w14:paraId="07470DB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Walkable-network distance to nearest POS</w:t>
            </w:r>
          </w:p>
          <w:p w14:paraId="4BE5BB8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Count and total area of POS within walkable-network buffers</w:t>
            </w:r>
          </w:p>
        </w:tc>
        <w:tc>
          <w:tcPr>
            <w:tcW w:w="1080" w:type="dxa"/>
            <w:tcBorders>
              <w:top w:val="nil"/>
              <w:left w:val="single" w:sz="6" w:space="0" w:color="auto"/>
              <w:bottom w:val="single" w:sz="6" w:space="0" w:color="auto"/>
              <w:right w:val="single" w:sz="6" w:space="0" w:color="auto"/>
            </w:tcBorders>
          </w:tcPr>
          <w:p w14:paraId="4757538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open spaces</w:t>
            </w:r>
          </w:p>
        </w:tc>
        <w:tc>
          <w:tcPr>
            <w:tcW w:w="1260" w:type="dxa"/>
            <w:tcBorders>
              <w:top w:val="nil"/>
              <w:left w:val="single" w:sz="6" w:space="0" w:color="auto"/>
              <w:bottom w:val="single" w:sz="6" w:space="0" w:color="auto"/>
              <w:right w:val="single" w:sz="6" w:space="0" w:color="auto"/>
            </w:tcBorders>
          </w:tcPr>
          <w:p w14:paraId="7C2B37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City of Palma Municipal Sports Institute (sports), </w:t>
            </w:r>
          </w:p>
          <w:p w14:paraId="20F1C0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City Council Dept. of Infrastructure &amp; Accessibility (parks), </w:t>
            </w:r>
          </w:p>
          <w:p w14:paraId="757A61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Balearic Islands Coastal Observation &amp; Forecasting System (beaches)</w:t>
            </w:r>
          </w:p>
        </w:tc>
        <w:tc>
          <w:tcPr>
            <w:tcW w:w="1377" w:type="dxa"/>
            <w:tcBorders>
              <w:top w:val="nil"/>
              <w:left w:val="single" w:sz="6" w:space="0" w:color="auto"/>
              <w:bottom w:val="single" w:sz="6" w:space="0" w:color="auto"/>
              <w:right w:val="single" w:sz="6" w:space="0" w:color="auto"/>
            </w:tcBorders>
          </w:tcPr>
          <w:p w14:paraId="7305E5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Walkable street-network distance/buffers</w:t>
            </w:r>
          </w:p>
        </w:tc>
        <w:tc>
          <w:tcPr>
            <w:tcW w:w="1143" w:type="dxa"/>
            <w:tcBorders>
              <w:top w:val="nil"/>
              <w:left w:val="single" w:sz="6" w:space="0" w:color="auto"/>
              <w:bottom w:val="single" w:sz="6" w:space="0" w:color="auto"/>
              <w:right w:val="single" w:sz="6" w:space="0" w:color="auto"/>
            </w:tcBorders>
          </w:tcPr>
          <w:p w14:paraId="4440B5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0.5 km, 1 km, 1.5 km network buffers; </w:t>
            </w:r>
          </w:p>
          <w:p w14:paraId="01802D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modeled per 100 m</w:t>
            </w:r>
          </w:p>
        </w:tc>
        <w:tc>
          <w:tcPr>
            <w:tcW w:w="1253" w:type="dxa"/>
            <w:tcBorders>
              <w:top w:val="nil"/>
              <w:left w:val="single" w:sz="6" w:space="0" w:color="auto"/>
              <w:bottom w:val="single" w:sz="6" w:space="0" w:color="auto"/>
              <w:right w:val="single" w:sz="6" w:space="0" w:color="auto"/>
            </w:tcBorders>
          </w:tcPr>
          <w:p w14:paraId="2D67B2F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residential address</w:t>
            </w:r>
          </w:p>
        </w:tc>
        <w:tc>
          <w:tcPr>
            <w:tcW w:w="1260" w:type="dxa"/>
            <w:tcBorders>
              <w:top w:val="nil"/>
              <w:left w:val="single" w:sz="6" w:space="0" w:color="auto"/>
              <w:bottom w:val="single" w:sz="6" w:space="0" w:color="auto"/>
              <w:right w:val="single" w:sz="6" w:space="0" w:color="auto"/>
            </w:tcBorders>
          </w:tcPr>
          <w:p w14:paraId="7E4A22A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LTPA; </w:t>
            </w:r>
          </w:p>
          <w:p w14:paraId="7D20FD8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Light LTPA;</w:t>
            </w:r>
          </w:p>
          <w:p w14:paraId="75AA3E5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Moderate-to-Vigorous LTPA (MVPA)</w:t>
            </w:r>
          </w:p>
        </w:tc>
        <w:tc>
          <w:tcPr>
            <w:tcW w:w="1260" w:type="dxa"/>
            <w:tcBorders>
              <w:top w:val="nil"/>
              <w:left w:val="single" w:sz="6" w:space="0" w:color="auto"/>
              <w:bottom w:val="single" w:sz="6" w:space="0" w:color="auto"/>
              <w:right w:val="single" w:sz="6" w:space="0" w:color="auto"/>
            </w:tcBorders>
          </w:tcPr>
          <w:p w14:paraId="1F2763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Validated Spanish Minnesota Leisure-Time Physical Activity Questionnaire (MET·min/day)</w:t>
            </w:r>
          </w:p>
          <w:p w14:paraId="451D5C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7" w:type="dxa"/>
            <w:tcBorders>
              <w:top w:val="nil"/>
              <w:left w:val="single" w:sz="6" w:space="0" w:color="auto"/>
              <w:bottom w:val="single" w:sz="6" w:space="0" w:color="auto"/>
              <w:right w:val="single" w:sz="6" w:space="0" w:color="auto"/>
            </w:tcBorders>
          </w:tcPr>
          <w:p w14:paraId="127B448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linear regression</w:t>
            </w:r>
          </w:p>
        </w:tc>
        <w:tc>
          <w:tcPr>
            <w:tcW w:w="1260" w:type="dxa"/>
            <w:tcBorders>
              <w:top w:val="nil"/>
              <w:left w:val="single" w:sz="6" w:space="0" w:color="auto"/>
              <w:bottom w:val="single" w:sz="6" w:space="0" w:color="auto"/>
              <w:right w:val="single" w:sz="6" w:space="0" w:color="auto"/>
            </w:tcBorders>
          </w:tcPr>
          <w:p w14:paraId="1DFFE9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7DA019F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21002C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3B483AA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5CFE09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smoking</w:t>
            </w:r>
          </w:p>
        </w:tc>
        <w:tc>
          <w:tcPr>
            <w:tcW w:w="990" w:type="dxa"/>
            <w:tcBorders>
              <w:top w:val="nil"/>
              <w:left w:val="single" w:sz="6" w:space="0" w:color="auto"/>
              <w:bottom w:val="single" w:sz="6" w:space="0" w:color="auto"/>
              <w:right w:val="single" w:sz="6" w:space="0" w:color="auto"/>
            </w:tcBorders>
          </w:tcPr>
          <w:p w14:paraId="18B6007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1440" w:type="dxa"/>
            <w:tcBorders>
              <w:top w:val="nil"/>
              <w:left w:val="single" w:sz="6" w:space="0" w:color="auto"/>
              <w:bottom w:val="single" w:sz="6" w:space="0" w:color="auto"/>
              <w:right w:val="single" w:sz="6" w:space="0" w:color="auto"/>
            </w:tcBorders>
          </w:tcPr>
          <w:p w14:paraId="193DC1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For total LTPA vs distance to nearest park: </w:t>
            </w:r>
          </w:p>
          <w:p w14:paraId="71393D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13.39 per 100 m</w:t>
            </w:r>
          </w:p>
        </w:tc>
        <w:tc>
          <w:tcPr>
            <w:tcW w:w="983" w:type="dxa"/>
            <w:tcBorders>
              <w:top w:val="nil"/>
              <w:left w:val="single" w:sz="6" w:space="0" w:color="auto"/>
              <w:bottom w:val="single" w:sz="6" w:space="0" w:color="auto"/>
              <w:right w:val="single" w:sz="6" w:space="0" w:color="auto"/>
            </w:tcBorders>
          </w:tcPr>
          <w:p w14:paraId="3BF3DB6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4.20 to 22.59</w:t>
            </w:r>
          </w:p>
        </w:tc>
        <w:tc>
          <w:tcPr>
            <w:tcW w:w="997" w:type="dxa"/>
            <w:tcBorders>
              <w:top w:val="nil"/>
              <w:left w:val="single" w:sz="6" w:space="0" w:color="auto"/>
              <w:bottom w:val="single" w:sz="6" w:space="0" w:color="auto"/>
              <w:right w:val="single" w:sz="6" w:space="0" w:color="auto"/>
            </w:tcBorders>
          </w:tcPr>
          <w:p w14:paraId="15349D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0.045</w:t>
            </w:r>
          </w:p>
        </w:tc>
        <w:tc>
          <w:tcPr>
            <w:tcW w:w="1080" w:type="dxa"/>
            <w:tcBorders>
              <w:top w:val="nil"/>
              <w:left w:val="single" w:sz="6" w:space="0" w:color="auto"/>
              <w:bottom w:val="single" w:sz="6" w:space="0" w:color="auto"/>
              <w:right w:val="single" w:sz="6" w:space="0" w:color="auto"/>
            </w:tcBorders>
          </w:tcPr>
          <w:p w14:paraId="1E9CD2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p w14:paraId="013B43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(greater distance to park ↔ higher PA)</w:t>
            </w:r>
          </w:p>
        </w:tc>
      </w:tr>
      <w:tr w:rsidR="00CF2149" w:rsidRPr="00B01F30" w14:paraId="395CC0DA" w14:textId="77777777" w:rsidTr="00AE5170">
        <w:trPr>
          <w:gridAfter w:val="1"/>
          <w:wAfter w:w="8" w:type="dxa"/>
          <w:trHeight w:val="3396"/>
        </w:trPr>
        <w:tc>
          <w:tcPr>
            <w:tcW w:w="990" w:type="dxa"/>
            <w:tcBorders>
              <w:top w:val="nil"/>
              <w:left w:val="single" w:sz="6" w:space="0" w:color="auto"/>
              <w:bottom w:val="single" w:sz="6" w:space="0" w:color="auto"/>
              <w:right w:val="single" w:sz="6" w:space="0" w:color="auto"/>
            </w:tcBorders>
          </w:tcPr>
          <w:p w14:paraId="67ECE58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Kondo K., et al.</w:t>
            </w:r>
          </w:p>
          <w:p w14:paraId="062D585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2009</w:t>
            </w:r>
          </w:p>
        </w:tc>
        <w:tc>
          <w:tcPr>
            <w:tcW w:w="900" w:type="dxa"/>
            <w:tcBorders>
              <w:top w:val="nil"/>
              <w:left w:val="single" w:sz="6" w:space="0" w:color="auto"/>
              <w:bottom w:val="single" w:sz="6" w:space="0" w:color="auto"/>
              <w:right w:val="single" w:sz="6" w:space="0" w:color="auto"/>
            </w:tcBorders>
          </w:tcPr>
          <w:p w14:paraId="14A39AB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Japan</w:t>
            </w:r>
          </w:p>
        </w:tc>
        <w:tc>
          <w:tcPr>
            <w:tcW w:w="900" w:type="dxa"/>
            <w:gridSpan w:val="2"/>
            <w:tcBorders>
              <w:top w:val="nil"/>
              <w:left w:val="single" w:sz="6" w:space="0" w:color="auto"/>
              <w:bottom w:val="single" w:sz="6" w:space="0" w:color="auto"/>
              <w:right w:val="single" w:sz="6" w:space="0" w:color="auto"/>
            </w:tcBorders>
          </w:tcPr>
          <w:p w14:paraId="63740B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5FA06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156 (questionnaire); </w:t>
            </w:r>
          </w:p>
          <w:p w14:paraId="13CE6A7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112 (accelerometer subset)</w:t>
            </w:r>
          </w:p>
        </w:tc>
        <w:tc>
          <w:tcPr>
            <w:tcW w:w="1080" w:type="dxa"/>
            <w:tcBorders>
              <w:top w:val="nil"/>
              <w:left w:val="single" w:sz="6" w:space="0" w:color="auto"/>
              <w:bottom w:val="single" w:sz="6" w:space="0" w:color="auto"/>
              <w:right w:val="single" w:sz="6" w:space="0" w:color="auto"/>
            </w:tcBorders>
          </w:tcPr>
          <w:p w14:paraId="70D821E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2E98F18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30–69 years</w:t>
            </w:r>
          </w:p>
        </w:tc>
        <w:tc>
          <w:tcPr>
            <w:tcW w:w="1440" w:type="dxa"/>
            <w:gridSpan w:val="2"/>
            <w:tcBorders>
              <w:top w:val="nil"/>
              <w:left w:val="single" w:sz="6" w:space="0" w:color="auto"/>
              <w:bottom w:val="single" w:sz="6" w:space="0" w:color="auto"/>
              <w:right w:val="single" w:sz="6" w:space="0" w:color="auto"/>
            </w:tcBorders>
          </w:tcPr>
          <w:p w14:paraId="3C77CA9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Objective GIS NE (within 500 m) </w:t>
            </w:r>
          </w:p>
          <w:p w14:paraId="5AA42CA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NE (ANEWS)</w:t>
            </w:r>
          </w:p>
          <w:p w14:paraId="675180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accessibility to facilities within 10-min walk (incl. parks)</w:t>
            </w:r>
          </w:p>
        </w:tc>
        <w:tc>
          <w:tcPr>
            <w:tcW w:w="1080" w:type="dxa"/>
            <w:tcBorders>
              <w:top w:val="nil"/>
              <w:left w:val="single" w:sz="6" w:space="0" w:color="auto"/>
              <w:bottom w:val="single" w:sz="6" w:space="0" w:color="auto"/>
              <w:right w:val="single" w:sz="6" w:space="0" w:color="auto"/>
            </w:tcBorders>
          </w:tcPr>
          <w:p w14:paraId="3CB597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parks (within ~10-min walk)</w:t>
            </w:r>
          </w:p>
        </w:tc>
        <w:tc>
          <w:tcPr>
            <w:tcW w:w="1260" w:type="dxa"/>
            <w:tcBorders>
              <w:top w:val="nil"/>
              <w:left w:val="single" w:sz="6" w:space="0" w:color="auto"/>
              <w:bottom w:val="single" w:sz="6" w:space="0" w:color="auto"/>
              <w:right w:val="single" w:sz="6" w:space="0" w:color="auto"/>
            </w:tcBorders>
          </w:tcPr>
          <w:p w14:paraId="1D93E3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accessibility (questionnaire)</w:t>
            </w:r>
          </w:p>
          <w:p w14:paraId="4D88C0B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land-use mapped via field survey + GIS</w:t>
            </w:r>
          </w:p>
        </w:tc>
        <w:tc>
          <w:tcPr>
            <w:tcW w:w="1377" w:type="dxa"/>
            <w:tcBorders>
              <w:top w:val="nil"/>
              <w:left w:val="single" w:sz="6" w:space="0" w:color="auto"/>
              <w:bottom w:val="single" w:sz="6" w:space="0" w:color="auto"/>
              <w:right w:val="single" w:sz="6" w:space="0" w:color="auto"/>
            </w:tcBorders>
          </w:tcPr>
          <w:p w14:paraId="1256DA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Euclidean buffer (ArcGIS 9)</w:t>
            </w:r>
          </w:p>
          <w:p w14:paraId="291B1A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ANEWS (10–15 min walk) </w:t>
            </w:r>
          </w:p>
          <w:p w14:paraId="0FD1F2F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facility accessibility (10-min walk, perceived)</w:t>
            </w:r>
          </w:p>
        </w:tc>
        <w:tc>
          <w:tcPr>
            <w:tcW w:w="1143" w:type="dxa"/>
            <w:tcBorders>
              <w:top w:val="nil"/>
              <w:left w:val="single" w:sz="6" w:space="0" w:color="auto"/>
              <w:bottom w:val="single" w:sz="6" w:space="0" w:color="auto"/>
              <w:right w:val="single" w:sz="6" w:space="0" w:color="auto"/>
            </w:tcBorders>
          </w:tcPr>
          <w:p w14:paraId="04628AA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High vs low (median split)</w:t>
            </w:r>
          </w:p>
          <w:p w14:paraId="536E06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10-min walk; 500 m buffer</w:t>
            </w:r>
          </w:p>
        </w:tc>
        <w:tc>
          <w:tcPr>
            <w:tcW w:w="1253" w:type="dxa"/>
            <w:tcBorders>
              <w:top w:val="nil"/>
              <w:left w:val="single" w:sz="6" w:space="0" w:color="auto"/>
              <w:bottom w:val="single" w:sz="6" w:space="0" w:color="auto"/>
              <w:right w:val="single" w:sz="6" w:space="0" w:color="auto"/>
            </w:tcBorders>
          </w:tcPr>
          <w:p w14:paraId="3F09BF6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home neighborhood (500 m radius)</w:t>
            </w:r>
          </w:p>
        </w:tc>
        <w:tc>
          <w:tcPr>
            <w:tcW w:w="1260" w:type="dxa"/>
            <w:tcBorders>
              <w:top w:val="nil"/>
              <w:left w:val="single" w:sz="6" w:space="0" w:color="auto"/>
              <w:bottom w:val="single" w:sz="6" w:space="0" w:color="auto"/>
              <w:right w:val="single" w:sz="6" w:space="0" w:color="auto"/>
            </w:tcBorders>
          </w:tcPr>
          <w:p w14:paraId="74007C9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steps/day</w:t>
            </w:r>
          </w:p>
          <w:p w14:paraId="51B903E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walking for leisure</w:t>
            </w:r>
          </w:p>
          <w:p w14:paraId="41D7746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walking for transport</w:t>
            </w:r>
          </w:p>
          <w:p w14:paraId="0198A7A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cycling for transport</w:t>
            </w:r>
          </w:p>
        </w:tc>
        <w:tc>
          <w:tcPr>
            <w:tcW w:w="1260" w:type="dxa"/>
            <w:tcBorders>
              <w:top w:val="nil"/>
              <w:left w:val="single" w:sz="6" w:space="0" w:color="auto"/>
              <w:bottom w:val="single" w:sz="6" w:space="0" w:color="auto"/>
              <w:right w:val="single" w:sz="6" w:space="0" w:color="auto"/>
            </w:tcBorders>
          </w:tcPr>
          <w:p w14:paraId="586543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(steps)</w:t>
            </w:r>
          </w:p>
          <w:p w14:paraId="3FE24E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 (self-report, min/day)</w:t>
            </w:r>
          </w:p>
        </w:tc>
        <w:tc>
          <w:tcPr>
            <w:tcW w:w="1087" w:type="dxa"/>
            <w:tcBorders>
              <w:top w:val="nil"/>
              <w:left w:val="single" w:sz="6" w:space="0" w:color="auto"/>
              <w:bottom w:val="single" w:sz="6" w:space="0" w:color="auto"/>
              <w:right w:val="single" w:sz="6" w:space="0" w:color="auto"/>
            </w:tcBorders>
          </w:tcPr>
          <w:p w14:paraId="67D7D2A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ANCOVA</w:t>
            </w:r>
          </w:p>
        </w:tc>
        <w:tc>
          <w:tcPr>
            <w:tcW w:w="1260" w:type="dxa"/>
            <w:tcBorders>
              <w:top w:val="nil"/>
              <w:left w:val="single" w:sz="6" w:space="0" w:color="auto"/>
              <w:bottom w:val="single" w:sz="6" w:space="0" w:color="auto"/>
              <w:right w:val="single" w:sz="6" w:space="0" w:color="auto"/>
            </w:tcBorders>
          </w:tcPr>
          <w:p w14:paraId="5DB963C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2C34AC1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(and sex in some models)</w:t>
            </w:r>
          </w:p>
        </w:tc>
        <w:tc>
          <w:tcPr>
            <w:tcW w:w="990" w:type="dxa"/>
            <w:tcBorders>
              <w:top w:val="nil"/>
              <w:left w:val="single" w:sz="6" w:space="0" w:color="auto"/>
              <w:bottom w:val="single" w:sz="6" w:space="0" w:color="auto"/>
              <w:right w:val="single" w:sz="6" w:space="0" w:color="auto"/>
            </w:tcBorders>
          </w:tcPr>
          <w:p w14:paraId="7BBAEB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Adjusted mean difference (accessible vs. not)</w:t>
            </w:r>
          </w:p>
        </w:tc>
        <w:tc>
          <w:tcPr>
            <w:tcW w:w="1440" w:type="dxa"/>
            <w:tcBorders>
              <w:top w:val="nil"/>
              <w:left w:val="single" w:sz="6" w:space="0" w:color="auto"/>
              <w:bottom w:val="single" w:sz="6" w:space="0" w:color="auto"/>
              <w:right w:val="single" w:sz="6" w:space="0" w:color="auto"/>
            </w:tcBorders>
          </w:tcPr>
          <w:p w14:paraId="4CE5FB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Male leisure walking with park access: 26.2 vs 2.7 min/day → Δ = +23.5 min/day</w:t>
            </w:r>
          </w:p>
          <w:p w14:paraId="2DDD0E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Women — Total steps (accelerometer)</w:t>
            </w:r>
          </w:p>
          <w:p w14:paraId="148B73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4E944F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Awareness of “walking places”: 9,488 vs 7,957 steps/day (high vs low), p&lt;0.05.</w:t>
            </w:r>
          </w:p>
        </w:tc>
        <w:tc>
          <w:tcPr>
            <w:tcW w:w="983" w:type="dxa"/>
            <w:tcBorders>
              <w:top w:val="nil"/>
              <w:left w:val="single" w:sz="6" w:space="0" w:color="auto"/>
              <w:bottom w:val="single" w:sz="6" w:space="0" w:color="auto"/>
              <w:right w:val="single" w:sz="6" w:space="0" w:color="auto"/>
            </w:tcBorders>
          </w:tcPr>
          <w:p w14:paraId="4406D95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Group SE ~6.4–6.9</w:t>
            </w:r>
          </w:p>
        </w:tc>
        <w:tc>
          <w:tcPr>
            <w:tcW w:w="997" w:type="dxa"/>
            <w:tcBorders>
              <w:top w:val="nil"/>
              <w:left w:val="single" w:sz="6" w:space="0" w:color="auto"/>
              <w:bottom w:val="single" w:sz="6" w:space="0" w:color="auto"/>
              <w:right w:val="single" w:sz="6" w:space="0" w:color="auto"/>
            </w:tcBorders>
          </w:tcPr>
          <w:p w14:paraId="55CBFDB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 0.05</w:t>
            </w:r>
          </w:p>
        </w:tc>
        <w:tc>
          <w:tcPr>
            <w:tcW w:w="1080" w:type="dxa"/>
            <w:tcBorders>
              <w:top w:val="nil"/>
              <w:left w:val="single" w:sz="6" w:space="0" w:color="auto"/>
              <w:bottom w:val="single" w:sz="6" w:space="0" w:color="auto"/>
              <w:right w:val="single" w:sz="6" w:space="0" w:color="auto"/>
            </w:tcBorders>
          </w:tcPr>
          <w:p w14:paraId="0DD1815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(park access ↑ leisure walking in males)</w:t>
            </w:r>
          </w:p>
        </w:tc>
      </w:tr>
      <w:tr w:rsidR="00CF2149" w:rsidRPr="00B01F30" w14:paraId="264BC042" w14:textId="77777777" w:rsidTr="00AE5170">
        <w:trPr>
          <w:gridAfter w:val="1"/>
          <w:wAfter w:w="8" w:type="dxa"/>
          <w:trHeight w:val="2343"/>
        </w:trPr>
        <w:tc>
          <w:tcPr>
            <w:tcW w:w="990" w:type="dxa"/>
            <w:tcBorders>
              <w:top w:val="nil"/>
              <w:left w:val="single" w:sz="6" w:space="0" w:color="auto"/>
              <w:bottom w:val="single" w:sz="6" w:space="0" w:color="auto"/>
              <w:right w:val="single" w:sz="6" w:space="0" w:color="auto"/>
            </w:tcBorders>
          </w:tcPr>
          <w:p w14:paraId="365F2C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Prins et al.,</w:t>
            </w:r>
          </w:p>
          <w:p w14:paraId="7C3C46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2011</w:t>
            </w:r>
          </w:p>
        </w:tc>
        <w:tc>
          <w:tcPr>
            <w:tcW w:w="900" w:type="dxa"/>
            <w:tcBorders>
              <w:top w:val="nil"/>
              <w:left w:val="single" w:sz="6" w:space="0" w:color="auto"/>
              <w:bottom w:val="single" w:sz="6" w:space="0" w:color="auto"/>
              <w:right w:val="single" w:sz="6" w:space="0" w:color="auto"/>
            </w:tcBorders>
          </w:tcPr>
          <w:p w14:paraId="2F5F23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900" w:type="dxa"/>
            <w:gridSpan w:val="2"/>
            <w:tcBorders>
              <w:top w:val="nil"/>
              <w:left w:val="single" w:sz="6" w:space="0" w:color="auto"/>
              <w:bottom w:val="single" w:sz="6" w:space="0" w:color="auto"/>
              <w:right w:val="single" w:sz="6" w:space="0" w:color="auto"/>
            </w:tcBorders>
          </w:tcPr>
          <w:p w14:paraId="6FE92A9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F14F0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209</w:t>
            </w:r>
          </w:p>
        </w:tc>
        <w:tc>
          <w:tcPr>
            <w:tcW w:w="1080" w:type="dxa"/>
            <w:tcBorders>
              <w:top w:val="nil"/>
              <w:left w:val="single" w:sz="6" w:space="0" w:color="auto"/>
              <w:bottom w:val="single" w:sz="6" w:space="0" w:color="auto"/>
              <w:right w:val="single" w:sz="6" w:space="0" w:color="auto"/>
            </w:tcBorders>
          </w:tcPr>
          <w:p w14:paraId="414CD7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Adolescents</w:t>
            </w:r>
          </w:p>
          <w:p w14:paraId="3C0203C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(school-based cohort).</w:t>
            </w:r>
          </w:p>
          <w:p w14:paraId="34573E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14.5 ± 0.6 years.</w:t>
            </w:r>
          </w:p>
        </w:tc>
        <w:tc>
          <w:tcPr>
            <w:tcW w:w="1440" w:type="dxa"/>
            <w:gridSpan w:val="2"/>
            <w:tcBorders>
              <w:top w:val="nil"/>
              <w:left w:val="single" w:sz="6" w:space="0" w:color="auto"/>
              <w:bottom w:val="single" w:sz="6" w:space="0" w:color="auto"/>
              <w:right w:val="single" w:sz="6" w:space="0" w:color="auto"/>
            </w:tcBorders>
          </w:tcPr>
          <w:p w14:paraId="1211656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Counts of parks and sports facilities within </w:t>
            </w:r>
          </w:p>
          <w:p w14:paraId="406C61A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400 m, </w:t>
            </w:r>
          </w:p>
          <w:p w14:paraId="18EB55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800 m, </w:t>
            </w:r>
          </w:p>
          <w:p w14:paraId="172F95D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2000 m of home (Euclidean buffers).</w:t>
            </w:r>
          </w:p>
        </w:tc>
        <w:tc>
          <w:tcPr>
            <w:tcW w:w="1080" w:type="dxa"/>
            <w:tcBorders>
              <w:top w:val="nil"/>
              <w:left w:val="single" w:sz="6" w:space="0" w:color="auto"/>
              <w:bottom w:val="single" w:sz="6" w:space="0" w:color="auto"/>
              <w:right w:val="single" w:sz="6" w:space="0" w:color="auto"/>
            </w:tcBorders>
          </w:tcPr>
          <w:p w14:paraId="179306B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parks/open space</w:t>
            </w:r>
          </w:p>
        </w:tc>
        <w:tc>
          <w:tcPr>
            <w:tcW w:w="1260" w:type="dxa"/>
            <w:tcBorders>
              <w:top w:val="nil"/>
              <w:left w:val="single" w:sz="6" w:space="0" w:color="auto"/>
              <w:bottom w:val="single" w:sz="6" w:space="0" w:color="auto"/>
              <w:right w:val="single" w:sz="6" w:space="0" w:color="auto"/>
            </w:tcBorders>
          </w:tcPr>
          <w:p w14:paraId="7E7525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pen Space 2002 GIS dataset</w:t>
            </w:r>
          </w:p>
        </w:tc>
        <w:tc>
          <w:tcPr>
            <w:tcW w:w="1377" w:type="dxa"/>
            <w:tcBorders>
              <w:top w:val="nil"/>
              <w:left w:val="single" w:sz="6" w:space="0" w:color="auto"/>
              <w:bottom w:val="single" w:sz="6" w:space="0" w:color="auto"/>
              <w:right w:val="single" w:sz="6" w:space="0" w:color="auto"/>
            </w:tcBorders>
          </w:tcPr>
          <w:p w14:paraId="6F37C6F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buffer counts around geocoded residence.</w:t>
            </w:r>
          </w:p>
        </w:tc>
        <w:tc>
          <w:tcPr>
            <w:tcW w:w="1143" w:type="dxa"/>
            <w:tcBorders>
              <w:top w:val="nil"/>
              <w:left w:val="single" w:sz="6" w:space="0" w:color="auto"/>
              <w:bottom w:val="single" w:sz="6" w:space="0" w:color="auto"/>
              <w:right w:val="single" w:sz="6" w:space="0" w:color="auto"/>
            </w:tcBorders>
          </w:tcPr>
          <w:p w14:paraId="49D9EDF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253" w:type="dxa"/>
            <w:tcBorders>
              <w:top w:val="nil"/>
              <w:left w:val="single" w:sz="6" w:space="0" w:color="auto"/>
              <w:bottom w:val="single" w:sz="6" w:space="0" w:color="auto"/>
              <w:right w:val="single" w:sz="6" w:space="0" w:color="auto"/>
            </w:tcBorders>
          </w:tcPr>
          <w:p w14:paraId="488BFC8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3D634C9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Weekly minutes of MVPA </w:t>
            </w:r>
          </w:p>
          <w:p w14:paraId="257E01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(out-of-school time).</w:t>
            </w:r>
          </w:p>
        </w:tc>
        <w:tc>
          <w:tcPr>
            <w:tcW w:w="1260" w:type="dxa"/>
            <w:tcBorders>
              <w:top w:val="nil"/>
              <w:left w:val="single" w:sz="6" w:space="0" w:color="auto"/>
              <w:bottom w:val="single" w:sz="6" w:space="0" w:color="auto"/>
              <w:right w:val="single" w:sz="6" w:space="0" w:color="auto"/>
            </w:tcBorders>
          </w:tcPr>
          <w:p w14:paraId="6E03615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(ActiGraph GT1M)</w:t>
            </w:r>
          </w:p>
        </w:tc>
        <w:tc>
          <w:tcPr>
            <w:tcW w:w="1087" w:type="dxa"/>
            <w:tcBorders>
              <w:top w:val="nil"/>
              <w:left w:val="single" w:sz="6" w:space="0" w:color="auto"/>
              <w:bottom w:val="single" w:sz="6" w:space="0" w:color="auto"/>
              <w:right w:val="single" w:sz="6" w:space="0" w:color="auto"/>
            </w:tcBorders>
          </w:tcPr>
          <w:p w14:paraId="12B97B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linear regression</w:t>
            </w:r>
          </w:p>
        </w:tc>
        <w:tc>
          <w:tcPr>
            <w:tcW w:w="1260" w:type="dxa"/>
            <w:tcBorders>
              <w:top w:val="nil"/>
              <w:left w:val="single" w:sz="6" w:space="0" w:color="auto"/>
              <w:bottom w:val="single" w:sz="6" w:space="0" w:color="auto"/>
              <w:right w:val="single" w:sz="6" w:space="0" w:color="auto"/>
            </w:tcBorders>
          </w:tcPr>
          <w:p w14:paraId="70D3232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6EF8B85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parental education, </w:t>
            </w:r>
          </w:p>
          <w:p w14:paraId="56C55A9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 density (plus school clustering).</w:t>
            </w:r>
          </w:p>
        </w:tc>
        <w:tc>
          <w:tcPr>
            <w:tcW w:w="990" w:type="dxa"/>
            <w:tcBorders>
              <w:top w:val="nil"/>
              <w:left w:val="single" w:sz="6" w:space="0" w:color="auto"/>
              <w:bottom w:val="single" w:sz="6" w:space="0" w:color="auto"/>
              <w:right w:val="single" w:sz="6" w:space="0" w:color="auto"/>
            </w:tcBorders>
          </w:tcPr>
          <w:p w14:paraId="6C31437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2423" w:type="dxa"/>
            <w:gridSpan w:val="2"/>
            <w:tcBorders>
              <w:top w:val="nil"/>
              <w:left w:val="single" w:sz="6" w:space="0" w:color="auto"/>
              <w:bottom w:val="single" w:sz="6" w:space="0" w:color="auto"/>
              <w:right w:val="single" w:sz="6" w:space="0" w:color="auto"/>
            </w:tcBorders>
          </w:tcPr>
          <w:p w14:paraId="38F6530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(count in buffer → MVPA)</w:t>
            </w:r>
          </w:p>
          <w:p w14:paraId="5CDBCD8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76928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400 m: β = 0.03 (−0.02, 0.07); p≥0.05; null. </w:t>
            </w:r>
          </w:p>
          <w:p w14:paraId="1841FD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6B921D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800 m: β = 0.00 (−0.02, 0.02); p≥0.05; null. </w:t>
            </w:r>
          </w:p>
          <w:p w14:paraId="7753C3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63740E5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2000 m: β = 0.01 (−0.00, 0.02); p≥0.05; null.</w:t>
            </w:r>
          </w:p>
        </w:tc>
        <w:tc>
          <w:tcPr>
            <w:tcW w:w="997" w:type="dxa"/>
            <w:tcBorders>
              <w:top w:val="nil"/>
              <w:left w:val="single" w:sz="6" w:space="0" w:color="auto"/>
              <w:bottom w:val="single" w:sz="6" w:space="0" w:color="auto"/>
              <w:right w:val="single" w:sz="6" w:space="0" w:color="auto"/>
            </w:tcBorders>
          </w:tcPr>
          <w:p w14:paraId="7656C37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≥0.05 (not significant) across buffers.</w:t>
            </w:r>
          </w:p>
        </w:tc>
        <w:tc>
          <w:tcPr>
            <w:tcW w:w="1080" w:type="dxa"/>
            <w:tcBorders>
              <w:top w:val="nil"/>
              <w:left w:val="single" w:sz="6" w:space="0" w:color="auto"/>
              <w:bottom w:val="single" w:sz="6" w:space="0" w:color="auto"/>
              <w:right w:val="single" w:sz="6" w:space="0" w:color="auto"/>
            </w:tcBorders>
          </w:tcPr>
          <w:p w14:paraId="7996B9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(no direct association across 400/800/2000 m).</w:t>
            </w:r>
          </w:p>
        </w:tc>
      </w:tr>
      <w:tr w:rsidR="00CF2149" w:rsidRPr="00B01F30" w14:paraId="1CCFEA85" w14:textId="77777777" w:rsidTr="003B2FCF">
        <w:trPr>
          <w:gridAfter w:val="1"/>
          <w:wAfter w:w="8" w:type="dxa"/>
          <w:trHeight w:val="3126"/>
        </w:trPr>
        <w:tc>
          <w:tcPr>
            <w:tcW w:w="990" w:type="dxa"/>
            <w:tcBorders>
              <w:top w:val="nil"/>
              <w:left w:val="single" w:sz="6" w:space="0" w:color="auto"/>
              <w:bottom w:val="single" w:sz="6" w:space="0" w:color="auto"/>
              <w:right w:val="single" w:sz="6" w:space="0" w:color="auto"/>
            </w:tcBorders>
          </w:tcPr>
          <w:p w14:paraId="431B58A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Galvez et al.,</w:t>
            </w:r>
          </w:p>
          <w:p w14:paraId="0B24CC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1DCF79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3B69941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C63D6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324</w:t>
            </w:r>
          </w:p>
        </w:tc>
        <w:tc>
          <w:tcPr>
            <w:tcW w:w="1080" w:type="dxa"/>
            <w:tcBorders>
              <w:top w:val="nil"/>
              <w:left w:val="single" w:sz="6" w:space="0" w:color="auto"/>
              <w:bottom w:val="single" w:sz="6" w:space="0" w:color="auto"/>
              <w:right w:val="single" w:sz="6" w:space="0" w:color="auto"/>
            </w:tcBorders>
          </w:tcPr>
          <w:p w14:paraId="7D2149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Inner-city minority children.</w:t>
            </w:r>
          </w:p>
          <w:p w14:paraId="011CD5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6–8 years</w:t>
            </w:r>
          </w:p>
        </w:tc>
        <w:tc>
          <w:tcPr>
            <w:tcW w:w="1440" w:type="dxa"/>
            <w:gridSpan w:val="2"/>
            <w:tcBorders>
              <w:top w:val="nil"/>
              <w:left w:val="single" w:sz="6" w:space="0" w:color="auto"/>
              <w:bottom w:val="single" w:sz="6" w:space="0" w:color="auto"/>
              <w:right w:val="single" w:sz="6" w:space="0" w:color="auto"/>
            </w:tcBorders>
          </w:tcPr>
          <w:p w14:paraId="4A25F4C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Presence (≥1 vs 0) of resources on child’s census block</w:t>
            </w:r>
          </w:p>
        </w:tc>
        <w:tc>
          <w:tcPr>
            <w:tcW w:w="1080" w:type="dxa"/>
            <w:tcBorders>
              <w:top w:val="nil"/>
              <w:left w:val="single" w:sz="6" w:space="0" w:color="auto"/>
              <w:bottom w:val="single" w:sz="6" w:space="0" w:color="auto"/>
              <w:right w:val="single" w:sz="6" w:space="0" w:color="auto"/>
            </w:tcBorders>
          </w:tcPr>
          <w:p w14:paraId="2D2BE1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Playgrounds, parks</w:t>
            </w:r>
          </w:p>
        </w:tc>
        <w:tc>
          <w:tcPr>
            <w:tcW w:w="1260" w:type="dxa"/>
            <w:tcBorders>
              <w:top w:val="nil"/>
              <w:left w:val="single" w:sz="6" w:space="0" w:color="auto"/>
              <w:bottom w:val="single" w:sz="6" w:space="0" w:color="auto"/>
              <w:right w:val="single" w:sz="6" w:space="0" w:color="auto"/>
            </w:tcBorders>
          </w:tcPr>
          <w:p w14:paraId="0764254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On-foot walking survey</w:t>
            </w:r>
          </w:p>
        </w:tc>
        <w:tc>
          <w:tcPr>
            <w:tcW w:w="1377" w:type="dxa"/>
            <w:tcBorders>
              <w:top w:val="nil"/>
              <w:left w:val="single" w:sz="6" w:space="0" w:color="auto"/>
              <w:bottom w:val="single" w:sz="6" w:space="0" w:color="auto"/>
              <w:right w:val="single" w:sz="6" w:space="0" w:color="auto"/>
            </w:tcBorders>
          </w:tcPr>
          <w:p w14:paraId="27F6F1E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Block-level availability (binary) and counts (no distances).</w:t>
            </w:r>
          </w:p>
        </w:tc>
        <w:tc>
          <w:tcPr>
            <w:tcW w:w="1143" w:type="dxa"/>
            <w:tcBorders>
              <w:top w:val="nil"/>
              <w:left w:val="single" w:sz="6" w:space="0" w:color="auto"/>
              <w:bottom w:val="single" w:sz="6" w:space="0" w:color="auto"/>
              <w:right w:val="single" w:sz="6" w:space="0" w:color="auto"/>
            </w:tcBorders>
          </w:tcPr>
          <w:p w14:paraId="47AC08D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Exposure: ≥1 resource vs none.</w:t>
            </w:r>
          </w:p>
        </w:tc>
        <w:tc>
          <w:tcPr>
            <w:tcW w:w="1253" w:type="dxa"/>
            <w:tcBorders>
              <w:top w:val="nil"/>
              <w:left w:val="single" w:sz="6" w:space="0" w:color="auto"/>
              <w:bottom w:val="single" w:sz="6" w:space="0" w:color="auto"/>
              <w:right w:val="single" w:sz="6" w:space="0" w:color="auto"/>
            </w:tcBorders>
          </w:tcPr>
          <w:p w14:paraId="2DDBB7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61123DA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Unscheduled outdoor PA (h/wk</w:t>
            </w:r>
          </w:p>
          <w:p w14:paraId="13D553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scheduled PA (MET-h/wk)</w:t>
            </w:r>
          </w:p>
          <w:p w14:paraId="79E558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sedentary hours/day</w:t>
            </w:r>
          </w:p>
          <w:p w14:paraId="6E8EFCD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daily steps.</w:t>
            </w:r>
          </w:p>
        </w:tc>
        <w:tc>
          <w:tcPr>
            <w:tcW w:w="1260" w:type="dxa"/>
            <w:tcBorders>
              <w:top w:val="nil"/>
              <w:left w:val="single" w:sz="6" w:space="0" w:color="auto"/>
              <w:bottom w:val="single" w:sz="6" w:space="0" w:color="auto"/>
              <w:right w:val="single" w:sz="6" w:space="0" w:color="auto"/>
            </w:tcBorders>
          </w:tcPr>
          <w:p w14:paraId="7E87776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Interviewer-administered questionnaires</w:t>
            </w:r>
          </w:p>
        </w:tc>
        <w:tc>
          <w:tcPr>
            <w:tcW w:w="1087" w:type="dxa"/>
            <w:tcBorders>
              <w:top w:val="nil"/>
              <w:left w:val="single" w:sz="6" w:space="0" w:color="auto"/>
              <w:bottom w:val="single" w:sz="6" w:space="0" w:color="auto"/>
              <w:right w:val="single" w:sz="6" w:space="0" w:color="auto"/>
            </w:tcBorders>
          </w:tcPr>
          <w:p w14:paraId="2DFBE7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260" w:type="dxa"/>
            <w:tcBorders>
              <w:top w:val="nil"/>
              <w:left w:val="single" w:sz="6" w:space="0" w:color="auto"/>
              <w:bottom w:val="single" w:sz="6" w:space="0" w:color="auto"/>
              <w:right w:val="single" w:sz="6" w:space="0" w:color="auto"/>
            </w:tcBorders>
          </w:tcPr>
          <w:p w14:paraId="33E778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 age, </w:t>
            </w:r>
          </w:p>
          <w:p w14:paraId="5207D784" w14:textId="77777777" w:rsidR="00CF2149"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11E3C23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race/ethnicity</w:t>
            </w:r>
          </w:p>
          <w:p w14:paraId="699D80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BMI percentile</w:t>
            </w:r>
          </w:p>
          <w:p w14:paraId="5A486F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caregiver education</w:t>
            </w:r>
          </w:p>
          <w:p w14:paraId="27E6122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block safety </w:t>
            </w:r>
          </w:p>
          <w:p w14:paraId="4053AFF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season</w:t>
            </w:r>
          </w:p>
          <w:p w14:paraId="6593A2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day of week.</w:t>
            </w:r>
          </w:p>
        </w:tc>
        <w:tc>
          <w:tcPr>
            <w:tcW w:w="990" w:type="dxa"/>
            <w:tcBorders>
              <w:top w:val="nil"/>
              <w:left w:val="single" w:sz="6" w:space="0" w:color="auto"/>
              <w:bottom w:val="single" w:sz="6" w:space="0" w:color="auto"/>
              <w:right w:val="single" w:sz="6" w:space="0" w:color="auto"/>
            </w:tcBorders>
          </w:tcPr>
          <w:p w14:paraId="6BC273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odds ratio (AOR)</w:t>
            </w:r>
          </w:p>
        </w:tc>
        <w:tc>
          <w:tcPr>
            <w:tcW w:w="3420" w:type="dxa"/>
            <w:gridSpan w:val="3"/>
            <w:tcBorders>
              <w:top w:val="nil"/>
              <w:left w:val="single" w:sz="6" w:space="0" w:color="auto"/>
              <w:bottom w:val="single" w:sz="6" w:space="0" w:color="auto"/>
              <w:right w:val="single" w:sz="6" w:space="0" w:color="auto"/>
            </w:tcBorders>
          </w:tcPr>
          <w:p w14:paraId="67436989" w14:textId="44B70A7E"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Playground on block → unscheduled PA &gt;2 h/wk: AOR 1.95; 95% CI 1.11–3.43; p=0.021. </w:t>
            </w:r>
          </w:p>
          <w:p w14:paraId="1B39738B" w14:textId="3D1A4BEE"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After-school program on block → scheduled PA ≥1 MET-h/wk: AOR 3.25; 95% CI 1.41–7.50; p=0.006. </w:t>
            </w:r>
          </w:p>
          <w:p w14:paraId="0974C0B9" w14:textId="34DFC03B"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After-school program on block → sedentary &lt;6 h/day: AOR 3.24; 95% CI 1.30–8.07; p=0.012. </w:t>
            </w:r>
          </w:p>
          <w:p w14:paraId="5A6B032A" w14:textId="06DE57F3"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Resource count (vs 0) → unscheduled PA &gt;2 h/wk: 2–4 resources AOR 2.39 (1.22–4.70); 5–11 resources AOR 2.44 (1.14–5.20); P-trend=0.026. </w:t>
            </w:r>
          </w:p>
          <w:p w14:paraId="56653C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steps ≥11,000/day: null across resources.</w:t>
            </w:r>
          </w:p>
        </w:tc>
        <w:tc>
          <w:tcPr>
            <w:tcW w:w="1080" w:type="dxa"/>
            <w:tcBorders>
              <w:top w:val="nil"/>
              <w:left w:val="single" w:sz="6" w:space="0" w:color="auto"/>
              <w:bottom w:val="single" w:sz="6" w:space="0" w:color="auto"/>
              <w:right w:val="single" w:sz="6" w:space="0" w:color="auto"/>
            </w:tcBorders>
          </w:tcPr>
          <w:p w14:paraId="04D93B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playgrounds (unscheduled PA) and after-school programs (scheduled PA↑, sedentary↓); null for steps.</w:t>
            </w:r>
          </w:p>
        </w:tc>
      </w:tr>
      <w:tr w:rsidR="00CF2149" w:rsidRPr="00B01F30" w14:paraId="6C222713" w14:textId="77777777" w:rsidTr="00AE5170">
        <w:trPr>
          <w:gridAfter w:val="1"/>
          <w:wAfter w:w="8" w:type="dxa"/>
          <w:trHeight w:val="3135"/>
        </w:trPr>
        <w:tc>
          <w:tcPr>
            <w:tcW w:w="990" w:type="dxa"/>
            <w:tcBorders>
              <w:top w:val="nil"/>
              <w:left w:val="single" w:sz="6" w:space="0" w:color="auto"/>
              <w:bottom w:val="single" w:sz="6" w:space="0" w:color="auto"/>
              <w:right w:val="single" w:sz="6" w:space="0" w:color="auto"/>
            </w:tcBorders>
          </w:tcPr>
          <w:p w14:paraId="6F64C1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Schipperijn et al.,</w:t>
            </w:r>
          </w:p>
          <w:p w14:paraId="0770006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6ECD4E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Denmark</w:t>
            </w:r>
          </w:p>
        </w:tc>
        <w:tc>
          <w:tcPr>
            <w:tcW w:w="900" w:type="dxa"/>
            <w:gridSpan w:val="2"/>
            <w:tcBorders>
              <w:top w:val="nil"/>
              <w:left w:val="single" w:sz="6" w:space="0" w:color="auto"/>
              <w:bottom w:val="single" w:sz="6" w:space="0" w:color="auto"/>
              <w:right w:val="single" w:sz="6" w:space="0" w:color="auto"/>
            </w:tcBorders>
          </w:tcPr>
          <w:p w14:paraId="5541F81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ED6E6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1,305</w:t>
            </w:r>
          </w:p>
        </w:tc>
        <w:tc>
          <w:tcPr>
            <w:tcW w:w="1080" w:type="dxa"/>
            <w:tcBorders>
              <w:top w:val="nil"/>
              <w:left w:val="single" w:sz="6" w:space="0" w:color="auto"/>
              <w:bottom w:val="single" w:sz="6" w:space="0" w:color="auto"/>
              <w:right w:val="single" w:sz="6" w:space="0" w:color="auto"/>
            </w:tcBorders>
          </w:tcPr>
          <w:p w14:paraId="75657C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adults</w:t>
            </w:r>
          </w:p>
          <w:p w14:paraId="515588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18–80 years.</w:t>
            </w:r>
          </w:p>
        </w:tc>
        <w:tc>
          <w:tcPr>
            <w:tcW w:w="1440" w:type="dxa"/>
            <w:gridSpan w:val="2"/>
            <w:tcBorders>
              <w:top w:val="nil"/>
              <w:left w:val="single" w:sz="6" w:space="0" w:color="auto"/>
              <w:bottom w:val="single" w:sz="6" w:space="0" w:color="auto"/>
              <w:right w:val="single" w:sz="6" w:space="0" w:color="auto"/>
            </w:tcBorders>
          </w:tcPr>
          <w:p w14:paraId="59736DA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Nearest UGS size (categorical), </w:t>
            </w:r>
          </w:p>
          <w:p w14:paraId="3C4178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network distance to nearest entrance (&lt;100/100–300/&gt;300 m)</w:t>
            </w:r>
          </w:p>
          <w:p w14:paraId="36B5DD9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number of features in nearest UGS</w:t>
            </w:r>
          </w:p>
          <w:p w14:paraId="7A03BF1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UGS within 1 km</w:t>
            </w:r>
          </w:p>
          <w:p w14:paraId="7CC6437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UGS area within 1 km.</w:t>
            </w:r>
          </w:p>
        </w:tc>
        <w:tc>
          <w:tcPr>
            <w:tcW w:w="1080" w:type="dxa"/>
            <w:tcBorders>
              <w:top w:val="nil"/>
              <w:left w:val="single" w:sz="6" w:space="0" w:color="auto"/>
              <w:bottom w:val="single" w:sz="6" w:space="0" w:color="auto"/>
              <w:right w:val="single" w:sz="6" w:space="0" w:color="auto"/>
            </w:tcBorders>
          </w:tcPr>
          <w:p w14:paraId="5D165C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Publicly owned, publicly accessible vegetated spaces</w:t>
            </w:r>
          </w:p>
        </w:tc>
        <w:tc>
          <w:tcPr>
            <w:tcW w:w="1260" w:type="dxa"/>
            <w:tcBorders>
              <w:top w:val="nil"/>
              <w:left w:val="single" w:sz="6" w:space="0" w:color="auto"/>
              <w:bottom w:val="single" w:sz="6" w:space="0" w:color="auto"/>
              <w:right w:val="single" w:sz="6" w:space="0" w:color="auto"/>
            </w:tcBorders>
          </w:tcPr>
          <w:p w14:paraId="3DF616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UGS GIS + field audit using EAPRS</w:t>
            </w:r>
          </w:p>
        </w:tc>
        <w:tc>
          <w:tcPr>
            <w:tcW w:w="1377" w:type="dxa"/>
            <w:tcBorders>
              <w:top w:val="nil"/>
              <w:left w:val="single" w:sz="6" w:space="0" w:color="auto"/>
              <w:bottom w:val="single" w:sz="6" w:space="0" w:color="auto"/>
              <w:right w:val="single" w:sz="6" w:space="0" w:color="auto"/>
            </w:tcBorders>
          </w:tcPr>
          <w:p w14:paraId="24C27D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Network distance</w:t>
            </w:r>
          </w:p>
        </w:tc>
        <w:tc>
          <w:tcPr>
            <w:tcW w:w="1143" w:type="dxa"/>
            <w:tcBorders>
              <w:top w:val="nil"/>
              <w:left w:val="single" w:sz="6" w:space="0" w:color="auto"/>
              <w:bottom w:val="single" w:sz="6" w:space="0" w:color="auto"/>
              <w:right w:val="single" w:sz="6" w:space="0" w:color="auto"/>
            </w:tcBorders>
          </w:tcPr>
          <w:p w14:paraId="545F69F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(&lt;100, 100–300, &gt;300 m)</w:t>
            </w:r>
          </w:p>
        </w:tc>
        <w:tc>
          <w:tcPr>
            <w:tcW w:w="1253" w:type="dxa"/>
            <w:tcBorders>
              <w:top w:val="nil"/>
              <w:left w:val="single" w:sz="6" w:space="0" w:color="auto"/>
              <w:bottom w:val="single" w:sz="6" w:space="0" w:color="auto"/>
              <w:right w:val="single" w:sz="6" w:space="0" w:color="auto"/>
            </w:tcBorders>
          </w:tcPr>
          <w:p w14:paraId="6B72326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1704804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 Outdoor PA ≥1×/week (any location); </w:t>
            </w:r>
          </w:p>
          <w:p w14:paraId="22BAA6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PA in nearest UGS ≥1×/week.</w:t>
            </w:r>
          </w:p>
        </w:tc>
        <w:tc>
          <w:tcPr>
            <w:tcW w:w="1260" w:type="dxa"/>
            <w:tcBorders>
              <w:top w:val="nil"/>
              <w:left w:val="single" w:sz="6" w:space="0" w:color="auto"/>
              <w:bottom w:val="single" w:sz="6" w:space="0" w:color="auto"/>
              <w:right w:val="single" w:sz="6" w:space="0" w:color="auto"/>
            </w:tcBorders>
          </w:tcPr>
          <w:p w14:paraId="6D879E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frequency</w:t>
            </w:r>
          </w:p>
        </w:tc>
        <w:tc>
          <w:tcPr>
            <w:tcW w:w="1087" w:type="dxa"/>
            <w:tcBorders>
              <w:top w:val="nil"/>
              <w:left w:val="single" w:sz="6" w:space="0" w:color="auto"/>
              <w:bottom w:val="single" w:sz="6" w:space="0" w:color="auto"/>
              <w:right w:val="single" w:sz="6" w:space="0" w:color="auto"/>
            </w:tcBorders>
          </w:tcPr>
          <w:p w14:paraId="06D9F9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logistic regression</w:t>
            </w:r>
          </w:p>
        </w:tc>
        <w:tc>
          <w:tcPr>
            <w:tcW w:w="1260" w:type="dxa"/>
            <w:tcBorders>
              <w:top w:val="nil"/>
              <w:left w:val="single" w:sz="6" w:space="0" w:color="auto"/>
              <w:bottom w:val="single" w:sz="6" w:space="0" w:color="auto"/>
              <w:right w:val="single" w:sz="6" w:space="0" w:color="auto"/>
            </w:tcBorders>
          </w:tcPr>
          <w:p w14:paraId="7334A8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462052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60F931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52ED58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self-rated health</w:t>
            </w:r>
          </w:p>
        </w:tc>
        <w:tc>
          <w:tcPr>
            <w:tcW w:w="990" w:type="dxa"/>
            <w:tcBorders>
              <w:top w:val="nil"/>
              <w:left w:val="single" w:sz="6" w:space="0" w:color="auto"/>
              <w:bottom w:val="single" w:sz="6" w:space="0" w:color="auto"/>
              <w:right w:val="single" w:sz="6" w:space="0" w:color="auto"/>
            </w:tcBorders>
          </w:tcPr>
          <w:p w14:paraId="766A79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3420" w:type="dxa"/>
            <w:gridSpan w:val="3"/>
            <w:tcBorders>
              <w:top w:val="nil"/>
              <w:left w:val="single" w:sz="6" w:space="0" w:color="auto"/>
              <w:bottom w:val="single" w:sz="6" w:space="0" w:color="auto"/>
              <w:right w:val="single" w:sz="6" w:space="0" w:color="auto"/>
            </w:tcBorders>
          </w:tcPr>
          <w:p w14:paraId="6DD08F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Outdoor PA (any location): All UGS metrics null (e.g., #UGS within 1 km OR≈1.00; features OR≈1.01). </w:t>
            </w:r>
          </w:p>
          <w:p w14:paraId="7526F1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20592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in nearest UGS:  distance ns; features per-item 1.03 (1.01–1.05) in single-factor, ns when combined/adjusted.</w:t>
            </w:r>
          </w:p>
        </w:tc>
        <w:tc>
          <w:tcPr>
            <w:tcW w:w="1080" w:type="dxa"/>
            <w:tcBorders>
              <w:top w:val="nil"/>
              <w:left w:val="single" w:sz="6" w:space="0" w:color="auto"/>
              <w:bottom w:val="single" w:sz="6" w:space="0" w:color="auto"/>
              <w:right w:val="single" w:sz="6" w:space="0" w:color="auto"/>
            </w:tcBorders>
          </w:tcPr>
          <w:p w14:paraId="5AE1DBA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General outdoor PA: null , distance, f.</w:t>
            </w:r>
          </w:p>
          <w:p w14:paraId="25B5260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180E4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 in nearest UGS:  distance null.</w:t>
            </w:r>
          </w:p>
          <w:p w14:paraId="38D8B19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tc>
      </w:tr>
      <w:tr w:rsidR="00CF2149" w:rsidRPr="00B01F30" w14:paraId="106425B1" w14:textId="77777777" w:rsidTr="00AE5170">
        <w:trPr>
          <w:gridAfter w:val="1"/>
          <w:wAfter w:w="8" w:type="dxa"/>
          <w:trHeight w:val="2325"/>
        </w:trPr>
        <w:tc>
          <w:tcPr>
            <w:tcW w:w="990" w:type="dxa"/>
            <w:tcBorders>
              <w:top w:val="nil"/>
              <w:left w:val="single" w:sz="6" w:space="0" w:color="auto"/>
              <w:bottom w:val="single" w:sz="6" w:space="0" w:color="auto"/>
              <w:right w:val="single" w:sz="6" w:space="0" w:color="auto"/>
            </w:tcBorders>
          </w:tcPr>
          <w:p w14:paraId="754204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Soares et al.,</w:t>
            </w:r>
          </w:p>
          <w:p w14:paraId="00BB50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2020</w:t>
            </w:r>
          </w:p>
        </w:tc>
        <w:tc>
          <w:tcPr>
            <w:tcW w:w="900" w:type="dxa"/>
            <w:tcBorders>
              <w:top w:val="nil"/>
              <w:left w:val="single" w:sz="6" w:space="0" w:color="auto"/>
              <w:bottom w:val="single" w:sz="6" w:space="0" w:color="auto"/>
              <w:right w:val="single" w:sz="6" w:space="0" w:color="auto"/>
            </w:tcBorders>
          </w:tcPr>
          <w:p w14:paraId="2D0CE4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Brazil</w:t>
            </w:r>
          </w:p>
        </w:tc>
        <w:tc>
          <w:tcPr>
            <w:tcW w:w="900" w:type="dxa"/>
            <w:gridSpan w:val="2"/>
            <w:tcBorders>
              <w:top w:val="nil"/>
              <w:left w:val="single" w:sz="6" w:space="0" w:color="auto"/>
              <w:bottom w:val="single" w:sz="6" w:space="0" w:color="auto"/>
              <w:right w:val="single" w:sz="6" w:space="0" w:color="auto"/>
            </w:tcBorders>
          </w:tcPr>
          <w:p w14:paraId="629933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2A5A064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247,548</w:t>
            </w:r>
          </w:p>
        </w:tc>
        <w:tc>
          <w:tcPr>
            <w:tcW w:w="1080" w:type="dxa"/>
            <w:tcBorders>
              <w:top w:val="nil"/>
              <w:left w:val="single" w:sz="6" w:space="0" w:color="auto"/>
              <w:bottom w:val="single" w:sz="6" w:space="0" w:color="auto"/>
              <w:right w:val="single" w:sz="6" w:space="0" w:color="auto"/>
            </w:tcBorders>
          </w:tcPr>
          <w:p w14:paraId="5AB0110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in households with landline</w:t>
            </w:r>
          </w:p>
          <w:p w14:paraId="2F89688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 years</w:t>
            </w:r>
          </w:p>
        </w:tc>
        <w:tc>
          <w:tcPr>
            <w:tcW w:w="1440" w:type="dxa"/>
            <w:gridSpan w:val="2"/>
            <w:tcBorders>
              <w:top w:val="nil"/>
              <w:left w:val="single" w:sz="6" w:space="0" w:color="auto"/>
              <w:bottom w:val="single" w:sz="6" w:space="0" w:color="auto"/>
              <w:right w:val="single" w:sz="6" w:space="0" w:color="auto"/>
            </w:tcBorders>
          </w:tcPr>
          <w:p w14:paraId="457C8F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availability of public open space (POS) near home (Yes/No)</w:t>
            </w:r>
          </w:p>
        </w:tc>
        <w:tc>
          <w:tcPr>
            <w:tcW w:w="1080" w:type="dxa"/>
            <w:tcBorders>
              <w:top w:val="nil"/>
              <w:left w:val="single" w:sz="6" w:space="0" w:color="auto"/>
              <w:bottom w:val="single" w:sz="6" w:space="0" w:color="auto"/>
              <w:right w:val="single" w:sz="6" w:space="0" w:color="auto"/>
            </w:tcBorders>
          </w:tcPr>
          <w:p w14:paraId="568C08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 such as squares, parks, closed streets for walking/exercise/sports</w:t>
            </w:r>
          </w:p>
        </w:tc>
        <w:tc>
          <w:tcPr>
            <w:tcW w:w="1260" w:type="dxa"/>
            <w:tcBorders>
              <w:top w:val="nil"/>
              <w:left w:val="single" w:sz="6" w:space="0" w:color="auto"/>
              <w:bottom w:val="single" w:sz="6" w:space="0" w:color="auto"/>
              <w:right w:val="single" w:sz="6" w:space="0" w:color="auto"/>
            </w:tcBorders>
          </w:tcPr>
          <w:p w14:paraId="551FDE3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w:t>
            </w:r>
          </w:p>
          <w:p w14:paraId="429C6E6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(telephone survey)</w:t>
            </w:r>
          </w:p>
        </w:tc>
        <w:tc>
          <w:tcPr>
            <w:tcW w:w="1377" w:type="dxa"/>
            <w:tcBorders>
              <w:top w:val="nil"/>
              <w:left w:val="single" w:sz="6" w:space="0" w:color="auto"/>
              <w:bottom w:val="single" w:sz="6" w:space="0" w:color="auto"/>
              <w:right w:val="single" w:sz="6" w:space="0" w:color="auto"/>
            </w:tcBorders>
          </w:tcPr>
          <w:p w14:paraId="0643FC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Perception question</w:t>
            </w:r>
          </w:p>
        </w:tc>
        <w:tc>
          <w:tcPr>
            <w:tcW w:w="1143" w:type="dxa"/>
            <w:tcBorders>
              <w:top w:val="nil"/>
              <w:left w:val="single" w:sz="6" w:space="0" w:color="auto"/>
              <w:bottom w:val="single" w:sz="6" w:space="0" w:color="auto"/>
              <w:right w:val="single" w:sz="6" w:space="0" w:color="auto"/>
            </w:tcBorders>
          </w:tcPr>
          <w:p w14:paraId="79292CA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Exposure binary</w:t>
            </w:r>
          </w:p>
        </w:tc>
        <w:tc>
          <w:tcPr>
            <w:tcW w:w="1253" w:type="dxa"/>
            <w:tcBorders>
              <w:top w:val="nil"/>
              <w:left w:val="single" w:sz="6" w:space="0" w:color="auto"/>
              <w:bottom w:val="single" w:sz="6" w:space="0" w:color="auto"/>
              <w:right w:val="single" w:sz="6" w:space="0" w:color="auto"/>
            </w:tcBorders>
          </w:tcPr>
          <w:p w14:paraId="3BA2E9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73EF020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PA</w:t>
            </w:r>
          </w:p>
        </w:tc>
        <w:tc>
          <w:tcPr>
            <w:tcW w:w="1260" w:type="dxa"/>
            <w:tcBorders>
              <w:top w:val="nil"/>
              <w:left w:val="single" w:sz="6" w:space="0" w:color="auto"/>
              <w:bottom w:val="single" w:sz="6" w:space="0" w:color="auto"/>
              <w:right w:val="single" w:sz="6" w:space="0" w:color="auto"/>
            </w:tcBorders>
          </w:tcPr>
          <w:p w14:paraId="332CDF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Self-reported via Vigitel questionnaire</w:t>
            </w:r>
          </w:p>
        </w:tc>
        <w:tc>
          <w:tcPr>
            <w:tcW w:w="1087" w:type="dxa"/>
            <w:tcBorders>
              <w:top w:val="nil"/>
              <w:left w:val="single" w:sz="6" w:space="0" w:color="auto"/>
              <w:bottom w:val="single" w:sz="6" w:space="0" w:color="auto"/>
              <w:right w:val="single" w:sz="6" w:space="0" w:color="auto"/>
            </w:tcBorders>
          </w:tcPr>
          <w:p w14:paraId="5B8A8E2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Poisson regression</w:t>
            </w:r>
          </w:p>
        </w:tc>
        <w:tc>
          <w:tcPr>
            <w:tcW w:w="1260" w:type="dxa"/>
            <w:tcBorders>
              <w:top w:val="nil"/>
              <w:left w:val="single" w:sz="6" w:space="0" w:color="auto"/>
              <w:bottom w:val="single" w:sz="6" w:space="0" w:color="auto"/>
              <w:right w:val="single" w:sz="6" w:space="0" w:color="auto"/>
            </w:tcBorders>
          </w:tcPr>
          <w:p w14:paraId="6D7D4AE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7AAEA79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195FAC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schooling</w:t>
            </w:r>
          </w:p>
          <w:p w14:paraId="067380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region</w:t>
            </w:r>
          </w:p>
          <w:p w14:paraId="1807D3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race/color</w:t>
            </w:r>
          </w:p>
          <w:p w14:paraId="7F5BCA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w:t>
            </w:r>
          </w:p>
          <w:p w14:paraId="7F7C2DA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obesity</w:t>
            </w:r>
          </w:p>
          <w:p w14:paraId="59F0975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hypertension </w:t>
            </w:r>
          </w:p>
          <w:p w14:paraId="7DE9E00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diabetes</w:t>
            </w:r>
          </w:p>
          <w:p w14:paraId="10456CE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self-rated health</w:t>
            </w:r>
          </w:p>
        </w:tc>
        <w:tc>
          <w:tcPr>
            <w:tcW w:w="990" w:type="dxa"/>
            <w:tcBorders>
              <w:top w:val="nil"/>
              <w:left w:val="single" w:sz="6" w:space="0" w:color="auto"/>
              <w:bottom w:val="single" w:sz="6" w:space="0" w:color="auto"/>
              <w:right w:val="single" w:sz="6" w:space="0" w:color="auto"/>
            </w:tcBorders>
          </w:tcPr>
          <w:p w14:paraId="5270930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Prevalence ratio (PR)</w:t>
            </w:r>
          </w:p>
        </w:tc>
        <w:tc>
          <w:tcPr>
            <w:tcW w:w="2423" w:type="dxa"/>
            <w:gridSpan w:val="2"/>
            <w:tcBorders>
              <w:top w:val="nil"/>
              <w:left w:val="single" w:sz="6" w:space="0" w:color="auto"/>
              <w:bottom w:val="single" w:sz="6" w:space="0" w:color="auto"/>
              <w:right w:val="single" w:sz="6" w:space="0" w:color="auto"/>
            </w:tcBorders>
          </w:tcPr>
          <w:p w14:paraId="43C5E9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 available → sufficient LTPA: PR_adj 1.25 (95% CI 1.22–1.28)</w:t>
            </w:r>
          </w:p>
        </w:tc>
        <w:tc>
          <w:tcPr>
            <w:tcW w:w="997" w:type="dxa"/>
            <w:tcBorders>
              <w:top w:val="nil"/>
              <w:left w:val="single" w:sz="6" w:space="0" w:color="auto"/>
              <w:bottom w:val="single" w:sz="6" w:space="0" w:color="auto"/>
              <w:right w:val="single" w:sz="6" w:space="0" w:color="auto"/>
            </w:tcBorders>
          </w:tcPr>
          <w:p w14:paraId="1AA58C5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080" w:type="dxa"/>
            <w:tcBorders>
              <w:top w:val="nil"/>
              <w:left w:val="single" w:sz="6" w:space="0" w:color="auto"/>
              <w:bottom w:val="single" w:sz="6" w:space="0" w:color="auto"/>
              <w:right w:val="single" w:sz="6" w:space="0" w:color="auto"/>
            </w:tcBorders>
          </w:tcPr>
          <w:p w14:paraId="5C06EA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(availability associated with higher LTPA)</w:t>
            </w:r>
          </w:p>
        </w:tc>
      </w:tr>
      <w:tr w:rsidR="00CF2149" w:rsidRPr="00B01F30" w14:paraId="7CAD8616" w14:textId="77777777" w:rsidTr="00AE5170">
        <w:trPr>
          <w:gridAfter w:val="1"/>
          <w:wAfter w:w="8" w:type="dxa"/>
          <w:trHeight w:val="4305"/>
        </w:trPr>
        <w:tc>
          <w:tcPr>
            <w:tcW w:w="990" w:type="dxa"/>
            <w:tcBorders>
              <w:top w:val="nil"/>
              <w:left w:val="single" w:sz="6" w:space="0" w:color="auto"/>
              <w:bottom w:val="single" w:sz="6" w:space="0" w:color="auto"/>
              <w:right w:val="single" w:sz="6" w:space="0" w:color="auto"/>
            </w:tcBorders>
          </w:tcPr>
          <w:p w14:paraId="6D06ACC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Tappe et al.,</w:t>
            </w:r>
          </w:p>
          <w:p w14:paraId="3420027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4B0BB9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1BCE5E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718ED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724 Children</w:t>
            </w:r>
          </w:p>
        </w:tc>
        <w:tc>
          <w:tcPr>
            <w:tcW w:w="1080" w:type="dxa"/>
            <w:tcBorders>
              <w:top w:val="nil"/>
              <w:left w:val="single" w:sz="6" w:space="0" w:color="auto"/>
              <w:bottom w:val="single" w:sz="6" w:space="0" w:color="auto"/>
              <w:right w:val="single" w:sz="6" w:space="0" w:color="auto"/>
            </w:tcBorders>
          </w:tcPr>
          <w:p w14:paraId="724991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Community-based sample</w:t>
            </w:r>
          </w:p>
          <w:p w14:paraId="0B6F81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6–11 years</w:t>
            </w:r>
          </w:p>
        </w:tc>
        <w:tc>
          <w:tcPr>
            <w:tcW w:w="1440" w:type="dxa"/>
            <w:gridSpan w:val="2"/>
            <w:tcBorders>
              <w:top w:val="nil"/>
              <w:left w:val="single" w:sz="6" w:space="0" w:color="auto"/>
              <w:bottom w:val="single" w:sz="6" w:space="0" w:color="auto"/>
              <w:right w:val="single" w:sz="6" w:space="0" w:color="auto"/>
            </w:tcBorders>
          </w:tcPr>
          <w:p w14:paraId="4FBD18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Parent-reported proximity to recreation/play areas</w:t>
            </w:r>
          </w:p>
        </w:tc>
        <w:tc>
          <w:tcPr>
            <w:tcW w:w="1080" w:type="dxa"/>
            <w:tcBorders>
              <w:top w:val="nil"/>
              <w:left w:val="single" w:sz="6" w:space="0" w:color="auto"/>
              <w:bottom w:val="single" w:sz="6" w:space="0" w:color="auto"/>
              <w:right w:val="single" w:sz="6" w:space="0" w:color="auto"/>
            </w:tcBorders>
          </w:tcPr>
          <w:p w14:paraId="2466F0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playgrounds, trails/paths, open space</w:t>
            </w:r>
          </w:p>
        </w:tc>
        <w:tc>
          <w:tcPr>
            <w:tcW w:w="1260" w:type="dxa"/>
            <w:tcBorders>
              <w:top w:val="nil"/>
              <w:left w:val="single" w:sz="6" w:space="0" w:color="auto"/>
              <w:bottom w:val="single" w:sz="6" w:space="0" w:color="auto"/>
              <w:right w:val="single" w:sz="6" w:space="0" w:color="auto"/>
            </w:tcBorders>
          </w:tcPr>
          <w:p w14:paraId="1C17877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 survey</w:t>
            </w:r>
          </w:p>
        </w:tc>
        <w:tc>
          <w:tcPr>
            <w:tcW w:w="1377" w:type="dxa"/>
            <w:tcBorders>
              <w:top w:val="nil"/>
              <w:left w:val="single" w:sz="6" w:space="0" w:color="auto"/>
              <w:bottom w:val="single" w:sz="6" w:space="0" w:color="auto"/>
              <w:right w:val="single" w:sz="6" w:space="0" w:color="auto"/>
            </w:tcBorders>
          </w:tcPr>
          <w:p w14:paraId="4DB5D4A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Survey scale</w:t>
            </w:r>
          </w:p>
        </w:tc>
        <w:tc>
          <w:tcPr>
            <w:tcW w:w="1143" w:type="dxa"/>
            <w:tcBorders>
              <w:top w:val="nil"/>
              <w:left w:val="single" w:sz="6" w:space="0" w:color="auto"/>
              <w:bottom w:val="single" w:sz="6" w:space="0" w:color="auto"/>
              <w:right w:val="single" w:sz="6" w:space="0" w:color="auto"/>
            </w:tcBorders>
          </w:tcPr>
          <w:p w14:paraId="53AACE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Exposure modeled continuously</w:t>
            </w:r>
          </w:p>
        </w:tc>
        <w:tc>
          <w:tcPr>
            <w:tcW w:w="1253" w:type="dxa"/>
            <w:tcBorders>
              <w:top w:val="nil"/>
              <w:left w:val="single" w:sz="6" w:space="0" w:color="auto"/>
              <w:bottom w:val="single" w:sz="6" w:space="0" w:color="auto"/>
              <w:right w:val="single" w:sz="6" w:space="0" w:color="auto"/>
            </w:tcBorders>
          </w:tcPr>
          <w:p w14:paraId="5AC1C0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Child-level;</w:t>
            </w:r>
          </w:p>
          <w:p w14:paraId="560A5A9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neighborhoods defined by census blocks for sampling</w:t>
            </w:r>
          </w:p>
        </w:tc>
        <w:tc>
          <w:tcPr>
            <w:tcW w:w="1260" w:type="dxa"/>
            <w:tcBorders>
              <w:top w:val="nil"/>
              <w:left w:val="single" w:sz="6" w:space="0" w:color="auto"/>
              <w:bottom w:val="single" w:sz="6" w:space="0" w:color="auto"/>
              <w:right w:val="single" w:sz="6" w:space="0" w:color="auto"/>
            </w:tcBorders>
          </w:tcPr>
          <w:p w14:paraId="6641F1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Neighborhood activity frequency</w:t>
            </w:r>
          </w:p>
          <w:p w14:paraId="0AE8FFD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Park activity frequency</w:t>
            </w:r>
          </w:p>
          <w:p w14:paraId="27AC5A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 Days with ≥60 min PA</w:t>
            </w:r>
          </w:p>
          <w:p w14:paraId="1A173B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 Accelerometer MVPA (min/day)</w:t>
            </w:r>
          </w:p>
        </w:tc>
        <w:tc>
          <w:tcPr>
            <w:tcW w:w="1260" w:type="dxa"/>
            <w:tcBorders>
              <w:top w:val="nil"/>
              <w:left w:val="single" w:sz="6" w:space="0" w:color="auto"/>
              <w:bottom w:val="single" w:sz="6" w:space="0" w:color="auto"/>
              <w:right w:val="single" w:sz="6" w:space="0" w:color="auto"/>
            </w:tcBorders>
          </w:tcPr>
          <w:p w14:paraId="086201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Parent survey; </w:t>
            </w:r>
          </w:p>
          <w:p w14:paraId="32DAE43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GT1M accelerometer</w:t>
            </w:r>
          </w:p>
        </w:tc>
        <w:tc>
          <w:tcPr>
            <w:tcW w:w="1087" w:type="dxa"/>
            <w:tcBorders>
              <w:top w:val="nil"/>
              <w:left w:val="single" w:sz="6" w:space="0" w:color="auto"/>
              <w:bottom w:val="single" w:sz="6" w:space="0" w:color="auto"/>
              <w:right w:val="single" w:sz="6" w:space="0" w:color="auto"/>
            </w:tcBorders>
          </w:tcPr>
          <w:p w14:paraId="1272CC6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Multivariate logistic regression</w:t>
            </w:r>
          </w:p>
          <w:p w14:paraId="5917855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260" w:type="dxa"/>
            <w:tcBorders>
              <w:top w:val="nil"/>
              <w:left w:val="single" w:sz="6" w:space="0" w:color="auto"/>
              <w:bottom w:val="single" w:sz="6" w:space="0" w:color="auto"/>
              <w:right w:val="single" w:sz="6" w:space="0" w:color="auto"/>
            </w:tcBorders>
          </w:tcPr>
          <w:p w14:paraId="7664691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 sex, </w:t>
            </w:r>
          </w:p>
          <w:p w14:paraId="051FD66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170A8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49EDA4E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 percentile</w:t>
            </w:r>
          </w:p>
          <w:p w14:paraId="3CDBA8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Hispanic ethnicity</w:t>
            </w:r>
          </w:p>
          <w:p w14:paraId="51DE0E6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income</w:t>
            </w:r>
          </w:p>
          <w:p w14:paraId="4EDA5A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GIS PA environment </w:t>
            </w:r>
          </w:p>
          <w:p w14:paraId="29E039E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other environment scales</w:t>
            </w:r>
          </w:p>
          <w:p w14:paraId="1A1B19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(safety, aesthetics, street connectivity, walk/cycle facilities, barriers)</w:t>
            </w:r>
          </w:p>
        </w:tc>
        <w:tc>
          <w:tcPr>
            <w:tcW w:w="990" w:type="dxa"/>
            <w:tcBorders>
              <w:top w:val="nil"/>
              <w:left w:val="single" w:sz="6" w:space="0" w:color="auto"/>
              <w:bottom w:val="single" w:sz="6" w:space="0" w:color="auto"/>
              <w:right w:val="single" w:sz="6" w:space="0" w:color="auto"/>
            </w:tcBorders>
          </w:tcPr>
          <w:p w14:paraId="1CAF477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Odds ratio (OR) for survey outcomes; </w:t>
            </w:r>
          </w:p>
          <w:p w14:paraId="0B5601B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(minutes/day) for accelerometer MVPA</w:t>
            </w:r>
          </w:p>
        </w:tc>
        <w:tc>
          <w:tcPr>
            <w:tcW w:w="3420" w:type="dxa"/>
            <w:gridSpan w:val="3"/>
            <w:tcBorders>
              <w:top w:val="nil"/>
              <w:left w:val="single" w:sz="6" w:space="0" w:color="auto"/>
              <w:bottom w:val="single" w:sz="6" w:space="0" w:color="auto"/>
              <w:right w:val="single" w:sz="6" w:space="0" w:color="auto"/>
            </w:tcBorders>
          </w:tcPr>
          <w:p w14:paraId="7D8BAC2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Proximity to play areas → ≥5 days/week of 60+ min PA:</w:t>
            </w:r>
            <w:r>
              <w:rPr>
                <w:rFonts w:asciiTheme="majorBidi" w:hAnsiTheme="majorBidi" w:cstheme="majorBidi"/>
                <w:color w:val="000000"/>
                <w:kern w:val="0"/>
                <w:sz w:val="18"/>
                <w:szCs w:val="18"/>
              </w:rPr>
              <w:t xml:space="preserve"> OR = 1.29; 95% CI 1.05–1.60; p = 0.02 (positive)</w:t>
            </w:r>
          </w:p>
          <w:p w14:paraId="72575D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r>
              <w:rPr>
                <w:rFonts w:asciiTheme="majorBidi" w:hAnsiTheme="majorBidi" w:cstheme="majorBidi"/>
                <w:b/>
                <w:bCs/>
                <w:color w:val="000000"/>
                <w:kern w:val="0"/>
                <w:sz w:val="18"/>
                <w:szCs w:val="18"/>
              </w:rPr>
              <w:t>Proximity to play areas → Park activity</w:t>
            </w:r>
            <w:r>
              <w:rPr>
                <w:rFonts w:asciiTheme="majorBidi" w:hAnsiTheme="majorBidi" w:cstheme="majorBidi"/>
                <w:color w:val="000000"/>
                <w:kern w:val="0"/>
                <w:sz w:val="18"/>
                <w:szCs w:val="18"/>
              </w:rPr>
              <w:t xml:space="preserve"> </w:t>
            </w:r>
            <w:r>
              <w:rPr>
                <w:rFonts w:asciiTheme="majorBidi" w:hAnsiTheme="majorBidi" w:cstheme="majorBidi"/>
                <w:b/>
                <w:bCs/>
                <w:color w:val="000000"/>
                <w:kern w:val="0"/>
                <w:sz w:val="18"/>
                <w:szCs w:val="18"/>
              </w:rPr>
              <w:t xml:space="preserve">≥2 days/week: </w:t>
            </w:r>
            <w:r>
              <w:rPr>
                <w:rFonts w:asciiTheme="majorBidi" w:hAnsiTheme="majorBidi" w:cstheme="majorBidi"/>
                <w:color w:val="000000"/>
                <w:kern w:val="0"/>
                <w:sz w:val="18"/>
                <w:szCs w:val="18"/>
              </w:rPr>
              <w:t>OR = 1.22; 95% CI 0.98–1.53; p = 0.07 (positive, borderline)</w:t>
            </w:r>
          </w:p>
          <w:p w14:paraId="1C9BBD0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Proximity to play areas → Accelerometer MVPA (3-MET):</w:t>
            </w:r>
            <w:r>
              <w:rPr>
                <w:rFonts w:asciiTheme="majorBidi" w:hAnsiTheme="majorBidi" w:cstheme="majorBidi"/>
                <w:color w:val="000000"/>
                <w:kern w:val="0"/>
                <w:sz w:val="18"/>
                <w:szCs w:val="18"/>
              </w:rPr>
              <w:t xml:space="preserve"> β = +4.12 min/day; 95% CI 0.66–7.58; p &lt; 0.05 (positive)</w:t>
            </w:r>
          </w:p>
        </w:tc>
        <w:tc>
          <w:tcPr>
            <w:tcW w:w="1080" w:type="dxa"/>
            <w:tcBorders>
              <w:top w:val="nil"/>
              <w:left w:val="single" w:sz="6" w:space="0" w:color="auto"/>
              <w:bottom w:val="single" w:sz="6" w:space="0" w:color="auto"/>
              <w:right w:val="single" w:sz="6" w:space="0" w:color="auto"/>
            </w:tcBorders>
          </w:tcPr>
          <w:p w14:paraId="1DAFCF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proximity/access to play areas with overall PA and MVPA</w:t>
            </w:r>
          </w:p>
        </w:tc>
      </w:tr>
      <w:tr w:rsidR="00CF2149" w:rsidRPr="00B01F30" w14:paraId="3FCE054C" w14:textId="77777777" w:rsidTr="00AE5170">
        <w:trPr>
          <w:gridAfter w:val="1"/>
          <w:wAfter w:w="8" w:type="dxa"/>
          <w:trHeight w:val="2316"/>
        </w:trPr>
        <w:tc>
          <w:tcPr>
            <w:tcW w:w="990" w:type="dxa"/>
            <w:tcBorders>
              <w:top w:val="nil"/>
              <w:left w:val="single" w:sz="6" w:space="0" w:color="auto"/>
              <w:bottom w:val="single" w:sz="6" w:space="0" w:color="auto"/>
              <w:right w:val="single" w:sz="6" w:space="0" w:color="auto"/>
            </w:tcBorders>
          </w:tcPr>
          <w:p w14:paraId="27FDE5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Norman et al.,</w:t>
            </w:r>
          </w:p>
          <w:p w14:paraId="526085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2006</w:t>
            </w:r>
          </w:p>
        </w:tc>
        <w:tc>
          <w:tcPr>
            <w:tcW w:w="900" w:type="dxa"/>
            <w:tcBorders>
              <w:top w:val="nil"/>
              <w:left w:val="single" w:sz="6" w:space="0" w:color="auto"/>
              <w:bottom w:val="single" w:sz="6" w:space="0" w:color="auto"/>
              <w:right w:val="single" w:sz="6" w:space="0" w:color="auto"/>
            </w:tcBorders>
          </w:tcPr>
          <w:p w14:paraId="5BE871F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7F68C0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0BD7C9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799 adolescents</w:t>
            </w:r>
          </w:p>
        </w:tc>
        <w:tc>
          <w:tcPr>
            <w:tcW w:w="1080" w:type="dxa"/>
            <w:tcBorders>
              <w:top w:val="nil"/>
              <w:left w:val="single" w:sz="6" w:space="0" w:color="auto"/>
              <w:bottom w:val="single" w:sz="6" w:space="0" w:color="auto"/>
              <w:right w:val="single" w:sz="6" w:space="0" w:color="auto"/>
            </w:tcBorders>
          </w:tcPr>
          <w:p w14:paraId="3062887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 sample recruited via clinics</w:t>
            </w:r>
          </w:p>
          <w:p w14:paraId="4F196F8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11–15 years</w:t>
            </w:r>
          </w:p>
        </w:tc>
        <w:tc>
          <w:tcPr>
            <w:tcW w:w="1440" w:type="dxa"/>
            <w:gridSpan w:val="2"/>
            <w:tcBorders>
              <w:top w:val="nil"/>
              <w:left w:val="single" w:sz="6" w:space="0" w:color="auto"/>
              <w:bottom w:val="single" w:sz="6" w:space="0" w:color="auto"/>
              <w:right w:val="single" w:sz="6" w:space="0" w:color="auto"/>
            </w:tcBorders>
          </w:tcPr>
          <w:p w14:paraId="1DD880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of public parks within 1-mile buffer</w:t>
            </w:r>
          </w:p>
        </w:tc>
        <w:tc>
          <w:tcPr>
            <w:tcW w:w="1080" w:type="dxa"/>
            <w:tcBorders>
              <w:top w:val="nil"/>
              <w:left w:val="single" w:sz="6" w:space="0" w:color="auto"/>
              <w:bottom w:val="single" w:sz="6" w:space="0" w:color="auto"/>
              <w:right w:val="single" w:sz="6" w:space="0" w:color="auto"/>
            </w:tcBorders>
          </w:tcPr>
          <w:p w14:paraId="15C210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260" w:type="dxa"/>
            <w:tcBorders>
              <w:top w:val="nil"/>
              <w:left w:val="single" w:sz="6" w:space="0" w:color="auto"/>
              <w:bottom w:val="single" w:sz="6" w:space="0" w:color="auto"/>
              <w:right w:val="single" w:sz="6" w:space="0" w:color="auto"/>
            </w:tcBorders>
          </w:tcPr>
          <w:p w14:paraId="50FF39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SANDAG GIS</w:t>
            </w:r>
          </w:p>
        </w:tc>
        <w:tc>
          <w:tcPr>
            <w:tcW w:w="1377" w:type="dxa"/>
            <w:tcBorders>
              <w:top w:val="nil"/>
              <w:left w:val="single" w:sz="6" w:space="0" w:color="auto"/>
              <w:bottom w:val="single" w:sz="6" w:space="0" w:color="auto"/>
              <w:right w:val="single" w:sz="6" w:space="0" w:color="auto"/>
            </w:tcBorders>
          </w:tcPr>
          <w:p w14:paraId="6A50455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buffers (1 mile) in ArcView 3.2</w:t>
            </w:r>
          </w:p>
        </w:tc>
        <w:tc>
          <w:tcPr>
            <w:tcW w:w="1143" w:type="dxa"/>
            <w:tcBorders>
              <w:top w:val="nil"/>
              <w:left w:val="single" w:sz="6" w:space="0" w:color="auto"/>
              <w:bottom w:val="single" w:sz="6" w:space="0" w:color="auto"/>
              <w:right w:val="single" w:sz="6" w:space="0" w:color="auto"/>
            </w:tcBorders>
          </w:tcPr>
          <w:p w14:paraId="248025D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network buffer</w:t>
            </w:r>
          </w:p>
        </w:tc>
        <w:tc>
          <w:tcPr>
            <w:tcW w:w="1253" w:type="dxa"/>
            <w:tcBorders>
              <w:top w:val="nil"/>
              <w:left w:val="single" w:sz="6" w:space="0" w:color="auto"/>
              <w:bottom w:val="single" w:sz="6" w:space="0" w:color="auto"/>
              <w:right w:val="single" w:sz="6" w:space="0" w:color="auto"/>
            </w:tcBorders>
          </w:tcPr>
          <w:p w14:paraId="63398FA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Individual-level outcomes with 1-mile residential buffer exposures</w:t>
            </w:r>
          </w:p>
        </w:tc>
        <w:tc>
          <w:tcPr>
            <w:tcW w:w="1260" w:type="dxa"/>
            <w:tcBorders>
              <w:top w:val="nil"/>
              <w:left w:val="single" w:sz="6" w:space="0" w:color="auto"/>
              <w:bottom w:val="single" w:sz="6" w:space="0" w:color="auto"/>
              <w:right w:val="single" w:sz="6" w:space="0" w:color="auto"/>
            </w:tcBorders>
          </w:tcPr>
          <w:p w14:paraId="32483F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(min/day)</w:t>
            </w:r>
          </w:p>
        </w:tc>
        <w:tc>
          <w:tcPr>
            <w:tcW w:w="1260" w:type="dxa"/>
            <w:tcBorders>
              <w:top w:val="nil"/>
              <w:left w:val="single" w:sz="6" w:space="0" w:color="auto"/>
              <w:bottom w:val="single" w:sz="6" w:space="0" w:color="auto"/>
              <w:right w:val="single" w:sz="6" w:space="0" w:color="auto"/>
            </w:tcBorders>
          </w:tcPr>
          <w:p w14:paraId="18C552C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(CSA/ActiGraph)</w:t>
            </w:r>
          </w:p>
        </w:tc>
        <w:tc>
          <w:tcPr>
            <w:tcW w:w="1087" w:type="dxa"/>
            <w:tcBorders>
              <w:top w:val="nil"/>
              <w:left w:val="single" w:sz="6" w:space="0" w:color="auto"/>
              <w:bottom w:val="single" w:sz="6" w:space="0" w:color="auto"/>
              <w:right w:val="single" w:sz="6" w:space="0" w:color="auto"/>
            </w:tcBorders>
          </w:tcPr>
          <w:p w14:paraId="6506517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Bivariate correlations;</w:t>
            </w:r>
          </w:p>
          <w:p w14:paraId="3E6F6D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hierarchical multiple linear regression</w:t>
            </w:r>
          </w:p>
        </w:tc>
        <w:tc>
          <w:tcPr>
            <w:tcW w:w="1260" w:type="dxa"/>
            <w:tcBorders>
              <w:top w:val="nil"/>
              <w:left w:val="single" w:sz="6" w:space="0" w:color="auto"/>
              <w:bottom w:val="single" w:sz="6" w:space="0" w:color="auto"/>
              <w:right w:val="single" w:sz="6" w:space="0" w:color="auto"/>
            </w:tcBorders>
          </w:tcPr>
          <w:p w14:paraId="53C81D8A" w14:textId="77777777" w:rsidR="00CF2149"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F221B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ethnicity </w:t>
            </w:r>
          </w:p>
          <w:p w14:paraId="1A8FDF8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highest household education (3 levels)</w:t>
            </w:r>
          </w:p>
          <w:p w14:paraId="1C7E45A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only env. vars with sig. bivariate association entered</w:t>
            </w:r>
          </w:p>
        </w:tc>
        <w:tc>
          <w:tcPr>
            <w:tcW w:w="990" w:type="dxa"/>
            <w:tcBorders>
              <w:top w:val="nil"/>
              <w:left w:val="single" w:sz="6" w:space="0" w:color="auto"/>
              <w:bottom w:val="single" w:sz="6" w:space="0" w:color="auto"/>
              <w:right w:val="single" w:sz="6" w:space="0" w:color="auto"/>
            </w:tcBorders>
          </w:tcPr>
          <w:p w14:paraId="334235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Standardized β (linear regression); </w:t>
            </w:r>
          </w:p>
          <w:p w14:paraId="0E117E1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also r for bivariate</w:t>
            </w:r>
          </w:p>
        </w:tc>
        <w:tc>
          <w:tcPr>
            <w:tcW w:w="3420" w:type="dxa"/>
            <w:gridSpan w:val="3"/>
            <w:tcBorders>
              <w:top w:val="nil"/>
              <w:left w:val="single" w:sz="6" w:space="0" w:color="auto"/>
              <w:bottom w:val="single" w:sz="6" w:space="0" w:color="auto"/>
              <w:right w:val="single" w:sz="6" w:space="0" w:color="auto"/>
            </w:tcBorders>
          </w:tcPr>
          <w:p w14:paraId="50202A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Girls: Positive bivariate link to MVPA (r = 0.14, p &lt; 0.01), but not significant after adjustment (standardized β = 0.009, p = 0.842). </w:t>
            </w:r>
          </w:p>
          <w:p w14:paraId="7CFA16C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2149AD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229BCB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4DEA7AB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772AC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Boys: No association (parks not significant in bivariate or final model).</w:t>
            </w:r>
          </w:p>
        </w:tc>
        <w:tc>
          <w:tcPr>
            <w:tcW w:w="1080" w:type="dxa"/>
            <w:tcBorders>
              <w:top w:val="nil"/>
              <w:left w:val="single" w:sz="6" w:space="0" w:color="auto"/>
              <w:bottom w:val="single" w:sz="6" w:space="0" w:color="auto"/>
              <w:right w:val="single" w:sz="6" w:space="0" w:color="auto"/>
            </w:tcBorders>
          </w:tcPr>
          <w:p w14:paraId="455DF0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girls (bivariate only); overall null after covariate adjustment.</w:t>
            </w:r>
          </w:p>
        </w:tc>
      </w:tr>
      <w:tr w:rsidR="00CF2149" w:rsidRPr="00B01F30" w14:paraId="51EB7901" w14:textId="77777777" w:rsidTr="00AE5170">
        <w:trPr>
          <w:gridAfter w:val="1"/>
          <w:wAfter w:w="8" w:type="dxa"/>
          <w:trHeight w:val="3495"/>
        </w:trPr>
        <w:tc>
          <w:tcPr>
            <w:tcW w:w="990" w:type="dxa"/>
            <w:tcBorders>
              <w:top w:val="nil"/>
              <w:left w:val="single" w:sz="6" w:space="0" w:color="auto"/>
              <w:bottom w:val="single" w:sz="6" w:space="0" w:color="auto"/>
              <w:right w:val="single" w:sz="6" w:space="0" w:color="auto"/>
            </w:tcBorders>
          </w:tcPr>
          <w:p w14:paraId="5DAE1C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Coutts et al.,</w:t>
            </w:r>
          </w:p>
          <w:p w14:paraId="7B922A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317ECD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6896329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651F0F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67 counties</w:t>
            </w:r>
          </w:p>
        </w:tc>
        <w:tc>
          <w:tcPr>
            <w:tcW w:w="1080" w:type="dxa"/>
            <w:tcBorders>
              <w:top w:val="nil"/>
              <w:left w:val="single" w:sz="6" w:space="0" w:color="auto"/>
              <w:bottom w:val="single" w:sz="6" w:space="0" w:color="auto"/>
              <w:right w:val="single" w:sz="6" w:space="0" w:color="auto"/>
            </w:tcBorders>
          </w:tcPr>
          <w:p w14:paraId="7391B49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37CA3E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 (BRFSS adults)</w:t>
            </w:r>
          </w:p>
        </w:tc>
        <w:tc>
          <w:tcPr>
            <w:tcW w:w="1440" w:type="dxa"/>
            <w:gridSpan w:val="2"/>
            <w:tcBorders>
              <w:top w:val="nil"/>
              <w:left w:val="single" w:sz="6" w:space="0" w:color="auto"/>
              <w:bottom w:val="single" w:sz="6" w:space="0" w:color="auto"/>
              <w:right w:val="single" w:sz="6" w:space="0" w:color="auto"/>
            </w:tcBorders>
          </w:tcPr>
          <w:p w14:paraId="64DEDE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Total county green space (sq mi); </w:t>
            </w:r>
          </w:p>
          <w:p w14:paraId="54FD562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Population-weighted mean distance from tract centroid to nearest green space; </w:t>
            </w:r>
          </w:p>
          <w:p w14:paraId="15DE39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 Population-weighted amount of green space within 0.25, 0.5, 1, and 10 miles of tract centroids</w:t>
            </w:r>
          </w:p>
        </w:tc>
        <w:tc>
          <w:tcPr>
            <w:tcW w:w="1080" w:type="dxa"/>
            <w:tcBorders>
              <w:top w:val="nil"/>
              <w:left w:val="single" w:sz="6" w:space="0" w:color="auto"/>
              <w:bottom w:val="single" w:sz="6" w:space="0" w:color="auto"/>
              <w:right w:val="single" w:sz="6" w:space="0" w:color="auto"/>
            </w:tcBorders>
          </w:tcPr>
          <w:p w14:paraId="0955C9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Publicly accessible parks/forests/conservation lands</w:t>
            </w:r>
          </w:p>
        </w:tc>
        <w:tc>
          <w:tcPr>
            <w:tcW w:w="1260" w:type="dxa"/>
            <w:tcBorders>
              <w:top w:val="nil"/>
              <w:left w:val="single" w:sz="6" w:space="0" w:color="auto"/>
              <w:bottom w:val="single" w:sz="6" w:space="0" w:color="auto"/>
              <w:right w:val="single" w:sz="6" w:space="0" w:color="auto"/>
            </w:tcBorders>
          </w:tcPr>
          <w:p w14:paraId="3B13AE9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Florida Geographic Data Library (public lands, 2009)</w:t>
            </w:r>
          </w:p>
        </w:tc>
        <w:tc>
          <w:tcPr>
            <w:tcW w:w="1377" w:type="dxa"/>
            <w:tcBorders>
              <w:top w:val="nil"/>
              <w:left w:val="single" w:sz="6" w:space="0" w:color="auto"/>
              <w:bottom w:val="single" w:sz="6" w:space="0" w:color="auto"/>
              <w:right w:val="single" w:sz="6" w:space="0" w:color="auto"/>
            </w:tcBorders>
          </w:tcPr>
          <w:p w14:paraId="7D1CEE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(straight-line) distance/buffers from census-tract centroids</w:t>
            </w:r>
          </w:p>
        </w:tc>
        <w:tc>
          <w:tcPr>
            <w:tcW w:w="1143" w:type="dxa"/>
            <w:tcBorders>
              <w:top w:val="nil"/>
              <w:left w:val="single" w:sz="6" w:space="0" w:color="auto"/>
              <w:bottom w:val="single" w:sz="6" w:space="0" w:color="auto"/>
              <w:right w:val="single" w:sz="6" w:space="0" w:color="auto"/>
            </w:tcBorders>
          </w:tcPr>
          <w:p w14:paraId="59E75E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0.25, </w:t>
            </w:r>
          </w:p>
          <w:p w14:paraId="1C157CA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0.5, </w:t>
            </w:r>
          </w:p>
          <w:p w14:paraId="7F5C00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w:t>
            </w:r>
          </w:p>
          <w:p w14:paraId="0786C6A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 miles</w:t>
            </w:r>
          </w:p>
        </w:tc>
        <w:tc>
          <w:tcPr>
            <w:tcW w:w="1253" w:type="dxa"/>
            <w:tcBorders>
              <w:top w:val="nil"/>
              <w:left w:val="single" w:sz="6" w:space="0" w:color="auto"/>
              <w:bottom w:val="single" w:sz="6" w:space="0" w:color="auto"/>
              <w:right w:val="single" w:sz="6" w:space="0" w:color="auto"/>
            </w:tcBorders>
          </w:tcPr>
          <w:p w14:paraId="587ED60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Census tracts aggregated (population-weighted) to counties</w:t>
            </w:r>
          </w:p>
        </w:tc>
        <w:tc>
          <w:tcPr>
            <w:tcW w:w="1260" w:type="dxa"/>
            <w:tcBorders>
              <w:top w:val="nil"/>
              <w:left w:val="single" w:sz="6" w:space="0" w:color="auto"/>
              <w:bottom w:val="single" w:sz="6" w:space="0" w:color="auto"/>
              <w:right w:val="single" w:sz="6" w:space="0" w:color="auto"/>
            </w:tcBorders>
          </w:tcPr>
          <w:p w14:paraId="14E64F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 meeting moderate or vigorous PA recommendations)</w:t>
            </w:r>
          </w:p>
        </w:tc>
        <w:tc>
          <w:tcPr>
            <w:tcW w:w="1260" w:type="dxa"/>
            <w:tcBorders>
              <w:top w:val="nil"/>
              <w:left w:val="single" w:sz="6" w:space="0" w:color="auto"/>
              <w:bottom w:val="single" w:sz="6" w:space="0" w:color="auto"/>
              <w:right w:val="single" w:sz="6" w:space="0" w:color="auto"/>
            </w:tcBorders>
          </w:tcPr>
          <w:p w14:paraId="628E0D8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2007 BRFSS self-report </w:t>
            </w:r>
          </w:p>
          <w:p w14:paraId="7EA8F3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(state CHARTS database)</w:t>
            </w:r>
          </w:p>
        </w:tc>
        <w:tc>
          <w:tcPr>
            <w:tcW w:w="1087" w:type="dxa"/>
            <w:tcBorders>
              <w:top w:val="nil"/>
              <w:left w:val="single" w:sz="6" w:space="0" w:color="auto"/>
              <w:bottom w:val="single" w:sz="6" w:space="0" w:color="auto"/>
              <w:right w:val="single" w:sz="6" w:space="0" w:color="auto"/>
            </w:tcBorders>
          </w:tcPr>
          <w:p w14:paraId="329C81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linear models for fractional/proportional outcome with robust Ses</w:t>
            </w:r>
          </w:p>
        </w:tc>
        <w:tc>
          <w:tcPr>
            <w:tcW w:w="1260" w:type="dxa"/>
            <w:tcBorders>
              <w:top w:val="nil"/>
              <w:left w:val="single" w:sz="6" w:space="0" w:color="auto"/>
              <w:bottom w:val="single" w:sz="6" w:space="0" w:color="auto"/>
              <w:right w:val="single" w:sz="6" w:space="0" w:color="auto"/>
            </w:tcBorders>
          </w:tcPr>
          <w:p w14:paraId="3916F5A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age ≥65; </w:t>
            </w:r>
          </w:p>
          <w:p w14:paraId="40DBB2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White;</w:t>
            </w:r>
          </w:p>
          <w:p w14:paraId="4760C0F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 Bachelor’s degree+</w:t>
            </w:r>
          </w:p>
        </w:tc>
        <w:tc>
          <w:tcPr>
            <w:tcW w:w="990" w:type="dxa"/>
            <w:tcBorders>
              <w:top w:val="nil"/>
              <w:left w:val="single" w:sz="6" w:space="0" w:color="auto"/>
              <w:bottom w:val="single" w:sz="6" w:space="0" w:color="auto"/>
              <w:right w:val="single" w:sz="6" w:space="0" w:color="auto"/>
            </w:tcBorders>
          </w:tcPr>
          <w:p w14:paraId="65D70AC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w:t>
            </w:r>
          </w:p>
          <w:p w14:paraId="05C599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(linear coefficient on % MVPA)</w:t>
            </w:r>
          </w:p>
        </w:tc>
        <w:tc>
          <w:tcPr>
            <w:tcW w:w="3420" w:type="dxa"/>
            <w:gridSpan w:val="3"/>
            <w:tcBorders>
              <w:top w:val="nil"/>
              <w:left w:val="single" w:sz="6" w:space="0" w:color="auto"/>
              <w:bottom w:val="single" w:sz="6" w:space="0" w:color="auto"/>
              <w:right w:val="single" w:sz="6" w:space="0" w:color="auto"/>
            </w:tcBorders>
          </w:tcPr>
          <w:p w14:paraId="088DBEB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county green space: β = 4.3×10⁻⁴ , [4.9×10⁻⁵, 8.1×10⁻⁴] , p&lt;.05 , Positive</w:t>
            </w:r>
          </w:p>
          <w:p w14:paraId="40D9A23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8319D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Mean distance to nearest green space: β = 0.03 , (CI not sig.) , ns , Null</w:t>
            </w:r>
          </w:p>
          <w:p w14:paraId="22620F7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6F79D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 space within 0.25 mi: β = 0.004 , [8.6×10⁻⁴, 7.4×10⁻³] , p&lt;.05 , Positive</w:t>
            </w:r>
          </w:p>
          <w:p w14:paraId="044EC3E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CBDF9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 space within 0.5 mi: β = 0.004 , [5.0×10⁻⁴, 7.1×10⁻³] , p&lt;.05 , Positive</w:t>
            </w:r>
          </w:p>
          <w:p w14:paraId="7F0D8D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6073E0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 space within 1 mi: β = 0.004 , [0.001, 0.006] , p&lt;.01 , Positive</w:t>
            </w:r>
          </w:p>
          <w:p w14:paraId="1EE48D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124C98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 space within 10 mi: β = 8.3×10⁻⁴ , [2.8×10⁻⁵, 1.7×10⁻³] , ns , Null</w:t>
            </w:r>
          </w:p>
        </w:tc>
        <w:tc>
          <w:tcPr>
            <w:tcW w:w="1080" w:type="dxa"/>
            <w:tcBorders>
              <w:top w:val="nil"/>
              <w:left w:val="single" w:sz="6" w:space="0" w:color="auto"/>
              <w:bottom w:val="single" w:sz="6" w:space="0" w:color="auto"/>
              <w:right w:val="single" w:sz="6" w:space="0" w:color="auto"/>
            </w:tcBorders>
          </w:tcPr>
          <w:p w14:paraId="3B5549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More nearby green space (≤1 mile) → higher % MVPA; distance-to-nearest not associated; 10-mile buffer not associated.</w:t>
            </w:r>
          </w:p>
        </w:tc>
      </w:tr>
      <w:tr w:rsidR="00CF2149" w:rsidRPr="00B01F30" w14:paraId="5C201BF0" w14:textId="77777777" w:rsidTr="00AE5170">
        <w:trPr>
          <w:gridAfter w:val="1"/>
          <w:wAfter w:w="8" w:type="dxa"/>
          <w:trHeight w:val="2595"/>
        </w:trPr>
        <w:tc>
          <w:tcPr>
            <w:tcW w:w="990" w:type="dxa"/>
            <w:tcBorders>
              <w:top w:val="nil"/>
              <w:left w:val="single" w:sz="6" w:space="0" w:color="auto"/>
              <w:bottom w:val="single" w:sz="6" w:space="0" w:color="auto"/>
              <w:right w:val="single" w:sz="6" w:space="0" w:color="auto"/>
            </w:tcBorders>
          </w:tcPr>
          <w:p w14:paraId="518DF28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 xml:space="preserve">Lachowycz et al.,</w:t>
            </w:r>
          </w:p>
          <w:p w14:paraId="4D9D22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900" w:type="dxa"/>
            <w:tcBorders>
              <w:top w:val="nil"/>
              <w:left w:val="single" w:sz="6" w:space="0" w:color="auto"/>
              <w:bottom w:val="single" w:sz="6" w:space="0" w:color="auto"/>
              <w:right w:val="single" w:sz="6" w:space="0" w:color="auto"/>
            </w:tcBorders>
          </w:tcPr>
          <w:p w14:paraId="203692A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900" w:type="dxa"/>
            <w:gridSpan w:val="2"/>
            <w:tcBorders>
              <w:top w:val="nil"/>
              <w:left w:val="single" w:sz="6" w:space="0" w:color="auto"/>
              <w:bottom w:val="single" w:sz="6" w:space="0" w:color="auto"/>
              <w:right w:val="single" w:sz="6" w:space="0" w:color="auto"/>
            </w:tcBorders>
          </w:tcPr>
          <w:p w14:paraId="68A45E5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04C320D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165,424</w:t>
            </w:r>
          </w:p>
        </w:tc>
        <w:tc>
          <w:tcPr>
            <w:tcW w:w="1080" w:type="dxa"/>
            <w:tcBorders>
              <w:top w:val="nil"/>
              <w:left w:val="single" w:sz="6" w:space="0" w:color="auto"/>
              <w:bottom w:val="single" w:sz="6" w:space="0" w:color="auto"/>
              <w:right w:val="single" w:sz="6" w:space="0" w:color="auto"/>
            </w:tcBorders>
          </w:tcPr>
          <w:p w14:paraId="4CD0BD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7F0334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16+ </w:t>
            </w:r>
          </w:p>
        </w:tc>
        <w:tc>
          <w:tcPr>
            <w:tcW w:w="1440" w:type="dxa"/>
            <w:gridSpan w:val="2"/>
            <w:tcBorders>
              <w:top w:val="nil"/>
              <w:left w:val="single" w:sz="6" w:space="0" w:color="auto"/>
              <w:bottom w:val="single" w:sz="6" w:space="0" w:color="auto"/>
              <w:right w:val="single" w:sz="6" w:space="0" w:color="auto"/>
            </w:tcBorders>
          </w:tcPr>
          <w:p w14:paraId="390C05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land area classified as greenspace in MSOA; within 5 km; within 10 km</w:t>
            </w:r>
          </w:p>
        </w:tc>
        <w:tc>
          <w:tcPr>
            <w:tcW w:w="1080" w:type="dxa"/>
            <w:tcBorders>
              <w:top w:val="nil"/>
              <w:left w:val="single" w:sz="6" w:space="0" w:color="auto"/>
              <w:bottom w:val="single" w:sz="6" w:space="0" w:color="auto"/>
              <w:right w:val="single" w:sz="6" w:space="0" w:color="auto"/>
            </w:tcBorders>
          </w:tcPr>
          <w:p w14:paraId="1D3989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woodland, grassland, agriculture; excludes private gardens</w:t>
            </w:r>
          </w:p>
        </w:tc>
        <w:tc>
          <w:tcPr>
            <w:tcW w:w="1260" w:type="dxa"/>
            <w:tcBorders>
              <w:top w:val="nil"/>
              <w:left w:val="single" w:sz="6" w:space="0" w:color="auto"/>
              <w:bottom w:val="single" w:sz="6" w:space="0" w:color="auto"/>
              <w:right w:val="single" w:sz="6" w:space="0" w:color="auto"/>
            </w:tcBorders>
          </w:tcPr>
          <w:p w14:paraId="43592D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Generalised Land Use Database </w:t>
            </w:r>
          </w:p>
          <w:p w14:paraId="4F44B4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(GLUD, 2005; UK Ordnance Survey–derived)</w:t>
            </w:r>
          </w:p>
        </w:tc>
        <w:tc>
          <w:tcPr>
            <w:tcW w:w="1377" w:type="dxa"/>
            <w:tcBorders>
              <w:top w:val="nil"/>
              <w:left w:val="single" w:sz="6" w:space="0" w:color="auto"/>
              <w:bottom w:val="single" w:sz="6" w:space="0" w:color="auto"/>
              <w:right w:val="single" w:sz="6" w:space="0" w:color="auto"/>
            </w:tcBorders>
          </w:tcPr>
          <w:p w14:paraId="19DE707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Area-based % greenspace</w:t>
            </w:r>
          </w:p>
        </w:tc>
        <w:tc>
          <w:tcPr>
            <w:tcW w:w="1143" w:type="dxa"/>
            <w:tcBorders>
              <w:top w:val="nil"/>
              <w:left w:val="single" w:sz="6" w:space="0" w:color="auto"/>
              <w:bottom w:val="single" w:sz="6" w:space="0" w:color="auto"/>
              <w:right w:val="single" w:sz="6" w:space="0" w:color="auto"/>
            </w:tcBorders>
          </w:tcPr>
          <w:p w14:paraId="058C98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Quintiles (Q1 worst → Q5 best access)</w:t>
            </w:r>
          </w:p>
        </w:tc>
        <w:tc>
          <w:tcPr>
            <w:tcW w:w="1253" w:type="dxa"/>
            <w:tcBorders>
              <w:top w:val="nil"/>
              <w:left w:val="single" w:sz="6" w:space="0" w:color="auto"/>
              <w:bottom w:val="single" w:sz="6" w:space="0" w:color="auto"/>
              <w:right w:val="single" w:sz="6" w:space="0" w:color="auto"/>
            </w:tcBorders>
          </w:tcPr>
          <w:p w14:paraId="7DC95D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311B2D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Days walked ≥30 min in last 4 weeks</w:t>
            </w:r>
          </w:p>
        </w:tc>
        <w:tc>
          <w:tcPr>
            <w:tcW w:w="1260" w:type="dxa"/>
            <w:tcBorders>
              <w:top w:val="nil"/>
              <w:left w:val="single" w:sz="6" w:space="0" w:color="auto"/>
              <w:bottom w:val="single" w:sz="6" w:space="0" w:color="auto"/>
              <w:right w:val="single" w:sz="6" w:space="0" w:color="auto"/>
            </w:tcBorders>
          </w:tcPr>
          <w:p w14:paraId="7AAE8E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(Active People Survey telephone interview)</w:t>
            </w:r>
          </w:p>
        </w:tc>
        <w:tc>
          <w:tcPr>
            <w:tcW w:w="1087" w:type="dxa"/>
            <w:tcBorders>
              <w:top w:val="nil"/>
              <w:left w:val="single" w:sz="6" w:space="0" w:color="auto"/>
              <w:bottom w:val="single" w:sz="6" w:space="0" w:color="auto"/>
              <w:right w:val="single" w:sz="6" w:space="0" w:color="auto"/>
            </w:tcBorders>
          </w:tcPr>
          <w:p w14:paraId="158E512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negative binomial regression</w:t>
            </w:r>
          </w:p>
        </w:tc>
        <w:tc>
          <w:tcPr>
            <w:tcW w:w="1260" w:type="dxa"/>
            <w:tcBorders>
              <w:top w:val="nil"/>
              <w:left w:val="single" w:sz="6" w:space="0" w:color="auto"/>
              <w:bottom w:val="single" w:sz="6" w:space="0" w:color="auto"/>
              <w:right w:val="single" w:sz="6" w:space="0" w:color="auto"/>
            </w:tcBorders>
          </w:tcPr>
          <w:p w14:paraId="0FCC8A4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34E2A8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765BB2D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ethnicity, </w:t>
            </w:r>
          </w:p>
          <w:p w14:paraId="36EA09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social class, </w:t>
            </w:r>
          </w:p>
          <w:p w14:paraId="4B6825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car ownership, </w:t>
            </w:r>
          </w:p>
          <w:p w14:paraId="757C63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month (individual); </w:t>
            </w:r>
          </w:p>
          <w:p w14:paraId="40108CA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IMD 2010, </w:t>
            </w:r>
          </w:p>
          <w:p w14:paraId="55EFA08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urban–rural class, </w:t>
            </w:r>
          </w:p>
          <w:p w14:paraId="64EE430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 density (area)</w:t>
            </w:r>
          </w:p>
        </w:tc>
        <w:tc>
          <w:tcPr>
            <w:tcW w:w="990" w:type="dxa"/>
            <w:tcBorders>
              <w:top w:val="nil"/>
              <w:left w:val="single" w:sz="6" w:space="0" w:color="auto"/>
              <w:bottom w:val="single" w:sz="6" w:space="0" w:color="auto"/>
              <w:right w:val="single" w:sz="6" w:space="0" w:color="auto"/>
            </w:tcBorders>
          </w:tcPr>
          <w:p w14:paraId="238EDB5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Incidence Rate Ratio (IRR)</w:t>
            </w:r>
          </w:p>
        </w:tc>
        <w:tc>
          <w:tcPr>
            <w:tcW w:w="1440" w:type="dxa"/>
            <w:tcBorders>
              <w:top w:val="nil"/>
              <w:left w:val="single" w:sz="6" w:space="0" w:color="auto"/>
              <w:bottom w:val="single" w:sz="6" w:space="0" w:color="auto"/>
              <w:right w:val="single" w:sz="6" w:space="0" w:color="auto"/>
            </w:tcBorders>
          </w:tcPr>
          <w:p w14:paraId="3A8119A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Recreational walking, Q5 vs Q1 (5 km measure): IRR 1.18</w:t>
            </w:r>
          </w:p>
          <w:p w14:paraId="05C20A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01369F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walking, Q5 vs Q1 (10 km measure): IRR 1.10</w:t>
            </w:r>
          </w:p>
        </w:tc>
        <w:tc>
          <w:tcPr>
            <w:tcW w:w="983" w:type="dxa"/>
            <w:tcBorders>
              <w:top w:val="nil"/>
              <w:left w:val="single" w:sz="6" w:space="0" w:color="auto"/>
              <w:bottom w:val="single" w:sz="6" w:space="0" w:color="auto"/>
              <w:right w:val="single" w:sz="6" w:space="0" w:color="auto"/>
            </w:tcBorders>
          </w:tcPr>
          <w:p w14:paraId="03D447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Recreational (5 km): 1.13–1.23</w:t>
            </w:r>
          </w:p>
          <w:p w14:paraId="01C9AF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15EFA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(10 km): 1.06–1.14</w:t>
            </w:r>
          </w:p>
        </w:tc>
        <w:tc>
          <w:tcPr>
            <w:tcW w:w="997" w:type="dxa"/>
            <w:tcBorders>
              <w:top w:val="nil"/>
              <w:left w:val="single" w:sz="6" w:space="0" w:color="auto"/>
              <w:bottom w:val="single" w:sz="6" w:space="0" w:color="auto"/>
              <w:right w:val="single" w:sz="6" w:space="0" w:color="auto"/>
            </w:tcBorders>
          </w:tcPr>
          <w:p w14:paraId="23AC3EC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Both p &lt; .01</w:t>
            </w:r>
          </w:p>
        </w:tc>
        <w:tc>
          <w:tcPr>
            <w:tcW w:w="1080" w:type="dxa"/>
            <w:tcBorders>
              <w:top w:val="nil"/>
              <w:left w:val="single" w:sz="6" w:space="0" w:color="auto"/>
              <w:bottom w:val="single" w:sz="6" w:space="0" w:color="auto"/>
              <w:right w:val="single" w:sz="6" w:space="0" w:color="auto"/>
            </w:tcBorders>
          </w:tcPr>
          <w:p w14:paraId="21F146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w:t>
            </w:r>
          </w:p>
          <w:p w14:paraId="402810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(more nearby greenspace → more days of walking)</w:t>
            </w:r>
          </w:p>
        </w:tc>
      </w:tr>
      <w:tr w:rsidR="00CF2149" w:rsidRPr="00B01F30" w14:paraId="792A57B2" w14:textId="77777777" w:rsidTr="00AE5170">
        <w:trPr>
          <w:gridAfter w:val="1"/>
          <w:wAfter w:w="8" w:type="dxa"/>
          <w:trHeight w:val="3387"/>
        </w:trPr>
        <w:tc>
          <w:tcPr>
            <w:tcW w:w="990" w:type="dxa"/>
            <w:tcBorders>
              <w:top w:val="nil"/>
              <w:left w:val="single" w:sz="6" w:space="0" w:color="auto"/>
              <w:bottom w:val="single" w:sz="6" w:space="0" w:color="auto"/>
              <w:right w:val="single" w:sz="6" w:space="0" w:color="auto"/>
            </w:tcBorders>
          </w:tcPr>
          <w:p w14:paraId="56DCAD3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Koohsari et al.,</w:t>
            </w:r>
          </w:p>
          <w:p w14:paraId="6AEDE77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43D52A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900" w:type="dxa"/>
            <w:gridSpan w:val="2"/>
            <w:tcBorders>
              <w:top w:val="nil"/>
              <w:left w:val="single" w:sz="6" w:space="0" w:color="auto"/>
              <w:bottom w:val="single" w:sz="6" w:space="0" w:color="auto"/>
              <w:right w:val="single" w:sz="6" w:space="0" w:color="auto"/>
            </w:tcBorders>
          </w:tcPr>
          <w:p w14:paraId="63BDF77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09CCB6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320</w:t>
            </w:r>
          </w:p>
        </w:tc>
        <w:tc>
          <w:tcPr>
            <w:tcW w:w="1080" w:type="dxa"/>
            <w:tcBorders>
              <w:top w:val="nil"/>
              <w:left w:val="single" w:sz="6" w:space="0" w:color="auto"/>
              <w:bottom w:val="single" w:sz="6" w:space="0" w:color="auto"/>
              <w:right w:val="single" w:sz="6" w:space="0" w:color="auto"/>
            </w:tcBorders>
          </w:tcPr>
          <w:p w14:paraId="0D77A8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4297C45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18+ </w:t>
            </w:r>
          </w:p>
        </w:tc>
        <w:tc>
          <w:tcPr>
            <w:tcW w:w="1440" w:type="dxa"/>
            <w:gridSpan w:val="2"/>
            <w:tcBorders>
              <w:top w:val="nil"/>
              <w:left w:val="single" w:sz="6" w:space="0" w:color="auto"/>
              <w:bottom w:val="single" w:sz="6" w:space="0" w:color="auto"/>
              <w:right w:val="single" w:sz="6" w:space="0" w:color="auto"/>
            </w:tcBorders>
          </w:tcPr>
          <w:p w14:paraId="535330D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Network distance to nearest POS (m);</w:t>
            </w:r>
          </w:p>
          <w:p w14:paraId="398490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number of POS ≤1 km; </w:t>
            </w:r>
          </w:p>
          <w:p w14:paraId="2D9AF3E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POS area ≤1 km; </w:t>
            </w:r>
          </w:p>
          <w:p w14:paraId="2C8C70B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 street “integration” (space syntax) ≤1 km</w:t>
            </w:r>
          </w:p>
        </w:tc>
        <w:tc>
          <w:tcPr>
            <w:tcW w:w="1080" w:type="dxa"/>
            <w:tcBorders>
              <w:top w:val="nil"/>
              <w:left w:val="single" w:sz="6" w:space="0" w:color="auto"/>
              <w:bottom w:val="single" w:sz="6" w:space="0" w:color="auto"/>
              <w:right w:val="single" w:sz="6" w:space="0" w:color="auto"/>
            </w:tcBorders>
          </w:tcPr>
          <w:p w14:paraId="22CCD7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open spaces (parks/playgrounds)</w:t>
            </w:r>
          </w:p>
        </w:tc>
        <w:tc>
          <w:tcPr>
            <w:tcW w:w="1260" w:type="dxa"/>
            <w:tcBorders>
              <w:top w:val="nil"/>
              <w:left w:val="single" w:sz="6" w:space="0" w:color="auto"/>
              <w:bottom w:val="single" w:sz="6" w:space="0" w:color="auto"/>
              <w:right w:val="single" w:sz="6" w:space="0" w:color="auto"/>
            </w:tcBorders>
          </w:tcPr>
          <w:p w14:paraId="2760EF8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Open Space 2002 GIS dataset (Melbourne)</w:t>
            </w:r>
          </w:p>
        </w:tc>
        <w:tc>
          <w:tcPr>
            <w:tcW w:w="1377" w:type="dxa"/>
            <w:tcBorders>
              <w:top w:val="nil"/>
              <w:left w:val="single" w:sz="6" w:space="0" w:color="auto"/>
              <w:bottom w:val="single" w:sz="6" w:space="0" w:color="auto"/>
              <w:right w:val="single" w:sz="6" w:space="0" w:color="auto"/>
            </w:tcBorders>
          </w:tcPr>
          <w:p w14:paraId="4CD196F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distance</w:t>
            </w:r>
          </w:p>
        </w:tc>
        <w:tc>
          <w:tcPr>
            <w:tcW w:w="1143" w:type="dxa"/>
            <w:tcBorders>
              <w:top w:val="nil"/>
              <w:left w:val="single" w:sz="6" w:space="0" w:color="auto"/>
              <w:bottom w:val="single" w:sz="6" w:space="0" w:color="auto"/>
              <w:right w:val="single" w:sz="6" w:space="0" w:color="auto"/>
            </w:tcBorders>
          </w:tcPr>
          <w:p w14:paraId="1F99267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Quintiles for each metric; </w:t>
            </w:r>
          </w:p>
          <w:p w14:paraId="5164BD6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km buffer</w:t>
            </w:r>
          </w:p>
        </w:tc>
        <w:tc>
          <w:tcPr>
            <w:tcW w:w="1253" w:type="dxa"/>
            <w:tcBorders>
              <w:top w:val="nil"/>
              <w:left w:val="single" w:sz="6" w:space="0" w:color="auto"/>
              <w:bottom w:val="single" w:sz="6" w:space="0" w:color="auto"/>
              <w:right w:val="single" w:sz="6" w:space="0" w:color="auto"/>
            </w:tcBorders>
          </w:tcPr>
          <w:p w14:paraId="20C2F8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72B1F5B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to POS;</w:t>
            </w:r>
          </w:p>
          <w:p w14:paraId="302B564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walking within POS</w:t>
            </w:r>
          </w:p>
        </w:tc>
        <w:tc>
          <w:tcPr>
            <w:tcW w:w="1260" w:type="dxa"/>
            <w:tcBorders>
              <w:top w:val="nil"/>
              <w:left w:val="single" w:sz="6" w:space="0" w:color="auto"/>
              <w:bottom w:val="single" w:sz="6" w:space="0" w:color="auto"/>
              <w:right w:val="single" w:sz="6" w:space="0" w:color="auto"/>
            </w:tcBorders>
          </w:tcPr>
          <w:p w14:paraId="0999A6A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(IPAQ/RESIDE-style 7-day items)</w:t>
            </w:r>
          </w:p>
        </w:tc>
        <w:tc>
          <w:tcPr>
            <w:tcW w:w="1087" w:type="dxa"/>
            <w:tcBorders>
              <w:top w:val="nil"/>
              <w:left w:val="single" w:sz="6" w:space="0" w:color="auto"/>
              <w:bottom w:val="single" w:sz="6" w:space="0" w:color="auto"/>
              <w:right w:val="single" w:sz="6" w:space="0" w:color="auto"/>
            </w:tcBorders>
          </w:tcPr>
          <w:p w14:paraId="669B2BB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p w14:paraId="69E9A7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ANCOVA on log-minutes (walkers only)</w:t>
            </w:r>
          </w:p>
        </w:tc>
        <w:tc>
          <w:tcPr>
            <w:tcW w:w="1260" w:type="dxa"/>
            <w:tcBorders>
              <w:top w:val="nil"/>
              <w:left w:val="single" w:sz="6" w:space="0" w:color="auto"/>
              <w:bottom w:val="single" w:sz="6" w:space="0" w:color="auto"/>
              <w:right w:val="single" w:sz="6" w:space="0" w:color="auto"/>
            </w:tcBorders>
          </w:tcPr>
          <w:p w14:paraId="43D2BC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06A91CA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20BC74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78C1CFD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child&lt;12, </w:t>
            </w:r>
          </w:p>
          <w:p w14:paraId="3E4E6D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dog ownership</w:t>
            </w:r>
          </w:p>
          <w:p w14:paraId="61C11D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aesthetics,</w:t>
            </w:r>
          </w:p>
          <w:p w14:paraId="48A57D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traffic safety, </w:t>
            </w:r>
          </w:p>
          <w:p w14:paraId="0FD2AC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crime safety, </w:t>
            </w:r>
          </w:p>
          <w:p w14:paraId="2032E6E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facilities</w:t>
            </w:r>
          </w:p>
          <w:p w14:paraId="5BD2116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POS attractiveness</w:t>
            </w:r>
          </w:p>
          <w:p w14:paraId="24F267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residential self-selection</w:t>
            </w:r>
          </w:p>
        </w:tc>
        <w:tc>
          <w:tcPr>
            <w:tcW w:w="990" w:type="dxa"/>
            <w:tcBorders>
              <w:top w:val="nil"/>
              <w:left w:val="single" w:sz="6" w:space="0" w:color="auto"/>
              <w:bottom w:val="single" w:sz="6" w:space="0" w:color="auto"/>
              <w:right w:val="single" w:sz="6" w:space="0" w:color="auto"/>
            </w:tcBorders>
          </w:tcPr>
          <w:p w14:paraId="026DCDA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(logistic);</w:t>
            </w:r>
          </w:p>
          <w:p w14:paraId="4976FCA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F-tests (ANCOVA)</w:t>
            </w:r>
          </w:p>
        </w:tc>
        <w:tc>
          <w:tcPr>
            <w:tcW w:w="3420" w:type="dxa"/>
            <w:gridSpan w:val="3"/>
            <w:tcBorders>
              <w:top w:val="nil"/>
              <w:left w:val="single" w:sz="6" w:space="0" w:color="auto"/>
              <w:bottom w:val="single" w:sz="6" w:space="0" w:color="auto"/>
              <w:right w:val="single" w:sz="6" w:space="0" w:color="auto"/>
            </w:tcBorders>
          </w:tcPr>
          <w:p w14:paraId="74C8222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Any walking to/within POS:</w:t>
            </w:r>
            <w:r>
              <w:rPr>
                <w:rFonts w:asciiTheme="majorBidi" w:hAnsiTheme="majorBidi" w:cstheme="majorBidi"/>
                <w:color w:val="000000"/>
                <w:kern w:val="0"/>
                <w:sz w:val="18"/>
                <w:szCs w:val="18"/>
              </w:rPr>
              <w:t xml:space="preserve"> ORs across proximity quintiles ns (e.g., distance furthest vs closest, to </w:t>
            </w:r>
            <w:r>
              <w:rPr>
                <w:rFonts w:asciiTheme="majorBidi" w:hAnsiTheme="majorBidi" w:cstheme="majorBidi"/>
                <w:b/>
                <w:bCs/>
                <w:color w:val="000000"/>
                <w:kern w:val="0"/>
                <w:sz w:val="18"/>
                <w:szCs w:val="18"/>
              </w:rPr>
              <w:t>POS</w:t>
            </w:r>
            <w:r>
              <w:rPr>
                <w:rFonts w:asciiTheme="majorBidi" w:hAnsiTheme="majorBidi" w:cstheme="majorBidi"/>
                <w:color w:val="000000"/>
                <w:kern w:val="0"/>
                <w:sz w:val="18"/>
                <w:szCs w:val="18"/>
              </w:rPr>
              <w:t>: OR 0.80, 95% CI 0.24–2.64; within POS: OR 0.79, 95% CI 0.26–2.39).</w:t>
            </w:r>
          </w:p>
          <w:p w14:paraId="3CD2666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6EAFD84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Minutes (walkers only): </w:t>
            </w:r>
          </w:p>
          <w:p w14:paraId="6B0931F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To POS</w:t>
            </w:r>
            <w:r>
              <w:rPr>
                <w:rFonts w:asciiTheme="majorBidi" w:hAnsiTheme="majorBidi" w:cstheme="majorBidi"/>
                <w:color w:val="000000"/>
                <w:kern w:val="0"/>
                <w:sz w:val="18"/>
                <w:szCs w:val="18"/>
              </w:rPr>
              <w:t xml:space="preserve">: Distance F = 3.27, p&lt;0.05; Number of POS F = 5.45, p&lt;0.001; Total area F = 1.92, p=0.11 (ns); Integration F = 10.23, p&lt;0.001. </w:t>
            </w:r>
          </w:p>
          <w:p w14:paraId="5ACE116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xml:space="preserve">Within POS: Integration </w:t>
            </w:r>
            <w:r>
              <w:rPr>
                <w:rFonts w:asciiTheme="majorBidi" w:hAnsiTheme="majorBidi" w:cstheme="majorBidi"/>
                <w:color w:val="000000"/>
                <w:kern w:val="0"/>
                <w:sz w:val="18"/>
                <w:szCs w:val="18"/>
              </w:rPr>
              <w:t xml:space="preserve">F = 7.2 (approx.; table shows significant), p&lt;0.05; others ns.</w:t>
            </w:r>
          </w:p>
        </w:tc>
        <w:tc>
          <w:tcPr>
            <w:tcW w:w="1080" w:type="dxa"/>
            <w:tcBorders>
              <w:top w:val="nil"/>
              <w:left w:val="single" w:sz="6" w:space="0" w:color="auto"/>
              <w:bottom w:val="single" w:sz="6" w:space="0" w:color="auto"/>
              <w:right w:val="single" w:sz="6" w:space="0" w:color="auto"/>
            </w:tcBorders>
          </w:tcPr>
          <w:p w14:paraId="2E7EFD2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Any walking: Null </w:t>
            </w:r>
          </w:p>
          <w:p w14:paraId="58C1AAD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8C4ABE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 (walkers):</w:t>
            </w:r>
          </w:p>
          <w:p w14:paraId="4C0307DE" w14:textId="7F9F7ABC" w:rsidR="00A136E2"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Farther nearest POS and fewer POS within 1 km → more walking to POS</w:t>
            </w:r>
          </w:p>
          <w:p w14:paraId="2B51B8C6" w14:textId="527593F2"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tc>
      </w:tr>
      <w:tr w:rsidR="00CF2149" w:rsidRPr="00B01F30" w14:paraId="5DE4479D" w14:textId="77777777" w:rsidTr="00AE5170">
        <w:trPr>
          <w:gridAfter w:val="1"/>
          <w:wAfter w:w="8" w:type="dxa"/>
          <w:trHeight w:val="75"/>
        </w:trPr>
        <w:tc>
          <w:tcPr>
            <w:tcW w:w="990" w:type="dxa"/>
            <w:tcBorders>
              <w:top w:val="nil"/>
              <w:left w:val="single" w:sz="6" w:space="0" w:color="auto"/>
              <w:bottom w:val="single" w:sz="6" w:space="0" w:color="auto"/>
              <w:right w:val="single" w:sz="6" w:space="0" w:color="auto"/>
            </w:tcBorders>
          </w:tcPr>
          <w:p w14:paraId="68734AB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Chong et al.,</w:t>
            </w:r>
          </w:p>
          <w:p w14:paraId="2A061C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900" w:type="dxa"/>
            <w:tcBorders>
              <w:top w:val="nil"/>
              <w:left w:val="single" w:sz="6" w:space="0" w:color="auto"/>
              <w:bottom w:val="single" w:sz="6" w:space="0" w:color="auto"/>
              <w:right w:val="single" w:sz="6" w:space="0" w:color="auto"/>
            </w:tcBorders>
          </w:tcPr>
          <w:p w14:paraId="477F77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900" w:type="dxa"/>
            <w:gridSpan w:val="2"/>
            <w:tcBorders>
              <w:top w:val="nil"/>
              <w:left w:val="single" w:sz="6" w:space="0" w:color="auto"/>
              <w:bottom w:val="single" w:sz="6" w:space="0" w:color="auto"/>
              <w:right w:val="single" w:sz="6" w:space="0" w:color="auto"/>
            </w:tcBorders>
          </w:tcPr>
          <w:p w14:paraId="002764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0248952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10,137</w:t>
            </w:r>
          </w:p>
        </w:tc>
        <w:tc>
          <w:tcPr>
            <w:tcW w:w="1080" w:type="dxa"/>
            <w:tcBorders>
              <w:top w:val="nil"/>
              <w:left w:val="single" w:sz="6" w:space="0" w:color="auto"/>
              <w:bottom w:val="single" w:sz="6" w:space="0" w:color="auto"/>
              <w:right w:val="single" w:sz="6" w:space="0" w:color="auto"/>
            </w:tcBorders>
          </w:tcPr>
          <w:p w14:paraId="358F4B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adult population</w:t>
            </w:r>
          </w:p>
          <w:p w14:paraId="554A441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16–98 years</w:t>
            </w:r>
          </w:p>
        </w:tc>
        <w:tc>
          <w:tcPr>
            <w:tcW w:w="1440" w:type="dxa"/>
            <w:gridSpan w:val="2"/>
            <w:tcBorders>
              <w:top w:val="nil"/>
              <w:left w:val="single" w:sz="6" w:space="0" w:color="auto"/>
              <w:bottom w:val="single" w:sz="6" w:space="0" w:color="auto"/>
              <w:right w:val="single" w:sz="6" w:space="0" w:color="auto"/>
            </w:tcBorders>
          </w:tcPr>
          <w:p w14:paraId="1D22740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“local” parkland in postcode; </w:t>
            </w:r>
          </w:p>
          <w:p w14:paraId="4DC921C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“distant” parkland in contiguous postcodes (categorical)</w:t>
            </w:r>
          </w:p>
        </w:tc>
        <w:tc>
          <w:tcPr>
            <w:tcW w:w="1080" w:type="dxa"/>
            <w:tcBorders>
              <w:top w:val="nil"/>
              <w:left w:val="single" w:sz="6" w:space="0" w:color="auto"/>
              <w:bottom w:val="single" w:sz="6" w:space="0" w:color="auto"/>
              <w:right w:val="single" w:sz="6" w:space="0" w:color="auto"/>
            </w:tcBorders>
          </w:tcPr>
          <w:p w14:paraId="3822B4B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ABS “parkland”</w:t>
            </w:r>
          </w:p>
        </w:tc>
        <w:tc>
          <w:tcPr>
            <w:tcW w:w="1260" w:type="dxa"/>
            <w:tcBorders>
              <w:top w:val="nil"/>
              <w:left w:val="single" w:sz="6" w:space="0" w:color="auto"/>
              <w:bottom w:val="single" w:sz="6" w:space="0" w:color="auto"/>
              <w:right w:val="single" w:sz="6" w:space="0" w:color="auto"/>
            </w:tcBorders>
          </w:tcPr>
          <w:p w14:paraId="267B21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ABS 2006 land-use mesh blocks aggregated to postcodes</w:t>
            </w:r>
          </w:p>
        </w:tc>
        <w:tc>
          <w:tcPr>
            <w:tcW w:w="1377" w:type="dxa"/>
            <w:tcBorders>
              <w:top w:val="nil"/>
              <w:left w:val="single" w:sz="6" w:space="0" w:color="auto"/>
              <w:bottom w:val="single" w:sz="6" w:space="0" w:color="auto"/>
              <w:right w:val="single" w:sz="6" w:space="0" w:color="auto"/>
            </w:tcBorders>
          </w:tcPr>
          <w:p w14:paraId="5CB58A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Area-based % (not distance); </w:t>
            </w:r>
          </w:p>
          <w:p w14:paraId="3B80DD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contiguity for “distant”</w:t>
            </w:r>
          </w:p>
        </w:tc>
        <w:tc>
          <w:tcPr>
            <w:tcW w:w="1143" w:type="dxa"/>
            <w:tcBorders>
              <w:top w:val="nil"/>
              <w:left w:val="single" w:sz="6" w:space="0" w:color="auto"/>
              <w:bottom w:val="single" w:sz="6" w:space="0" w:color="auto"/>
              <w:right w:val="single" w:sz="6" w:space="0" w:color="auto"/>
            </w:tcBorders>
          </w:tcPr>
          <w:p w14:paraId="59B84C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effect-modifier strata for local GS: &lt;25% vs ≥25%</w:t>
            </w:r>
          </w:p>
        </w:tc>
        <w:tc>
          <w:tcPr>
            <w:tcW w:w="1253" w:type="dxa"/>
            <w:tcBorders>
              <w:top w:val="nil"/>
              <w:left w:val="single" w:sz="6" w:space="0" w:color="auto"/>
              <w:bottom w:val="single" w:sz="6" w:space="0" w:color="auto"/>
              <w:right w:val="single" w:sz="6" w:space="0" w:color="auto"/>
            </w:tcBorders>
          </w:tcPr>
          <w:p w14:paraId="0E4DCC6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59A6942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MVPA ≥1×/week (yes/no);</w:t>
            </w:r>
          </w:p>
          <w:p w14:paraId="668DAF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(2) Adequate PA (≥150 min over ≥5 sessions/week)</w:t>
            </w:r>
          </w:p>
        </w:tc>
        <w:tc>
          <w:tcPr>
            <w:tcW w:w="1260" w:type="dxa"/>
            <w:tcBorders>
              <w:top w:val="nil"/>
              <w:left w:val="single" w:sz="6" w:space="0" w:color="auto"/>
              <w:bottom w:val="single" w:sz="6" w:space="0" w:color="auto"/>
              <w:right w:val="single" w:sz="6" w:space="0" w:color="auto"/>
            </w:tcBorders>
          </w:tcPr>
          <w:p w14:paraId="649652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 </w:t>
            </w:r>
          </w:p>
          <w:p w14:paraId="75F55F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Australia Survey items; NSW Adult Population Health Survey)</w:t>
            </w:r>
          </w:p>
        </w:tc>
        <w:tc>
          <w:tcPr>
            <w:tcW w:w="1087" w:type="dxa"/>
            <w:tcBorders>
              <w:top w:val="nil"/>
              <w:left w:val="single" w:sz="6" w:space="0" w:color="auto"/>
              <w:bottom w:val="single" w:sz="6" w:space="0" w:color="auto"/>
              <w:right w:val="single" w:sz="6" w:space="0" w:color="auto"/>
            </w:tcBorders>
          </w:tcPr>
          <w:p w14:paraId="616F80B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GEE logistic regression</w:t>
            </w:r>
          </w:p>
        </w:tc>
        <w:tc>
          <w:tcPr>
            <w:tcW w:w="1260" w:type="dxa"/>
            <w:tcBorders>
              <w:top w:val="nil"/>
              <w:left w:val="single" w:sz="6" w:space="0" w:color="auto"/>
              <w:bottom w:val="single" w:sz="6" w:space="0" w:color="auto"/>
              <w:right w:val="single" w:sz="6" w:space="0" w:color="auto"/>
            </w:tcBorders>
          </w:tcPr>
          <w:p w14:paraId="0DA9BB3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43809C9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380495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 employment</w:t>
            </w:r>
          </w:p>
          <w:p w14:paraId="22E5CD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64FDB3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overweight</w:t>
            </w:r>
          </w:p>
          <w:p w14:paraId="73CA18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self-rated health</w:t>
            </w:r>
          </w:p>
          <w:p w14:paraId="2B24EF6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population density</w:t>
            </w:r>
          </w:p>
        </w:tc>
        <w:tc>
          <w:tcPr>
            <w:tcW w:w="990" w:type="dxa"/>
            <w:tcBorders>
              <w:top w:val="nil"/>
              <w:left w:val="single" w:sz="6" w:space="0" w:color="auto"/>
              <w:bottom w:val="single" w:sz="6" w:space="0" w:color="auto"/>
              <w:right w:val="single" w:sz="6" w:space="0" w:color="auto"/>
            </w:tcBorders>
          </w:tcPr>
          <w:p w14:paraId="4300C79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4500" w:type="dxa"/>
            <w:gridSpan w:val="4"/>
            <w:tcBorders>
              <w:top w:val="nil"/>
              <w:left w:val="single" w:sz="6" w:space="0" w:color="auto"/>
              <w:bottom w:val="single" w:sz="6" w:space="0" w:color="auto"/>
              <w:right w:val="single" w:sz="6" w:space="0" w:color="auto"/>
            </w:tcBorders>
          </w:tcPr>
          <w:p w14:paraId="0FF5B3C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Distant GS 40–&lt;50% vs &lt;10% → MVPA ≥1×/week: OR 1.9; 1.1–3.1; p&lt;0.05; positive</w:t>
            </w:r>
          </w:p>
          <w:p w14:paraId="5FFF0E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6D253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Distant GS 40–&lt;50% vs &lt;10% → Adequate PA: OR 1.7; 1.0–2.7; p&lt;0.05; positive</w:t>
            </w:r>
          </w:p>
        </w:tc>
      </w:tr>
      <w:tr w:rsidR="00CF2149" w:rsidRPr="00B01F30" w14:paraId="27A8E3EB" w14:textId="77777777" w:rsidTr="00AE5170">
        <w:trPr>
          <w:gridAfter w:val="1"/>
          <w:wAfter w:w="8" w:type="dxa"/>
          <w:trHeight w:val="1641"/>
        </w:trPr>
        <w:tc>
          <w:tcPr>
            <w:tcW w:w="990" w:type="dxa"/>
            <w:tcBorders>
              <w:top w:val="nil"/>
              <w:left w:val="single" w:sz="6" w:space="0" w:color="auto"/>
              <w:bottom w:val="single" w:sz="6" w:space="0" w:color="auto"/>
              <w:right w:val="single" w:sz="6" w:space="0" w:color="auto"/>
            </w:tcBorders>
          </w:tcPr>
          <w:p w14:paraId="199C41D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Foster et al.,</w:t>
            </w:r>
          </w:p>
          <w:p w14:paraId="1A963C2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2004</w:t>
            </w:r>
          </w:p>
        </w:tc>
        <w:tc>
          <w:tcPr>
            <w:tcW w:w="900" w:type="dxa"/>
            <w:tcBorders>
              <w:top w:val="nil"/>
              <w:left w:val="single" w:sz="6" w:space="0" w:color="auto"/>
              <w:bottom w:val="single" w:sz="6" w:space="0" w:color="auto"/>
              <w:right w:val="single" w:sz="6" w:space="0" w:color="auto"/>
            </w:tcBorders>
          </w:tcPr>
          <w:p w14:paraId="108E91B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900" w:type="dxa"/>
            <w:gridSpan w:val="2"/>
            <w:tcBorders>
              <w:top w:val="nil"/>
              <w:left w:val="single" w:sz="6" w:space="0" w:color="auto"/>
              <w:bottom w:val="single" w:sz="6" w:space="0" w:color="auto"/>
              <w:right w:val="single" w:sz="6" w:space="0" w:color="auto"/>
            </w:tcBorders>
          </w:tcPr>
          <w:p w14:paraId="4878E2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6091BFB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4,157</w:t>
            </w:r>
          </w:p>
        </w:tc>
        <w:tc>
          <w:tcPr>
            <w:tcW w:w="1080" w:type="dxa"/>
            <w:tcBorders>
              <w:top w:val="nil"/>
              <w:left w:val="single" w:sz="6" w:space="0" w:color="auto"/>
              <w:bottom w:val="single" w:sz="6" w:space="0" w:color="auto"/>
              <w:right w:val="single" w:sz="6" w:space="0" w:color="auto"/>
            </w:tcBorders>
          </w:tcPr>
          <w:p w14:paraId="5273A6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39D93E6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16–74 years</w:t>
            </w:r>
          </w:p>
        </w:tc>
        <w:tc>
          <w:tcPr>
            <w:tcW w:w="1440" w:type="dxa"/>
            <w:gridSpan w:val="2"/>
            <w:tcBorders>
              <w:top w:val="nil"/>
              <w:left w:val="single" w:sz="6" w:space="0" w:color="auto"/>
              <w:bottom w:val="single" w:sz="6" w:space="0" w:color="auto"/>
              <w:right w:val="single" w:sz="6" w:space="0" w:color="auto"/>
            </w:tcBorders>
          </w:tcPr>
          <w:p w14:paraId="5E3AD14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park/open space within walking distance</w:t>
            </w:r>
          </w:p>
        </w:tc>
        <w:tc>
          <w:tcPr>
            <w:tcW w:w="1080" w:type="dxa"/>
            <w:tcBorders>
              <w:top w:val="nil"/>
              <w:left w:val="single" w:sz="6" w:space="0" w:color="auto"/>
              <w:bottom w:val="single" w:sz="6" w:space="0" w:color="auto"/>
              <w:right w:val="single" w:sz="6" w:space="0" w:color="auto"/>
            </w:tcBorders>
          </w:tcPr>
          <w:p w14:paraId="117A5F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“Park/open space”</w:t>
            </w:r>
          </w:p>
        </w:tc>
        <w:tc>
          <w:tcPr>
            <w:tcW w:w="1260" w:type="dxa"/>
            <w:tcBorders>
              <w:top w:val="nil"/>
              <w:left w:val="single" w:sz="6" w:space="0" w:color="auto"/>
              <w:bottom w:val="single" w:sz="6" w:space="0" w:color="auto"/>
              <w:right w:val="single" w:sz="6" w:space="0" w:color="auto"/>
            </w:tcBorders>
          </w:tcPr>
          <w:p w14:paraId="1E9DC85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 survey</w:t>
            </w:r>
          </w:p>
        </w:tc>
        <w:tc>
          <w:tcPr>
            <w:tcW w:w="1377" w:type="dxa"/>
            <w:tcBorders>
              <w:top w:val="nil"/>
              <w:left w:val="single" w:sz="6" w:space="0" w:color="auto"/>
              <w:bottom w:val="single" w:sz="6" w:space="0" w:color="auto"/>
              <w:right w:val="single" w:sz="6" w:space="0" w:color="auto"/>
            </w:tcBorders>
          </w:tcPr>
          <w:p w14:paraId="261BC8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Perception (no distance computed)</w:t>
            </w:r>
          </w:p>
        </w:tc>
        <w:tc>
          <w:tcPr>
            <w:tcW w:w="1143" w:type="dxa"/>
            <w:tcBorders>
              <w:top w:val="nil"/>
              <w:left w:val="single" w:sz="6" w:space="0" w:color="auto"/>
              <w:bottom w:val="single" w:sz="6" w:space="0" w:color="auto"/>
              <w:right w:val="single" w:sz="6" w:space="0" w:color="auto"/>
            </w:tcBorders>
          </w:tcPr>
          <w:p w14:paraId="12E81CB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Dichotomized </w:t>
            </w:r>
          </w:p>
          <w:p w14:paraId="6DA1504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(within walking distance: yes/no)</w:t>
            </w:r>
          </w:p>
        </w:tc>
        <w:tc>
          <w:tcPr>
            <w:tcW w:w="1253" w:type="dxa"/>
            <w:tcBorders>
              <w:top w:val="nil"/>
              <w:left w:val="single" w:sz="6" w:space="0" w:color="auto"/>
              <w:bottom w:val="single" w:sz="6" w:space="0" w:color="auto"/>
              <w:right w:val="single" w:sz="6" w:space="0" w:color="auto"/>
            </w:tcBorders>
          </w:tcPr>
          <w:p w14:paraId="60915A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4339AA9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 Any walking ≥15 min/week; </w:t>
            </w:r>
          </w:p>
          <w:p w14:paraId="1651A62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 ≥150 min/week (past 4 weeks)</w:t>
            </w:r>
          </w:p>
        </w:tc>
        <w:tc>
          <w:tcPr>
            <w:tcW w:w="1260" w:type="dxa"/>
            <w:tcBorders>
              <w:top w:val="nil"/>
              <w:left w:val="single" w:sz="6" w:space="0" w:color="auto"/>
              <w:bottom w:val="single" w:sz="6" w:space="0" w:color="auto"/>
              <w:right w:val="single" w:sz="6" w:space="0" w:color="auto"/>
            </w:tcBorders>
          </w:tcPr>
          <w:p w14:paraId="55606E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interview</w:t>
            </w:r>
          </w:p>
        </w:tc>
        <w:tc>
          <w:tcPr>
            <w:tcW w:w="1087" w:type="dxa"/>
            <w:tcBorders>
              <w:top w:val="nil"/>
              <w:left w:val="single" w:sz="6" w:space="0" w:color="auto"/>
              <w:bottom w:val="single" w:sz="6" w:space="0" w:color="auto"/>
              <w:right w:val="single" w:sz="6" w:space="0" w:color="auto"/>
            </w:tcBorders>
          </w:tcPr>
          <w:p w14:paraId="6F6EA0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Sex-stratified logistic regression</w:t>
            </w:r>
          </w:p>
        </w:tc>
        <w:tc>
          <w:tcPr>
            <w:tcW w:w="1260" w:type="dxa"/>
            <w:tcBorders>
              <w:top w:val="nil"/>
              <w:left w:val="single" w:sz="6" w:space="0" w:color="auto"/>
              <w:bottom w:val="single" w:sz="6" w:space="0" w:color="auto"/>
              <w:right w:val="single" w:sz="6" w:space="0" w:color="auto"/>
            </w:tcBorders>
          </w:tcPr>
          <w:p w14:paraId="020813B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0AE955C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SES</w:t>
            </w:r>
          </w:p>
          <w:p w14:paraId="348CAEA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1414203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self-reported health limitation; </w:t>
            </w:r>
          </w:p>
          <w:p w14:paraId="632478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car ownership</w:t>
            </w:r>
          </w:p>
        </w:tc>
        <w:tc>
          <w:tcPr>
            <w:tcW w:w="990" w:type="dxa"/>
            <w:tcBorders>
              <w:top w:val="nil"/>
              <w:left w:val="single" w:sz="6" w:space="0" w:color="auto"/>
              <w:bottom w:val="single" w:sz="6" w:space="0" w:color="auto"/>
              <w:right w:val="single" w:sz="6" w:space="0" w:color="auto"/>
            </w:tcBorders>
          </w:tcPr>
          <w:p w14:paraId="091D231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3420" w:type="dxa"/>
            <w:gridSpan w:val="3"/>
            <w:tcBorders>
              <w:top w:val="nil"/>
              <w:left w:val="single" w:sz="6" w:space="0" w:color="auto"/>
              <w:bottom w:val="single" w:sz="6" w:space="0" w:color="auto"/>
              <w:right w:val="single" w:sz="6" w:space="0" w:color="auto"/>
            </w:tcBorders>
          </w:tcPr>
          <w:p w14:paraId="3DD7B4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Men:</w:t>
            </w:r>
            <w:r>
              <w:rPr>
                <w:rFonts w:asciiTheme="majorBidi" w:hAnsiTheme="majorBidi" w:cstheme="majorBidi"/>
                <w:color w:val="000000"/>
                <w:kern w:val="0"/>
                <w:sz w:val="18"/>
                <w:szCs w:val="18"/>
              </w:rPr>
              <w:t xml:space="preserve"> Park/open space within walking distance → ≥150 min/week: OR 2.22 , 1.18–4.35 , p=0.01, Positive</w:t>
            </w:r>
          </w:p>
          <w:p w14:paraId="17438D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5AAB96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Women:</w:t>
            </w:r>
            <w:r>
              <w:rPr>
                <w:rFonts w:asciiTheme="majorBidi" w:hAnsiTheme="majorBidi" w:cstheme="majorBidi"/>
                <w:color w:val="000000"/>
                <w:kern w:val="0"/>
                <w:sz w:val="18"/>
                <w:szCs w:val="18"/>
              </w:rPr>
              <w:t xml:space="preserve"> Park/open space within walking distance → Any walking: OR 0.62 , 0.38–1.04 , p=0.07 (ns); → ≥150 min/week: OR 1.12 , 0.62–2.04 , p=0.69 (ns)</w:t>
            </w:r>
          </w:p>
        </w:tc>
        <w:tc>
          <w:tcPr>
            <w:tcW w:w="1080" w:type="dxa"/>
            <w:tcBorders>
              <w:top w:val="nil"/>
              <w:left w:val="single" w:sz="6" w:space="0" w:color="auto"/>
              <w:bottom w:val="single" w:sz="6" w:space="0" w:color="auto"/>
              <w:right w:val="single" w:sz="6" w:space="0" w:color="auto"/>
            </w:tcBorders>
          </w:tcPr>
          <w:p w14:paraId="5196F7A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(significant) for men; null for women.</w:t>
            </w:r>
          </w:p>
        </w:tc>
      </w:tr>
      <w:tr w:rsidR="00CF2149" w:rsidRPr="00B01F30" w14:paraId="052C1E0C" w14:textId="77777777" w:rsidTr="00AE5170">
        <w:trPr>
          <w:gridAfter w:val="1"/>
          <w:wAfter w:w="8" w:type="dxa"/>
          <w:trHeight w:val="3495"/>
        </w:trPr>
        <w:tc>
          <w:tcPr>
            <w:tcW w:w="990" w:type="dxa"/>
            <w:tcBorders>
              <w:top w:val="nil"/>
              <w:left w:val="single" w:sz="6" w:space="0" w:color="auto"/>
              <w:bottom w:val="single" w:sz="6" w:space="0" w:color="auto"/>
              <w:right w:val="single" w:sz="6" w:space="0" w:color="auto"/>
            </w:tcBorders>
          </w:tcPr>
          <w:p w14:paraId="153C85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Astell-Burt et al.,</w:t>
            </w:r>
          </w:p>
          <w:p w14:paraId="4DC996B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900" w:type="dxa"/>
            <w:tcBorders>
              <w:top w:val="nil"/>
              <w:left w:val="single" w:sz="6" w:space="0" w:color="auto"/>
              <w:bottom w:val="single" w:sz="6" w:space="0" w:color="auto"/>
              <w:right w:val="single" w:sz="6" w:space="0" w:color="auto"/>
            </w:tcBorders>
          </w:tcPr>
          <w:p w14:paraId="49A7FD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900" w:type="dxa"/>
            <w:gridSpan w:val="2"/>
            <w:tcBorders>
              <w:top w:val="nil"/>
              <w:left w:val="single" w:sz="6" w:space="0" w:color="auto"/>
              <w:bottom w:val="single" w:sz="6" w:space="0" w:color="auto"/>
              <w:right w:val="single" w:sz="6" w:space="0" w:color="auto"/>
            </w:tcBorders>
          </w:tcPr>
          <w:p w14:paraId="4CC2EC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6CE9E7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203,883</w:t>
            </w:r>
          </w:p>
        </w:tc>
        <w:tc>
          <w:tcPr>
            <w:tcW w:w="1080" w:type="dxa"/>
            <w:tcBorders>
              <w:top w:val="nil"/>
              <w:left w:val="single" w:sz="6" w:space="0" w:color="auto"/>
              <w:bottom w:val="single" w:sz="6" w:space="0" w:color="auto"/>
              <w:right w:val="single" w:sz="6" w:space="0" w:color="auto"/>
            </w:tcBorders>
          </w:tcPr>
          <w:p w14:paraId="645ABCE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080EAF0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w:t>
            </w:r>
          </w:p>
        </w:tc>
        <w:tc>
          <w:tcPr>
            <w:tcW w:w="1440" w:type="dxa"/>
            <w:gridSpan w:val="2"/>
            <w:tcBorders>
              <w:top w:val="nil"/>
              <w:left w:val="single" w:sz="6" w:space="0" w:color="auto"/>
              <w:bottom w:val="single" w:sz="6" w:space="0" w:color="auto"/>
              <w:right w:val="single" w:sz="6" w:space="0" w:color="auto"/>
            </w:tcBorders>
          </w:tcPr>
          <w:p w14:paraId="365DA5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green space within 1-km radius of neighborhood (CCD centroid)</w:t>
            </w:r>
          </w:p>
        </w:tc>
        <w:tc>
          <w:tcPr>
            <w:tcW w:w="1080" w:type="dxa"/>
            <w:tcBorders>
              <w:top w:val="nil"/>
              <w:left w:val="single" w:sz="6" w:space="0" w:color="auto"/>
              <w:bottom w:val="single" w:sz="6" w:space="0" w:color="auto"/>
              <w:right w:val="single" w:sz="6" w:space="0" w:color="auto"/>
            </w:tcBorders>
          </w:tcPr>
          <w:p w14:paraId="41924A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ABS Meshblock parkland</w:t>
            </w:r>
          </w:p>
        </w:tc>
        <w:tc>
          <w:tcPr>
            <w:tcW w:w="1260" w:type="dxa"/>
            <w:tcBorders>
              <w:top w:val="nil"/>
              <w:left w:val="single" w:sz="6" w:space="0" w:color="auto"/>
              <w:bottom w:val="single" w:sz="6" w:space="0" w:color="auto"/>
              <w:right w:val="single" w:sz="6" w:space="0" w:color="auto"/>
            </w:tcBorders>
          </w:tcPr>
          <w:p w14:paraId="244F5B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Australian Bureau of Statistics Meshblocks (2006)</w:t>
            </w:r>
          </w:p>
        </w:tc>
        <w:tc>
          <w:tcPr>
            <w:tcW w:w="1377" w:type="dxa"/>
            <w:tcBorders>
              <w:top w:val="nil"/>
              <w:left w:val="single" w:sz="6" w:space="0" w:color="auto"/>
              <w:bottom w:val="single" w:sz="6" w:space="0" w:color="auto"/>
              <w:right w:val="single" w:sz="6" w:space="0" w:color="auto"/>
            </w:tcBorders>
          </w:tcPr>
          <w:p w14:paraId="1365D0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Area-based percentage within 1-km buffer</w:t>
            </w:r>
          </w:p>
        </w:tc>
        <w:tc>
          <w:tcPr>
            <w:tcW w:w="1143" w:type="dxa"/>
            <w:tcBorders>
              <w:top w:val="nil"/>
              <w:left w:val="single" w:sz="6" w:space="0" w:color="auto"/>
              <w:bottom w:val="single" w:sz="6" w:space="0" w:color="auto"/>
              <w:right w:val="single" w:sz="6" w:space="0" w:color="auto"/>
            </w:tcBorders>
          </w:tcPr>
          <w:p w14:paraId="44054DD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Categories by % green space</w:t>
            </w:r>
          </w:p>
        </w:tc>
        <w:tc>
          <w:tcPr>
            <w:tcW w:w="1253" w:type="dxa"/>
            <w:tcBorders>
              <w:top w:val="nil"/>
              <w:left w:val="single" w:sz="6" w:space="0" w:color="auto"/>
              <w:bottom w:val="single" w:sz="6" w:space="0" w:color="auto"/>
              <w:right w:val="single" w:sz="6" w:space="0" w:color="auto"/>
            </w:tcBorders>
          </w:tcPr>
          <w:p w14:paraId="1A87AB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61BF1C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Weekly participation in walking (≥1 session)</w:t>
            </w:r>
          </w:p>
          <w:p w14:paraId="7BC32E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Weekly participation in MVPA (≥1)</w:t>
            </w:r>
          </w:p>
          <w:p w14:paraId="09E01F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 Frequency (sessions/week) among participants</w:t>
            </w:r>
          </w:p>
        </w:tc>
        <w:tc>
          <w:tcPr>
            <w:tcW w:w="1260" w:type="dxa"/>
            <w:tcBorders>
              <w:top w:val="nil"/>
              <w:left w:val="single" w:sz="6" w:space="0" w:color="auto"/>
              <w:bottom w:val="single" w:sz="6" w:space="0" w:color="auto"/>
              <w:right w:val="single" w:sz="6" w:space="0" w:color="auto"/>
            </w:tcBorders>
          </w:tcPr>
          <w:p w14:paraId="761972D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Australia Survey</w:t>
            </w:r>
          </w:p>
        </w:tc>
        <w:tc>
          <w:tcPr>
            <w:tcW w:w="1087" w:type="dxa"/>
            <w:tcBorders>
              <w:top w:val="nil"/>
              <w:left w:val="single" w:sz="6" w:space="0" w:color="auto"/>
              <w:bottom w:val="single" w:sz="6" w:space="0" w:color="auto"/>
              <w:right w:val="single" w:sz="6" w:space="0" w:color="auto"/>
            </w:tcBorders>
          </w:tcPr>
          <w:p w14:paraId="49578C5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260" w:type="dxa"/>
            <w:tcBorders>
              <w:top w:val="nil"/>
              <w:left w:val="single" w:sz="6" w:space="0" w:color="auto"/>
              <w:bottom w:val="single" w:sz="6" w:space="0" w:color="auto"/>
              <w:right w:val="single" w:sz="6" w:space="0" w:color="auto"/>
            </w:tcBorders>
          </w:tcPr>
          <w:p w14:paraId="3EB0486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0BD6DDA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4D0327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0D0FBB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economic activity, </w:t>
            </w:r>
          </w:p>
          <w:p w14:paraId="2F9857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couple status, </w:t>
            </w:r>
          </w:p>
          <w:p w14:paraId="0259AA8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mental health</w:t>
            </w:r>
          </w:p>
          <w:p w14:paraId="44EF74B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ethnicity </w:t>
            </w:r>
          </w:p>
          <w:p w14:paraId="315DD7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country of birth</w:t>
            </w:r>
          </w:p>
          <w:p w14:paraId="781558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language at home, </w:t>
            </w:r>
          </w:p>
          <w:p w14:paraId="65F30CA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time outdoors </w:t>
            </w:r>
          </w:p>
          <w:p w14:paraId="383A925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social interactions, </w:t>
            </w:r>
          </w:p>
          <w:p w14:paraId="3A0C8A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affluence </w:t>
            </w:r>
          </w:p>
          <w:p w14:paraId="0E3A0A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remoteness </w:t>
            </w:r>
          </w:p>
        </w:tc>
        <w:tc>
          <w:tcPr>
            <w:tcW w:w="990" w:type="dxa"/>
            <w:tcBorders>
              <w:top w:val="nil"/>
              <w:left w:val="single" w:sz="6" w:space="0" w:color="auto"/>
              <w:bottom w:val="single" w:sz="6" w:space="0" w:color="auto"/>
              <w:right w:val="single" w:sz="6" w:space="0" w:color="auto"/>
            </w:tcBorders>
          </w:tcPr>
          <w:p w14:paraId="63A4372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Odds ratio (OR); </w:t>
            </w:r>
          </w:p>
          <w:p w14:paraId="2DE4F43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Incidence Rate Ratio (IRR)</w:t>
            </w:r>
          </w:p>
        </w:tc>
        <w:tc>
          <w:tcPr>
            <w:tcW w:w="3420" w:type="dxa"/>
            <w:gridSpan w:val="3"/>
            <w:tcBorders>
              <w:top w:val="nil"/>
              <w:left w:val="single" w:sz="6" w:space="0" w:color="auto"/>
              <w:bottom w:val="single" w:sz="6" w:space="0" w:color="auto"/>
              <w:right w:val="single" w:sz="6" w:space="0" w:color="auto"/>
            </w:tcBorders>
          </w:tcPr>
          <w:p w14:paraId="4378BC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Weekly walking (per 20% ↑ green space): OR 1.06; 95% CI 1.05–1.08; p&lt;0.001; positive. </w:t>
            </w:r>
          </w:p>
          <w:p w14:paraId="09E5D19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0A5CD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Weekly MVPA (per 20% ↑): OR 1.08; 95% CI 1.07–1.10; p&lt;0.001; positive. </w:t>
            </w:r>
          </w:p>
          <w:p w14:paraId="03C093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DF5E0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Frequency among participants (≥80% vs 0–20% green space):</w:t>
            </w:r>
          </w:p>
          <w:p w14:paraId="2CC4A02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E41B18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IRR 1.09; 95% CI 1.05–1.13; positive.</w:t>
            </w:r>
          </w:p>
          <w:p w14:paraId="0944069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1BECA4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IRR 1.10; 95% CI 1.05–1.15; positive.</w:t>
            </w:r>
          </w:p>
        </w:tc>
        <w:tc>
          <w:tcPr>
            <w:tcW w:w="1080" w:type="dxa"/>
            <w:tcBorders>
              <w:top w:val="nil"/>
              <w:left w:val="single" w:sz="6" w:space="0" w:color="auto"/>
              <w:bottom w:val="single" w:sz="6" w:space="0" w:color="auto"/>
              <w:right w:val="single" w:sz="6" w:space="0" w:color="auto"/>
            </w:tcBorders>
          </w:tcPr>
          <w:p w14:paraId="5F6372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(more neighborhood green space → higher odds of weekly walking/MVPA and slightly higher session frequency)</w:t>
            </w:r>
          </w:p>
        </w:tc>
      </w:tr>
      <w:tr w:rsidR="00CF2149" w:rsidRPr="00B01F30" w14:paraId="777E85A1" w14:textId="77777777" w:rsidTr="003B2FCF">
        <w:trPr>
          <w:gridAfter w:val="1"/>
          <w:wAfter w:w="8" w:type="dxa"/>
          <w:trHeight w:val="3099"/>
        </w:trPr>
        <w:tc>
          <w:tcPr>
            <w:tcW w:w="990" w:type="dxa"/>
            <w:tcBorders>
              <w:top w:val="nil"/>
              <w:left w:val="single" w:sz="6" w:space="0" w:color="auto"/>
              <w:bottom w:val="single" w:sz="6" w:space="0" w:color="auto"/>
              <w:right w:val="single" w:sz="6" w:space="0" w:color="auto"/>
            </w:tcBorders>
          </w:tcPr>
          <w:p w14:paraId="088976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Derose et al.,</w:t>
            </w:r>
          </w:p>
          <w:p w14:paraId="1C9E37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2018</w:t>
            </w:r>
          </w:p>
        </w:tc>
        <w:tc>
          <w:tcPr>
            <w:tcW w:w="900" w:type="dxa"/>
            <w:tcBorders>
              <w:top w:val="nil"/>
              <w:left w:val="single" w:sz="6" w:space="0" w:color="auto"/>
              <w:bottom w:val="single" w:sz="6" w:space="0" w:color="auto"/>
              <w:right w:val="single" w:sz="6" w:space="0" w:color="auto"/>
            </w:tcBorders>
          </w:tcPr>
          <w:p w14:paraId="7CB7FB2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392C369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037ADF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2,973</w:t>
            </w:r>
          </w:p>
        </w:tc>
        <w:tc>
          <w:tcPr>
            <w:tcW w:w="1080" w:type="dxa"/>
            <w:tcBorders>
              <w:top w:val="nil"/>
              <w:left w:val="single" w:sz="6" w:space="0" w:color="auto"/>
              <w:bottom w:val="single" w:sz="6" w:space="0" w:color="auto"/>
              <w:right w:val="single" w:sz="6" w:space="0" w:color="auto"/>
            </w:tcBorders>
          </w:tcPr>
          <w:p w14:paraId="231934B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living ≤1 mile from neighborhood parks</w:t>
            </w:r>
          </w:p>
          <w:p w14:paraId="190850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18–74+</w:t>
            </w:r>
          </w:p>
        </w:tc>
        <w:tc>
          <w:tcPr>
            <w:tcW w:w="1440" w:type="dxa"/>
            <w:gridSpan w:val="2"/>
            <w:tcBorders>
              <w:top w:val="nil"/>
              <w:left w:val="single" w:sz="6" w:space="0" w:color="auto"/>
              <w:bottom w:val="single" w:sz="6" w:space="0" w:color="auto"/>
              <w:right w:val="single" w:sz="6" w:space="0" w:color="auto"/>
            </w:tcBorders>
          </w:tcPr>
          <w:p w14:paraId="6F179AB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Residential distance band to park</w:t>
            </w:r>
          </w:p>
        </w:tc>
        <w:tc>
          <w:tcPr>
            <w:tcW w:w="1080" w:type="dxa"/>
            <w:tcBorders>
              <w:top w:val="nil"/>
              <w:left w:val="single" w:sz="6" w:space="0" w:color="auto"/>
              <w:bottom w:val="single" w:sz="6" w:space="0" w:color="auto"/>
              <w:right w:val="single" w:sz="6" w:space="0" w:color="auto"/>
            </w:tcBorders>
          </w:tcPr>
          <w:p w14:paraId="7797C0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public parks</w:t>
            </w:r>
          </w:p>
        </w:tc>
        <w:tc>
          <w:tcPr>
            <w:tcW w:w="1260" w:type="dxa"/>
            <w:tcBorders>
              <w:top w:val="nil"/>
              <w:left w:val="single" w:sz="6" w:space="0" w:color="auto"/>
              <w:bottom w:val="single" w:sz="6" w:space="0" w:color="auto"/>
              <w:right w:val="single" w:sz="6" w:space="0" w:color="auto"/>
            </w:tcBorders>
          </w:tcPr>
          <w:p w14:paraId="13CDC7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Los Angeles Dept. of Recreation &amp; Parks (48 study parks)</w:t>
            </w:r>
          </w:p>
        </w:tc>
        <w:tc>
          <w:tcPr>
            <w:tcW w:w="1377" w:type="dxa"/>
            <w:tcBorders>
              <w:top w:val="nil"/>
              <w:left w:val="single" w:sz="6" w:space="0" w:color="auto"/>
              <w:bottom w:val="single" w:sz="6" w:space="0" w:color="auto"/>
              <w:right w:val="single" w:sz="6" w:space="0" w:color="auto"/>
            </w:tcBorders>
          </w:tcPr>
          <w:p w14:paraId="587AD3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bands within 1 mile (buffer rings)</w:t>
            </w:r>
          </w:p>
        </w:tc>
        <w:tc>
          <w:tcPr>
            <w:tcW w:w="1143" w:type="dxa"/>
            <w:tcBorders>
              <w:top w:val="nil"/>
              <w:left w:val="single" w:sz="6" w:space="0" w:color="auto"/>
              <w:bottom w:val="single" w:sz="6" w:space="0" w:color="auto"/>
              <w:right w:val="single" w:sz="6" w:space="0" w:color="auto"/>
            </w:tcBorders>
          </w:tcPr>
          <w:p w14:paraId="7B23806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0–0.25 mi; </w:t>
            </w:r>
          </w:p>
          <w:p w14:paraId="1C01D4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0.25–0.5 mi; </w:t>
            </w:r>
          </w:p>
          <w:p w14:paraId="0D30A8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0.5–1 mi (ref)</w:t>
            </w:r>
          </w:p>
        </w:tc>
        <w:tc>
          <w:tcPr>
            <w:tcW w:w="1253" w:type="dxa"/>
            <w:tcBorders>
              <w:top w:val="nil"/>
              <w:left w:val="single" w:sz="6" w:space="0" w:color="auto"/>
              <w:bottom w:val="single" w:sz="6" w:space="0" w:color="auto"/>
              <w:right w:val="single" w:sz="6" w:space="0" w:color="auto"/>
            </w:tcBorders>
          </w:tcPr>
          <w:p w14:paraId="1EADBB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0A0B40F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meets ≥150 min/wk PA;</w:t>
            </w:r>
          </w:p>
          <w:p w14:paraId="6CC8A0E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exercises in park vs no exercise; </w:t>
            </w:r>
          </w:p>
          <w:p w14:paraId="67D239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exercises elsewhere vs no exercise</w:t>
            </w:r>
          </w:p>
        </w:tc>
        <w:tc>
          <w:tcPr>
            <w:tcW w:w="1260" w:type="dxa"/>
            <w:tcBorders>
              <w:top w:val="nil"/>
              <w:left w:val="single" w:sz="6" w:space="0" w:color="auto"/>
              <w:bottom w:val="single" w:sz="6" w:space="0" w:color="auto"/>
              <w:right w:val="single" w:sz="6" w:space="0" w:color="auto"/>
            </w:tcBorders>
          </w:tcPr>
          <w:p w14:paraId="06E1A8E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Structured interview</w:t>
            </w:r>
          </w:p>
        </w:tc>
        <w:tc>
          <w:tcPr>
            <w:tcW w:w="1087" w:type="dxa"/>
            <w:tcBorders>
              <w:top w:val="nil"/>
              <w:left w:val="single" w:sz="6" w:space="0" w:color="auto"/>
              <w:bottom w:val="single" w:sz="6" w:space="0" w:color="auto"/>
              <w:right w:val="single" w:sz="6" w:space="0" w:color="auto"/>
            </w:tcBorders>
          </w:tcPr>
          <w:p w14:paraId="1A19F2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Hierarchical mixed-effects regression</w:t>
            </w:r>
          </w:p>
        </w:tc>
        <w:tc>
          <w:tcPr>
            <w:tcW w:w="1260" w:type="dxa"/>
            <w:tcBorders>
              <w:top w:val="nil"/>
              <w:left w:val="single" w:sz="6" w:space="0" w:color="auto"/>
              <w:bottom w:val="single" w:sz="6" w:space="0" w:color="auto"/>
              <w:right w:val="single" w:sz="6" w:space="0" w:color="auto"/>
            </w:tcBorders>
          </w:tcPr>
          <w:p w14:paraId="708360A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B1F04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6FF731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race/ethnicity, </w:t>
            </w:r>
          </w:p>
          <w:p w14:paraId="7938099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75D3C0E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obesity, </w:t>
            </w:r>
          </w:p>
          <w:p w14:paraId="579D99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health status, </w:t>
            </w:r>
          </w:p>
          <w:p w14:paraId="5407FD5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&lt;18,</w:t>
            </w:r>
          </w:p>
          <w:p w14:paraId="518E22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perceived park safety, </w:t>
            </w:r>
          </w:p>
          <w:p w14:paraId="54CBC8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screen time; </w:t>
            </w:r>
          </w:p>
          <w:p w14:paraId="28D8B27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 size/usage; </w:t>
            </w:r>
          </w:p>
          <w:p w14:paraId="1C436DC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poverty &amp; population</w:t>
            </w:r>
          </w:p>
        </w:tc>
        <w:tc>
          <w:tcPr>
            <w:tcW w:w="990" w:type="dxa"/>
            <w:tcBorders>
              <w:top w:val="nil"/>
              <w:left w:val="single" w:sz="6" w:space="0" w:color="auto"/>
              <w:bottom w:val="single" w:sz="6" w:space="0" w:color="auto"/>
              <w:right w:val="single" w:sz="6" w:space="0" w:color="auto"/>
            </w:tcBorders>
          </w:tcPr>
          <w:p w14:paraId="61D635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Risk difference (binary)</w:t>
            </w:r>
          </w:p>
        </w:tc>
        <w:tc>
          <w:tcPr>
            <w:tcW w:w="3420" w:type="dxa"/>
            <w:gridSpan w:val="3"/>
            <w:tcBorders>
              <w:top w:val="nil"/>
              <w:left w:val="single" w:sz="6" w:space="0" w:color="auto"/>
              <w:bottom w:val="single" w:sz="6" w:space="0" w:color="auto"/>
              <w:right w:val="single" w:sz="6" w:space="0" w:color="auto"/>
            </w:tcBorders>
          </w:tcPr>
          <w:p w14:paraId="71CFEFD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Exercises in park (vs no exercise): 0–0.25 mi vs 0.5–1 mi → +0.14 (probability), (0.07–0.20), p&lt;.001</w:t>
            </w:r>
          </w:p>
          <w:p w14:paraId="513080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CCE763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Meets PA recommendations: 0–0.25 mi vs 0.5–1 mi → −0.02 (−0.06–0.03), ns</w:t>
            </w:r>
          </w:p>
        </w:tc>
        <w:tc>
          <w:tcPr>
            <w:tcW w:w="1080" w:type="dxa"/>
            <w:tcBorders>
              <w:top w:val="nil"/>
              <w:left w:val="single" w:sz="6" w:space="0" w:color="auto"/>
              <w:bottom w:val="single" w:sz="6" w:space="0" w:color="auto"/>
              <w:right w:val="single" w:sz="6" w:space="0" w:color="auto"/>
            </w:tcBorders>
          </w:tcPr>
          <w:p w14:paraId="279AC4D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Closer residence to park → higher odds of exercising in the park</w:t>
            </w:r>
          </w:p>
        </w:tc>
      </w:tr>
      <w:tr w:rsidR="00CF2149" w:rsidRPr="00B01F30" w14:paraId="0E48D82F" w14:textId="77777777" w:rsidTr="00AE5170">
        <w:trPr>
          <w:gridAfter w:val="1"/>
          <w:wAfter w:w="8" w:type="dxa"/>
          <w:trHeight w:val="4215"/>
        </w:trPr>
        <w:tc>
          <w:tcPr>
            <w:tcW w:w="990" w:type="dxa"/>
            <w:tcBorders>
              <w:top w:val="nil"/>
              <w:left w:val="single" w:sz="6" w:space="0" w:color="auto"/>
              <w:bottom w:val="single" w:sz="6" w:space="0" w:color="auto"/>
              <w:right w:val="single" w:sz="6" w:space="0" w:color="auto"/>
            </w:tcBorders>
          </w:tcPr>
          <w:p w14:paraId="4BD978A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Astell-Burt et al.,</w:t>
            </w:r>
          </w:p>
          <w:p w14:paraId="70F6B8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900" w:type="dxa"/>
            <w:tcBorders>
              <w:top w:val="nil"/>
              <w:left w:val="single" w:sz="6" w:space="0" w:color="auto"/>
              <w:bottom w:val="single" w:sz="6" w:space="0" w:color="auto"/>
              <w:right w:val="single" w:sz="6" w:space="0" w:color="auto"/>
            </w:tcBorders>
          </w:tcPr>
          <w:p w14:paraId="4421F5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900" w:type="dxa"/>
            <w:gridSpan w:val="2"/>
            <w:tcBorders>
              <w:top w:val="nil"/>
              <w:left w:val="single" w:sz="6" w:space="0" w:color="auto"/>
              <w:bottom w:val="single" w:sz="6" w:space="0" w:color="auto"/>
              <w:right w:val="single" w:sz="6" w:space="0" w:color="auto"/>
            </w:tcBorders>
          </w:tcPr>
          <w:p w14:paraId="65DADF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18AC544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246,920</w:t>
            </w:r>
          </w:p>
        </w:tc>
        <w:tc>
          <w:tcPr>
            <w:tcW w:w="1080" w:type="dxa"/>
            <w:tcBorders>
              <w:top w:val="nil"/>
              <w:left w:val="single" w:sz="6" w:space="0" w:color="auto"/>
              <w:bottom w:val="single" w:sz="6" w:space="0" w:color="auto"/>
              <w:right w:val="single" w:sz="6" w:space="0" w:color="auto"/>
            </w:tcBorders>
          </w:tcPr>
          <w:p w14:paraId="262953F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1A8661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45–106</w:t>
            </w:r>
          </w:p>
        </w:tc>
        <w:tc>
          <w:tcPr>
            <w:tcW w:w="1440" w:type="dxa"/>
            <w:gridSpan w:val="2"/>
            <w:tcBorders>
              <w:top w:val="nil"/>
              <w:left w:val="single" w:sz="6" w:space="0" w:color="auto"/>
              <w:bottom w:val="single" w:sz="6" w:space="0" w:color="auto"/>
              <w:right w:val="single" w:sz="6" w:space="0" w:color="auto"/>
            </w:tcBorders>
          </w:tcPr>
          <w:p w14:paraId="304FA0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green space within 1-km radius of neighborhood (CCD centroid)</w:t>
            </w:r>
          </w:p>
        </w:tc>
        <w:tc>
          <w:tcPr>
            <w:tcW w:w="1080" w:type="dxa"/>
            <w:tcBorders>
              <w:top w:val="nil"/>
              <w:left w:val="single" w:sz="6" w:space="0" w:color="auto"/>
              <w:bottom w:val="single" w:sz="6" w:space="0" w:color="auto"/>
              <w:right w:val="single" w:sz="6" w:space="0" w:color="auto"/>
            </w:tcBorders>
          </w:tcPr>
          <w:p w14:paraId="79CD9DC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ABS “park” land; farmland excluded</w:t>
            </w:r>
          </w:p>
        </w:tc>
        <w:tc>
          <w:tcPr>
            <w:tcW w:w="1260" w:type="dxa"/>
            <w:tcBorders>
              <w:top w:val="nil"/>
              <w:left w:val="single" w:sz="6" w:space="0" w:color="auto"/>
              <w:bottom w:val="single" w:sz="6" w:space="0" w:color="auto"/>
              <w:right w:val="single" w:sz="6" w:space="0" w:color="auto"/>
            </w:tcBorders>
          </w:tcPr>
          <w:p w14:paraId="6029B89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Australian Bureau of Statistics (parks dataset; 2006)</w:t>
            </w:r>
          </w:p>
        </w:tc>
        <w:tc>
          <w:tcPr>
            <w:tcW w:w="1377" w:type="dxa"/>
            <w:tcBorders>
              <w:top w:val="nil"/>
              <w:left w:val="single" w:sz="6" w:space="0" w:color="auto"/>
              <w:bottom w:val="single" w:sz="6" w:space="0" w:color="auto"/>
              <w:right w:val="single" w:sz="6" w:space="0" w:color="auto"/>
            </w:tcBorders>
          </w:tcPr>
          <w:p w14:paraId="3B9C9EE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Area-based % within 1-km buffer</w:t>
            </w:r>
          </w:p>
        </w:tc>
        <w:tc>
          <w:tcPr>
            <w:tcW w:w="1143" w:type="dxa"/>
            <w:tcBorders>
              <w:top w:val="nil"/>
              <w:left w:val="single" w:sz="6" w:space="0" w:color="auto"/>
              <w:bottom w:val="single" w:sz="6" w:space="0" w:color="auto"/>
              <w:right w:val="single" w:sz="6" w:space="0" w:color="auto"/>
            </w:tcBorders>
          </w:tcPr>
          <w:p w14:paraId="0289CA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 space categories:</w:t>
            </w:r>
          </w:p>
          <w:p w14:paraId="7B39F3D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0–20%</w:t>
            </w:r>
          </w:p>
          <w:p w14:paraId="794C0C2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21–40%</w:t>
            </w:r>
          </w:p>
          <w:p w14:paraId="757AC9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41–60%</w:t>
            </w:r>
          </w:p>
          <w:p w14:paraId="02866B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61–80%</w:t>
            </w:r>
          </w:p>
          <w:p w14:paraId="79CB2E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≥81%</w:t>
            </w:r>
          </w:p>
        </w:tc>
        <w:tc>
          <w:tcPr>
            <w:tcW w:w="1253" w:type="dxa"/>
            <w:tcBorders>
              <w:top w:val="nil"/>
              <w:left w:val="single" w:sz="6" w:space="0" w:color="auto"/>
              <w:bottom w:val="single" w:sz="6" w:space="0" w:color="auto"/>
              <w:right w:val="single" w:sz="6" w:space="0" w:color="auto"/>
            </w:tcBorders>
          </w:tcPr>
          <w:p w14:paraId="02CDC1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2A7C10C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frequency</w:t>
            </w:r>
          </w:p>
          <w:p w14:paraId="749BF8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Sitting time</w:t>
            </w:r>
          </w:p>
        </w:tc>
        <w:tc>
          <w:tcPr>
            <w:tcW w:w="1260" w:type="dxa"/>
            <w:tcBorders>
              <w:top w:val="nil"/>
              <w:left w:val="single" w:sz="6" w:space="0" w:color="auto"/>
              <w:bottom w:val="single" w:sz="6" w:space="0" w:color="auto"/>
              <w:right w:val="single" w:sz="6" w:space="0" w:color="auto"/>
            </w:tcBorders>
          </w:tcPr>
          <w:p w14:paraId="1E98904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p w14:paraId="5DE2D3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Australia Survey (MVPA);</w:t>
            </w:r>
          </w:p>
          <w:p w14:paraId="61EAC06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IPAQ item (sitting)</w:t>
            </w:r>
          </w:p>
        </w:tc>
        <w:tc>
          <w:tcPr>
            <w:tcW w:w="1087" w:type="dxa"/>
            <w:tcBorders>
              <w:top w:val="nil"/>
              <w:left w:val="single" w:sz="6" w:space="0" w:color="auto"/>
              <w:bottom w:val="single" w:sz="6" w:space="0" w:color="auto"/>
              <w:right w:val="single" w:sz="6" w:space="0" w:color="auto"/>
            </w:tcBorders>
          </w:tcPr>
          <w:p w14:paraId="05E55F6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Age-adjusted prevalence comparisons for PA (crosstabs)</w:t>
            </w:r>
          </w:p>
        </w:tc>
        <w:tc>
          <w:tcPr>
            <w:tcW w:w="1260" w:type="dxa"/>
            <w:tcBorders>
              <w:top w:val="nil"/>
              <w:left w:val="single" w:sz="6" w:space="0" w:color="auto"/>
              <w:bottom w:val="single" w:sz="6" w:space="0" w:color="auto"/>
              <w:right w:val="single" w:sz="6" w:space="0" w:color="auto"/>
            </w:tcBorders>
          </w:tcPr>
          <w:p w14:paraId="4B88EC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 crosstabs age-adjusted; </w:t>
            </w:r>
          </w:p>
          <w:p w14:paraId="5ED834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tc>
        <w:tc>
          <w:tcPr>
            <w:tcW w:w="990" w:type="dxa"/>
            <w:tcBorders>
              <w:top w:val="nil"/>
              <w:left w:val="single" w:sz="6" w:space="0" w:color="auto"/>
              <w:bottom w:val="single" w:sz="6" w:space="0" w:color="auto"/>
              <w:right w:val="single" w:sz="6" w:space="0" w:color="auto"/>
            </w:tcBorders>
          </w:tcPr>
          <w:p w14:paraId="276177B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Age-adjusted percentages by green-space category</w:t>
            </w:r>
          </w:p>
        </w:tc>
        <w:tc>
          <w:tcPr>
            <w:tcW w:w="2423" w:type="dxa"/>
            <w:gridSpan w:val="2"/>
            <w:tcBorders>
              <w:top w:val="nil"/>
              <w:left w:val="single" w:sz="6" w:space="0" w:color="auto"/>
              <w:bottom w:val="single" w:sz="6" w:space="0" w:color="auto"/>
              <w:right w:val="single" w:sz="6" w:space="0" w:color="auto"/>
            </w:tcBorders>
          </w:tcPr>
          <w:p w14:paraId="250E55EB" w14:textId="59FF7971"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Lowest MVPA quartile (0–3 sessions/wk):</w:t>
            </w:r>
          </w:p>
          <w:p w14:paraId="31168CB6" w14:textId="38E2DB7D"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Men: 0–20% GS 28.7% (28.3–29.0) → ≥81% GS 23.2% (21.7–24.7), ***</w:t>
            </w:r>
          </w:p>
          <w:p w14:paraId="0F9D0CA1" w14:textId="720B126A"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Women: 0–20% 26.8% (26.5–27.1) → ≥81% 22.8% (21.4–24.3), ***</w:t>
            </w:r>
          </w:p>
          <w:p w14:paraId="194DCE8A" w14:textId="2DCE5BB4"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Highest sitting quartile (≥7.5 h/day):</w:t>
            </w:r>
          </w:p>
          <w:p w14:paraId="6EBCCBFA" w14:textId="60A0D125"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Men: 0–20% 25.2% (24.9–25.5) → ≥81% 20.7% (19.2–22.2), ***</w:t>
            </w:r>
          </w:p>
          <w:p w14:paraId="5BEA1A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Women: 0–20% 20.1% (19.8–20.4) → ≥81% 17.4% (16.1–18.7), ***</w:t>
            </w:r>
          </w:p>
        </w:tc>
        <w:tc>
          <w:tcPr>
            <w:tcW w:w="997" w:type="dxa"/>
            <w:tcBorders>
              <w:top w:val="nil"/>
              <w:left w:val="single" w:sz="6" w:space="0" w:color="auto"/>
              <w:bottom w:val="single" w:sz="6" w:space="0" w:color="auto"/>
              <w:right w:val="single" w:sz="6" w:space="0" w:color="auto"/>
            </w:tcBorders>
          </w:tcPr>
          <w:p w14:paraId="3EFA060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p&lt;0.001</w:t>
            </w:r>
          </w:p>
        </w:tc>
        <w:tc>
          <w:tcPr>
            <w:tcW w:w="1080" w:type="dxa"/>
            <w:tcBorders>
              <w:top w:val="nil"/>
              <w:left w:val="single" w:sz="6" w:space="0" w:color="auto"/>
              <w:bottom w:val="single" w:sz="6" w:space="0" w:color="auto"/>
              <w:right w:val="single" w:sz="6" w:space="0" w:color="auto"/>
            </w:tcBorders>
          </w:tcPr>
          <w:p w14:paraId="18C6662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More nearby green space → lower prevalence of very low MVPA and high sitting (favorable PA profile).</w:t>
            </w:r>
          </w:p>
        </w:tc>
      </w:tr>
      <w:tr w:rsidR="00CF2149" w:rsidRPr="00B01F30" w14:paraId="74B8B1D0" w14:textId="77777777" w:rsidTr="00AE5170">
        <w:trPr>
          <w:gridAfter w:val="1"/>
          <w:wAfter w:w="8" w:type="dxa"/>
          <w:trHeight w:val="2118"/>
        </w:trPr>
        <w:tc>
          <w:tcPr>
            <w:tcW w:w="990" w:type="dxa"/>
            <w:tcBorders>
              <w:top w:val="nil"/>
              <w:left w:val="single" w:sz="6" w:space="0" w:color="auto"/>
              <w:bottom w:val="single" w:sz="6" w:space="0" w:color="auto"/>
              <w:right w:val="single" w:sz="6" w:space="0" w:color="auto"/>
            </w:tcBorders>
          </w:tcPr>
          <w:p w14:paraId="1B9A2E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Hall et al.,</w:t>
            </w:r>
          </w:p>
          <w:p w14:paraId="04F7FEB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2010</w:t>
            </w:r>
          </w:p>
        </w:tc>
        <w:tc>
          <w:tcPr>
            <w:tcW w:w="900" w:type="dxa"/>
            <w:tcBorders>
              <w:top w:val="nil"/>
              <w:left w:val="single" w:sz="6" w:space="0" w:color="auto"/>
              <w:bottom w:val="single" w:sz="6" w:space="0" w:color="auto"/>
              <w:right w:val="single" w:sz="6" w:space="0" w:color="auto"/>
            </w:tcBorders>
          </w:tcPr>
          <w:p w14:paraId="38F4384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0C1FEEA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40138E5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128</w:t>
            </w:r>
          </w:p>
        </w:tc>
        <w:tc>
          <w:tcPr>
            <w:tcW w:w="1080" w:type="dxa"/>
            <w:tcBorders>
              <w:top w:val="nil"/>
              <w:left w:val="single" w:sz="6" w:space="0" w:color="auto"/>
              <w:bottom w:val="single" w:sz="6" w:space="0" w:color="auto"/>
              <w:right w:val="single" w:sz="6" w:space="0" w:color="auto"/>
            </w:tcBorders>
          </w:tcPr>
          <w:p w14:paraId="49480A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older women</w:t>
            </w:r>
          </w:p>
          <w:p w14:paraId="6BC99B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69.8 y</w:t>
            </w:r>
          </w:p>
        </w:tc>
        <w:tc>
          <w:tcPr>
            <w:tcW w:w="1440" w:type="dxa"/>
            <w:gridSpan w:val="2"/>
            <w:tcBorders>
              <w:top w:val="nil"/>
              <w:left w:val="single" w:sz="6" w:space="0" w:color="auto"/>
              <w:bottom w:val="single" w:sz="6" w:space="0" w:color="auto"/>
              <w:right w:val="single" w:sz="6" w:space="0" w:color="auto"/>
            </w:tcBorders>
          </w:tcPr>
          <w:p w14:paraId="305EE3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counts within 1 km of home: walking paths, parks, recreation areas</w:t>
            </w:r>
          </w:p>
        </w:tc>
        <w:tc>
          <w:tcPr>
            <w:tcW w:w="1080" w:type="dxa"/>
            <w:tcBorders>
              <w:top w:val="nil"/>
              <w:left w:val="single" w:sz="6" w:space="0" w:color="auto"/>
              <w:bottom w:val="single" w:sz="6" w:space="0" w:color="auto"/>
              <w:right w:val="single" w:sz="6" w:space="0" w:color="auto"/>
            </w:tcBorders>
          </w:tcPr>
          <w:p w14:paraId="433EFE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 walking paths/trails</w:t>
            </w:r>
          </w:p>
        </w:tc>
        <w:tc>
          <w:tcPr>
            <w:tcW w:w="1260" w:type="dxa"/>
            <w:tcBorders>
              <w:top w:val="nil"/>
              <w:left w:val="single" w:sz="6" w:space="0" w:color="auto"/>
              <w:bottom w:val="single" w:sz="6" w:space="0" w:color="auto"/>
              <w:right w:val="single" w:sz="6" w:space="0" w:color="auto"/>
            </w:tcBorders>
          </w:tcPr>
          <w:p w14:paraId="62C218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audit of facilities around geocoded homes</w:t>
            </w:r>
          </w:p>
        </w:tc>
        <w:tc>
          <w:tcPr>
            <w:tcW w:w="1377" w:type="dxa"/>
            <w:tcBorders>
              <w:top w:val="nil"/>
              <w:left w:val="single" w:sz="6" w:space="0" w:color="auto"/>
              <w:bottom w:val="single" w:sz="6" w:space="0" w:color="auto"/>
              <w:right w:val="single" w:sz="6" w:space="0" w:color="auto"/>
            </w:tcBorders>
          </w:tcPr>
          <w:p w14:paraId="4B33B7E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1 km circular buffers</w:t>
            </w:r>
          </w:p>
        </w:tc>
        <w:tc>
          <w:tcPr>
            <w:tcW w:w="1143" w:type="dxa"/>
            <w:tcBorders>
              <w:top w:val="nil"/>
              <w:left w:val="single" w:sz="6" w:space="0" w:color="auto"/>
              <w:bottom w:val="single" w:sz="6" w:space="0" w:color="auto"/>
              <w:right w:val="single" w:sz="6" w:space="0" w:color="auto"/>
            </w:tcBorders>
          </w:tcPr>
          <w:p w14:paraId="1A22EF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km buffer (exposure); </w:t>
            </w:r>
          </w:p>
          <w:p w14:paraId="495D72E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10 000 steps/day (outcome)</w:t>
            </w:r>
          </w:p>
        </w:tc>
        <w:tc>
          <w:tcPr>
            <w:tcW w:w="1253" w:type="dxa"/>
            <w:tcBorders>
              <w:top w:val="nil"/>
              <w:left w:val="single" w:sz="6" w:space="0" w:color="auto"/>
              <w:bottom w:val="single" w:sz="6" w:space="0" w:color="auto"/>
              <w:right w:val="single" w:sz="6" w:space="0" w:color="auto"/>
            </w:tcBorders>
          </w:tcPr>
          <w:p w14:paraId="210F13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5A61F1E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Achieving ≥10 000 steps/day (yes/no); </w:t>
            </w:r>
          </w:p>
          <w:p w14:paraId="7A896C6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steps/day</w:t>
            </w:r>
          </w:p>
        </w:tc>
        <w:tc>
          <w:tcPr>
            <w:tcW w:w="1260" w:type="dxa"/>
            <w:tcBorders>
              <w:top w:val="nil"/>
              <w:left w:val="single" w:sz="6" w:space="0" w:color="auto"/>
              <w:bottom w:val="single" w:sz="6" w:space="0" w:color="auto"/>
              <w:right w:val="single" w:sz="6" w:space="0" w:color="auto"/>
            </w:tcBorders>
          </w:tcPr>
          <w:p w14:paraId="05117F1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(ActiGraph 7165)</w:t>
            </w:r>
          </w:p>
        </w:tc>
        <w:tc>
          <w:tcPr>
            <w:tcW w:w="1087" w:type="dxa"/>
            <w:tcBorders>
              <w:top w:val="nil"/>
              <w:left w:val="single" w:sz="6" w:space="0" w:color="auto"/>
              <w:bottom w:val="single" w:sz="6" w:space="0" w:color="auto"/>
              <w:right w:val="single" w:sz="6" w:space="0" w:color="auto"/>
            </w:tcBorders>
          </w:tcPr>
          <w:p w14:paraId="0B44978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discriminant function analysis</w:t>
            </w:r>
          </w:p>
        </w:tc>
        <w:tc>
          <w:tcPr>
            <w:tcW w:w="1260" w:type="dxa"/>
            <w:tcBorders>
              <w:top w:val="nil"/>
              <w:left w:val="single" w:sz="6" w:space="0" w:color="auto"/>
              <w:bottom w:val="single" w:sz="6" w:space="0" w:color="auto"/>
              <w:right w:val="single" w:sz="6" w:space="0" w:color="auto"/>
            </w:tcBorders>
          </w:tcPr>
          <w:p w14:paraId="6176D70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 (in MANOVAs)</w:t>
            </w:r>
          </w:p>
        </w:tc>
        <w:tc>
          <w:tcPr>
            <w:tcW w:w="990" w:type="dxa"/>
            <w:tcBorders>
              <w:top w:val="nil"/>
              <w:left w:val="single" w:sz="6" w:space="0" w:color="auto"/>
              <w:bottom w:val="single" w:sz="6" w:space="0" w:color="auto"/>
              <w:right w:val="single" w:sz="6" w:space="0" w:color="auto"/>
            </w:tcBorders>
          </w:tcPr>
          <w:p w14:paraId="272453C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differences with F-tests</w:t>
            </w:r>
          </w:p>
        </w:tc>
        <w:tc>
          <w:tcPr>
            <w:tcW w:w="3420" w:type="dxa"/>
            <w:gridSpan w:val="3"/>
            <w:tcBorders>
              <w:top w:val="nil"/>
              <w:left w:val="single" w:sz="6" w:space="0" w:color="auto"/>
              <w:bottom w:val="single" w:sz="6" w:space="0" w:color="auto"/>
              <w:right w:val="single" w:sz="6" w:space="0" w:color="auto"/>
            </w:tcBorders>
          </w:tcPr>
          <w:p w14:paraId="37AFD0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paths within 1 km: mean 1.18 vs 1.89; F=5.88, p=0.02 (lower in &lt;10k group)</w:t>
            </w:r>
          </w:p>
          <w:p w14:paraId="6ECBFC8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2A4718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within 1 km: 2.53 vs 3.29; F=2.13, p=0.15 (ns)</w:t>
            </w:r>
          </w:p>
        </w:tc>
        <w:tc>
          <w:tcPr>
            <w:tcW w:w="1080" w:type="dxa"/>
            <w:tcBorders>
              <w:top w:val="nil"/>
              <w:left w:val="single" w:sz="6" w:space="0" w:color="auto"/>
              <w:bottom w:val="single" w:sz="6" w:space="0" w:color="auto"/>
              <w:right w:val="single" w:sz="6" w:space="0" w:color="auto"/>
            </w:tcBorders>
          </w:tcPr>
          <w:p w14:paraId="19A5479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More walking paths → higher likelihood of reaching 10 000 steps/day; parks count not significant.</w:t>
            </w:r>
          </w:p>
        </w:tc>
      </w:tr>
      <w:tr w:rsidR="00CF2149" w:rsidRPr="00B01F30" w14:paraId="59A12C20" w14:textId="77777777" w:rsidTr="003B2FCF">
        <w:trPr>
          <w:gridAfter w:val="1"/>
          <w:wAfter w:w="8" w:type="dxa"/>
          <w:trHeight w:val="2649"/>
        </w:trPr>
        <w:tc>
          <w:tcPr>
            <w:tcW w:w="990" w:type="dxa"/>
            <w:tcBorders>
              <w:top w:val="nil"/>
              <w:left w:val="single" w:sz="6" w:space="0" w:color="auto"/>
              <w:bottom w:val="single" w:sz="6" w:space="0" w:color="auto"/>
              <w:right w:val="single" w:sz="6" w:space="0" w:color="auto"/>
            </w:tcBorders>
          </w:tcPr>
          <w:p w14:paraId="6C8A74B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Carlson et al.,</w:t>
            </w:r>
          </w:p>
          <w:p w14:paraId="16AC8FF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2012</w:t>
            </w:r>
          </w:p>
        </w:tc>
        <w:tc>
          <w:tcPr>
            <w:tcW w:w="900" w:type="dxa"/>
            <w:tcBorders>
              <w:top w:val="nil"/>
              <w:left w:val="single" w:sz="6" w:space="0" w:color="auto"/>
              <w:bottom w:val="single" w:sz="6" w:space="0" w:color="auto"/>
              <w:right w:val="single" w:sz="6" w:space="0" w:color="auto"/>
            </w:tcBorders>
          </w:tcPr>
          <w:p w14:paraId="751A9C9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18F716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A1D0E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718</w:t>
            </w:r>
          </w:p>
        </w:tc>
        <w:tc>
          <w:tcPr>
            <w:tcW w:w="1080" w:type="dxa"/>
            <w:tcBorders>
              <w:top w:val="nil"/>
              <w:left w:val="single" w:sz="6" w:space="0" w:color="auto"/>
              <w:bottom w:val="single" w:sz="6" w:space="0" w:color="auto"/>
              <w:right w:val="single" w:sz="6" w:space="0" w:color="auto"/>
            </w:tcBorders>
          </w:tcPr>
          <w:p w14:paraId="27D0BD1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adults</w:t>
            </w:r>
          </w:p>
          <w:p w14:paraId="0DF2A5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w:t>
            </w:r>
          </w:p>
        </w:tc>
        <w:tc>
          <w:tcPr>
            <w:tcW w:w="1440" w:type="dxa"/>
            <w:gridSpan w:val="2"/>
            <w:tcBorders>
              <w:top w:val="nil"/>
              <w:left w:val="single" w:sz="6" w:space="0" w:color="auto"/>
              <w:bottom w:val="single" w:sz="6" w:space="0" w:color="auto"/>
              <w:right w:val="single" w:sz="6" w:space="0" w:color="auto"/>
            </w:tcBorders>
          </w:tcPr>
          <w:p w14:paraId="30BD1A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of parks &amp; private recreation facilities within 500 m of home</w:t>
            </w:r>
          </w:p>
        </w:tc>
        <w:tc>
          <w:tcPr>
            <w:tcW w:w="1080" w:type="dxa"/>
            <w:tcBorders>
              <w:top w:val="nil"/>
              <w:left w:val="single" w:sz="6" w:space="0" w:color="auto"/>
              <w:bottom w:val="single" w:sz="6" w:space="0" w:color="auto"/>
              <w:right w:val="single" w:sz="6" w:space="0" w:color="auto"/>
            </w:tcBorders>
          </w:tcPr>
          <w:p w14:paraId="61B60BA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260" w:type="dxa"/>
            <w:tcBorders>
              <w:top w:val="nil"/>
              <w:left w:val="single" w:sz="6" w:space="0" w:color="auto"/>
              <w:bottom w:val="single" w:sz="6" w:space="0" w:color="auto"/>
              <w:right w:val="single" w:sz="6" w:space="0" w:color="auto"/>
            </w:tcBorders>
          </w:tcPr>
          <w:p w14:paraId="1FEB1D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Parcel land-use data + local parks agency lists</w:t>
            </w:r>
          </w:p>
        </w:tc>
        <w:tc>
          <w:tcPr>
            <w:tcW w:w="1377" w:type="dxa"/>
            <w:tcBorders>
              <w:top w:val="nil"/>
              <w:left w:val="single" w:sz="6" w:space="0" w:color="auto"/>
              <w:bottom w:val="single" w:sz="6" w:space="0" w:color="auto"/>
              <w:right w:val="single" w:sz="6" w:space="0" w:color="auto"/>
            </w:tcBorders>
          </w:tcPr>
          <w:p w14:paraId="19D4CB2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500 m buffer around home address; counts, then 0/≥1</w:t>
            </w:r>
          </w:p>
        </w:tc>
        <w:tc>
          <w:tcPr>
            <w:tcW w:w="1143" w:type="dxa"/>
            <w:tcBorders>
              <w:top w:val="nil"/>
              <w:left w:val="single" w:sz="6" w:space="0" w:color="auto"/>
              <w:bottom w:val="single" w:sz="6" w:space="0" w:color="auto"/>
              <w:right w:val="single" w:sz="6" w:space="0" w:color="auto"/>
            </w:tcBorders>
          </w:tcPr>
          <w:p w14:paraId="138312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m; </w:t>
            </w:r>
          </w:p>
          <w:p w14:paraId="2657757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 vs ≥1 facility</w:t>
            </w:r>
          </w:p>
        </w:tc>
        <w:tc>
          <w:tcPr>
            <w:tcW w:w="1253" w:type="dxa"/>
            <w:tcBorders>
              <w:top w:val="nil"/>
              <w:left w:val="single" w:sz="6" w:space="0" w:color="auto"/>
              <w:bottom w:val="single" w:sz="6" w:space="0" w:color="auto"/>
              <w:right w:val="single" w:sz="6" w:space="0" w:color="auto"/>
            </w:tcBorders>
          </w:tcPr>
          <w:p w14:paraId="0442A8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0C4644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MVPA (min/week); </w:t>
            </w:r>
          </w:p>
          <w:p w14:paraId="7EBA4B4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for transport (min/week);</w:t>
            </w:r>
          </w:p>
          <w:p w14:paraId="4BE7B1C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walking for leisure</w:t>
            </w:r>
          </w:p>
        </w:tc>
        <w:tc>
          <w:tcPr>
            <w:tcW w:w="1260" w:type="dxa"/>
            <w:tcBorders>
              <w:top w:val="nil"/>
              <w:left w:val="single" w:sz="6" w:space="0" w:color="auto"/>
              <w:bottom w:val="single" w:sz="6" w:space="0" w:color="auto"/>
              <w:right w:val="single" w:sz="6" w:space="0" w:color="auto"/>
            </w:tcBorders>
          </w:tcPr>
          <w:p w14:paraId="129CBD7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(ActiGraph; MVPA) </w:t>
            </w:r>
          </w:p>
          <w:p w14:paraId="221C8C3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CHAMPS self-report (walking)</w:t>
            </w:r>
          </w:p>
        </w:tc>
        <w:tc>
          <w:tcPr>
            <w:tcW w:w="1087" w:type="dxa"/>
            <w:tcBorders>
              <w:top w:val="nil"/>
              <w:left w:val="single" w:sz="6" w:space="0" w:color="auto"/>
              <w:bottom w:val="single" w:sz="6" w:space="0" w:color="auto"/>
              <w:right w:val="single" w:sz="6" w:space="0" w:color="auto"/>
            </w:tcBorders>
          </w:tcPr>
          <w:p w14:paraId="3C3AFC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Mixed-effects linear regression</w:t>
            </w:r>
          </w:p>
        </w:tc>
        <w:tc>
          <w:tcPr>
            <w:tcW w:w="1260" w:type="dxa"/>
            <w:tcBorders>
              <w:top w:val="nil"/>
              <w:left w:val="single" w:sz="6" w:space="0" w:color="auto"/>
              <w:bottom w:val="single" w:sz="6" w:space="0" w:color="auto"/>
              <w:right w:val="single" w:sz="6" w:space="0" w:color="auto"/>
            </w:tcBorders>
          </w:tcPr>
          <w:p w14:paraId="4E438C39" w14:textId="357A6D21"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age, sex, ethnicity</w:t>
            </w:r>
          </w:p>
          <w:p w14:paraId="6682913E" w14:textId="14846098" w:rsidR="00CF2149" w:rsidRPr="00B01F30" w:rsidRDefault="00CF2149" w:rsidP="003B2FCF">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Transport walking: age, ethnicity, months at address, vehicles/adult</w:t>
            </w:r>
          </w:p>
          <w:p w14:paraId="3A0ADDB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 walking: ethnicity, months at address</w:t>
            </w:r>
          </w:p>
        </w:tc>
        <w:tc>
          <w:tcPr>
            <w:tcW w:w="990" w:type="dxa"/>
            <w:tcBorders>
              <w:top w:val="nil"/>
              <w:left w:val="single" w:sz="6" w:space="0" w:color="auto"/>
              <w:bottom w:val="single" w:sz="6" w:space="0" w:color="auto"/>
              <w:right w:val="single" w:sz="6" w:space="0" w:color="auto"/>
            </w:tcBorders>
          </w:tcPr>
          <w:p w14:paraId="4DE8F9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B</w:t>
            </w:r>
          </w:p>
        </w:tc>
        <w:tc>
          <w:tcPr>
            <w:tcW w:w="3420" w:type="dxa"/>
            <w:gridSpan w:val="3"/>
            <w:tcBorders>
              <w:top w:val="nil"/>
              <w:left w:val="single" w:sz="6" w:space="0" w:color="auto"/>
              <w:bottom w:val="single" w:sz="6" w:space="0" w:color="auto"/>
              <w:right w:val="single" w:sz="6" w:space="0" w:color="auto"/>
            </w:tcBorders>
          </w:tcPr>
          <w:p w14:paraId="7DA9D7D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ny park/rec within 500 m → MVPA: B = 7.59; 95% CI −10.86 to 26.03; p=0.419 (ns)</w:t>
            </w:r>
          </w:p>
          <w:p w14:paraId="77CAABD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530769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Transport walking: B = 9.12; 95% CI −4.18 to 22.42; p=0.178 (ns)</w:t>
            </w:r>
          </w:p>
          <w:p w14:paraId="1F42139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4F72D9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Leisure walking: B = −8.09; 95% CI −29.72 to 13.53; p=0.463 (ns)</w:t>
            </w:r>
          </w:p>
        </w:tc>
        <w:tc>
          <w:tcPr>
            <w:tcW w:w="1080" w:type="dxa"/>
            <w:tcBorders>
              <w:top w:val="nil"/>
              <w:left w:val="single" w:sz="6" w:space="0" w:color="auto"/>
              <w:bottom w:val="single" w:sz="6" w:space="0" w:color="auto"/>
              <w:right w:val="single" w:sz="6" w:space="0" w:color="auto"/>
            </w:tcBorders>
          </w:tcPr>
          <w:p w14:paraId="599C3B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(no significant association for park access across outcomes)</w:t>
            </w:r>
          </w:p>
        </w:tc>
      </w:tr>
      <w:tr w:rsidR="00CF2149" w:rsidRPr="00B01F30" w14:paraId="02FA4E46" w14:textId="77777777" w:rsidTr="00AE5170">
        <w:trPr>
          <w:gridAfter w:val="1"/>
          <w:wAfter w:w="8" w:type="dxa"/>
          <w:trHeight w:val="2134"/>
        </w:trPr>
        <w:tc>
          <w:tcPr>
            <w:tcW w:w="990" w:type="dxa"/>
            <w:tcBorders>
              <w:top w:val="nil"/>
              <w:left w:val="single" w:sz="6" w:space="0" w:color="auto"/>
              <w:bottom w:val="single" w:sz="6" w:space="0" w:color="auto"/>
              <w:right w:val="single" w:sz="6" w:space="0" w:color="auto"/>
            </w:tcBorders>
          </w:tcPr>
          <w:p w14:paraId="1726AB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Ord et al.,</w:t>
            </w:r>
          </w:p>
          <w:p w14:paraId="4199D20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451C43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Scotland</w:t>
            </w:r>
          </w:p>
        </w:tc>
        <w:tc>
          <w:tcPr>
            <w:tcW w:w="900" w:type="dxa"/>
            <w:gridSpan w:val="2"/>
            <w:tcBorders>
              <w:top w:val="nil"/>
              <w:left w:val="single" w:sz="6" w:space="0" w:color="auto"/>
              <w:bottom w:val="single" w:sz="6" w:space="0" w:color="auto"/>
              <w:right w:val="single" w:sz="6" w:space="0" w:color="auto"/>
            </w:tcBorders>
          </w:tcPr>
          <w:p w14:paraId="684B96E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36E91A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3,679</w:t>
            </w:r>
          </w:p>
        </w:tc>
        <w:tc>
          <w:tcPr>
            <w:tcW w:w="1080" w:type="dxa"/>
            <w:tcBorders>
              <w:top w:val="nil"/>
              <w:left w:val="single" w:sz="6" w:space="0" w:color="auto"/>
              <w:bottom w:val="single" w:sz="6" w:space="0" w:color="auto"/>
              <w:right w:val="single" w:sz="6" w:space="0" w:color="auto"/>
            </w:tcBorders>
          </w:tcPr>
          <w:p w14:paraId="27B4E54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Urban-dwelling adults</w:t>
            </w:r>
          </w:p>
          <w:p w14:paraId="61CC12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w:t>
            </w:r>
          </w:p>
        </w:tc>
        <w:tc>
          <w:tcPr>
            <w:tcW w:w="1440" w:type="dxa"/>
            <w:gridSpan w:val="2"/>
            <w:tcBorders>
              <w:top w:val="nil"/>
              <w:left w:val="single" w:sz="6" w:space="0" w:color="auto"/>
              <w:bottom w:val="single" w:sz="6" w:space="0" w:color="auto"/>
              <w:right w:val="single" w:sz="6" w:space="0" w:color="auto"/>
            </w:tcBorders>
          </w:tcPr>
          <w:p w14:paraId="6CE25C8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green space in neighbourhood (availability)</w:t>
            </w:r>
          </w:p>
        </w:tc>
        <w:tc>
          <w:tcPr>
            <w:tcW w:w="1080" w:type="dxa"/>
            <w:tcBorders>
              <w:top w:val="nil"/>
              <w:left w:val="single" w:sz="6" w:space="0" w:color="auto"/>
              <w:bottom w:val="single" w:sz="6" w:space="0" w:color="auto"/>
              <w:right w:val="single" w:sz="6" w:space="0" w:color="auto"/>
            </w:tcBorders>
          </w:tcPr>
          <w:p w14:paraId="4305985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Natural areas</w:t>
            </w:r>
          </w:p>
        </w:tc>
        <w:tc>
          <w:tcPr>
            <w:tcW w:w="1260" w:type="dxa"/>
            <w:tcBorders>
              <w:top w:val="nil"/>
              <w:left w:val="single" w:sz="6" w:space="0" w:color="auto"/>
              <w:bottom w:val="single" w:sz="6" w:space="0" w:color="auto"/>
              <w:right w:val="single" w:sz="6" w:space="0" w:color="auto"/>
            </w:tcBorders>
          </w:tcPr>
          <w:p w14:paraId="48B30D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Ward-level % greenspace (CRESH/UK small-area estimates; matched by postcode)</w:t>
            </w:r>
          </w:p>
        </w:tc>
        <w:tc>
          <w:tcPr>
            <w:tcW w:w="1377" w:type="dxa"/>
            <w:tcBorders>
              <w:top w:val="nil"/>
              <w:left w:val="single" w:sz="6" w:space="0" w:color="auto"/>
              <w:bottom w:val="single" w:sz="6" w:space="0" w:color="auto"/>
              <w:right w:val="single" w:sz="6" w:space="0" w:color="auto"/>
            </w:tcBorders>
          </w:tcPr>
          <w:p w14:paraId="1818545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w:t>
            </w:r>
          </w:p>
        </w:tc>
        <w:tc>
          <w:tcPr>
            <w:tcW w:w="1143" w:type="dxa"/>
            <w:tcBorders>
              <w:top w:val="nil"/>
              <w:left w:val="single" w:sz="6" w:space="0" w:color="auto"/>
              <w:bottom w:val="single" w:sz="6" w:space="0" w:color="auto"/>
              <w:right w:val="single" w:sz="6" w:space="0" w:color="auto"/>
            </w:tcBorders>
          </w:tcPr>
          <w:p w14:paraId="78694E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&lt;25%, </w:t>
            </w:r>
          </w:p>
          <w:p w14:paraId="7AEAC3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B64EEC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25–&lt;50%, </w:t>
            </w:r>
          </w:p>
          <w:p w14:paraId="0A29012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50–&lt;75%, </w:t>
            </w:r>
          </w:p>
          <w:p w14:paraId="621E7CE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≥75%</w:t>
            </w:r>
          </w:p>
        </w:tc>
        <w:tc>
          <w:tcPr>
            <w:tcW w:w="1253" w:type="dxa"/>
            <w:tcBorders>
              <w:top w:val="nil"/>
              <w:left w:val="single" w:sz="6" w:space="0" w:color="auto"/>
              <w:bottom w:val="single" w:sz="6" w:space="0" w:color="auto"/>
              <w:right w:val="single" w:sz="6" w:space="0" w:color="auto"/>
            </w:tcBorders>
          </w:tcPr>
          <w:p w14:paraId="46AB73A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CAS ward (neighbourhood), linked to individuals</w:t>
            </w:r>
          </w:p>
        </w:tc>
        <w:tc>
          <w:tcPr>
            <w:tcW w:w="1260" w:type="dxa"/>
            <w:tcBorders>
              <w:top w:val="nil"/>
              <w:left w:val="single" w:sz="6" w:space="0" w:color="auto"/>
              <w:bottom w:val="single" w:sz="6" w:space="0" w:color="auto"/>
              <w:right w:val="single" w:sz="6" w:space="0" w:color="auto"/>
            </w:tcBorders>
          </w:tcPr>
          <w:p w14:paraId="3A819D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 Meets overall PA guideline</w:t>
            </w:r>
          </w:p>
          <w:p w14:paraId="1972B0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(ii) Meets walking guideline</w:t>
            </w:r>
          </w:p>
          <w:p w14:paraId="5FDA87A5" w14:textId="51A1B0C4"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(iii) “Green physical activity” (uses parks/paths)</w:t>
            </w:r>
          </w:p>
        </w:tc>
        <w:tc>
          <w:tcPr>
            <w:tcW w:w="1260" w:type="dxa"/>
            <w:tcBorders>
              <w:top w:val="nil"/>
              <w:left w:val="single" w:sz="6" w:space="0" w:color="auto"/>
              <w:bottom w:val="single" w:sz="6" w:space="0" w:color="auto"/>
              <w:right w:val="single" w:sz="6" w:space="0" w:color="auto"/>
            </w:tcBorders>
          </w:tcPr>
          <w:p w14:paraId="5D92B99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w:t>
            </w:r>
          </w:p>
        </w:tc>
        <w:tc>
          <w:tcPr>
            <w:tcW w:w="1087" w:type="dxa"/>
            <w:tcBorders>
              <w:top w:val="nil"/>
              <w:left w:val="single" w:sz="6" w:space="0" w:color="auto"/>
              <w:bottom w:val="single" w:sz="6" w:space="0" w:color="auto"/>
              <w:right w:val="single" w:sz="6" w:space="0" w:color="auto"/>
            </w:tcBorders>
          </w:tcPr>
          <w:p w14:paraId="60E742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260" w:type="dxa"/>
            <w:tcBorders>
              <w:top w:val="nil"/>
              <w:left w:val="single" w:sz="6" w:space="0" w:color="auto"/>
              <w:bottom w:val="single" w:sz="6" w:space="0" w:color="auto"/>
              <w:right w:val="single" w:sz="6" w:space="0" w:color="auto"/>
            </w:tcBorders>
          </w:tcPr>
          <w:p w14:paraId="4ED466AB" w14:textId="77777777" w:rsidR="003B2FCF"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22DCF4C4" w14:textId="7A39D0CC"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sex</w:t>
            </w:r>
          </w:p>
          <w:p w14:paraId="11A6BE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equivalised household income tertiles</w:t>
            </w:r>
          </w:p>
        </w:tc>
        <w:tc>
          <w:tcPr>
            <w:tcW w:w="990" w:type="dxa"/>
            <w:tcBorders>
              <w:top w:val="nil"/>
              <w:left w:val="single" w:sz="6" w:space="0" w:color="auto"/>
              <w:bottom w:val="single" w:sz="6" w:space="0" w:color="auto"/>
              <w:right w:val="single" w:sz="6" w:space="0" w:color="auto"/>
            </w:tcBorders>
          </w:tcPr>
          <w:p w14:paraId="44D796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1440" w:type="dxa"/>
            <w:tcBorders>
              <w:top w:val="nil"/>
              <w:left w:val="single" w:sz="6" w:space="0" w:color="auto"/>
              <w:bottom w:val="single" w:sz="6" w:space="0" w:color="auto"/>
              <w:right w:val="single" w:sz="6" w:space="0" w:color="auto"/>
            </w:tcBorders>
          </w:tcPr>
          <w:p w14:paraId="1DA564A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OR=1.20 (≥75% vs &lt;25% greenspace) for “green PA ≥1/week”</w:t>
            </w:r>
          </w:p>
        </w:tc>
        <w:tc>
          <w:tcPr>
            <w:tcW w:w="983" w:type="dxa"/>
            <w:tcBorders>
              <w:top w:val="nil"/>
              <w:left w:val="single" w:sz="6" w:space="0" w:color="auto"/>
              <w:bottom w:val="single" w:sz="6" w:space="0" w:color="auto"/>
              <w:right w:val="single" w:sz="6" w:space="0" w:color="auto"/>
            </w:tcBorders>
          </w:tcPr>
          <w:p w14:paraId="6D13C11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0.83–1.74</w:t>
            </w:r>
          </w:p>
        </w:tc>
        <w:tc>
          <w:tcPr>
            <w:tcW w:w="997" w:type="dxa"/>
            <w:tcBorders>
              <w:top w:val="nil"/>
              <w:left w:val="single" w:sz="6" w:space="0" w:color="auto"/>
              <w:bottom w:val="single" w:sz="6" w:space="0" w:color="auto"/>
              <w:right w:val="single" w:sz="6" w:space="0" w:color="auto"/>
            </w:tcBorders>
          </w:tcPr>
          <w:p w14:paraId="29E2BE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&gt;0.05 (ns)</w:t>
            </w:r>
          </w:p>
        </w:tc>
        <w:tc>
          <w:tcPr>
            <w:tcW w:w="1080" w:type="dxa"/>
            <w:tcBorders>
              <w:top w:val="nil"/>
              <w:left w:val="single" w:sz="6" w:space="0" w:color="auto"/>
              <w:bottom w:val="single" w:sz="6" w:space="0" w:color="auto"/>
              <w:right w:val="single" w:sz="6" w:space="0" w:color="auto"/>
            </w:tcBorders>
          </w:tcPr>
          <w:p w14:paraId="7AAABB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w:t>
            </w:r>
          </w:p>
        </w:tc>
      </w:tr>
      <w:tr w:rsidR="00CF2149" w:rsidRPr="00B01F30" w14:paraId="31597A1B" w14:textId="77777777" w:rsidTr="00AE5170">
        <w:trPr>
          <w:gridAfter w:val="1"/>
          <w:wAfter w:w="8" w:type="dxa"/>
          <w:trHeight w:val="1875"/>
        </w:trPr>
        <w:tc>
          <w:tcPr>
            <w:tcW w:w="990" w:type="dxa"/>
            <w:tcBorders>
              <w:top w:val="nil"/>
              <w:left w:val="single" w:sz="6" w:space="0" w:color="auto"/>
              <w:bottom w:val="single" w:sz="6" w:space="0" w:color="auto"/>
              <w:right w:val="single" w:sz="6" w:space="0" w:color="auto"/>
            </w:tcBorders>
          </w:tcPr>
          <w:p w14:paraId="57998EF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Triguero-Mas et al. </w:t>
            </w:r>
          </w:p>
          <w:p w14:paraId="390FB5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900" w:type="dxa"/>
            <w:tcBorders>
              <w:top w:val="nil"/>
              <w:left w:val="single" w:sz="6" w:space="0" w:color="auto"/>
              <w:bottom w:val="single" w:sz="6" w:space="0" w:color="auto"/>
              <w:right w:val="single" w:sz="6" w:space="0" w:color="auto"/>
            </w:tcBorders>
          </w:tcPr>
          <w:p w14:paraId="2AC584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Spain</w:t>
            </w:r>
          </w:p>
          <w:p w14:paraId="766E6C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p w14:paraId="053EA26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Netherland</w:t>
            </w:r>
          </w:p>
          <w:p w14:paraId="4EE8A2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Lithuania</w:t>
            </w:r>
          </w:p>
        </w:tc>
        <w:tc>
          <w:tcPr>
            <w:tcW w:w="900" w:type="dxa"/>
            <w:gridSpan w:val="2"/>
            <w:tcBorders>
              <w:top w:val="nil"/>
              <w:left w:val="single" w:sz="6" w:space="0" w:color="auto"/>
              <w:bottom w:val="single" w:sz="6" w:space="0" w:color="auto"/>
              <w:right w:val="single" w:sz="6" w:space="0" w:color="auto"/>
            </w:tcBorders>
          </w:tcPr>
          <w:p w14:paraId="4D9ECB9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FF5DA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408</w:t>
            </w:r>
          </w:p>
        </w:tc>
        <w:tc>
          <w:tcPr>
            <w:tcW w:w="1080" w:type="dxa"/>
            <w:tcBorders>
              <w:top w:val="nil"/>
              <w:left w:val="single" w:sz="6" w:space="0" w:color="auto"/>
              <w:bottom w:val="single" w:sz="6" w:space="0" w:color="auto"/>
              <w:right w:val="single" w:sz="6" w:space="0" w:color="auto"/>
            </w:tcBorders>
          </w:tcPr>
          <w:p w14:paraId="75C05E5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adult residents.</w:t>
            </w:r>
          </w:p>
          <w:p w14:paraId="6FEF45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18–75</w:t>
            </w:r>
          </w:p>
        </w:tc>
        <w:tc>
          <w:tcPr>
            <w:tcW w:w="1440" w:type="dxa"/>
            <w:gridSpan w:val="2"/>
            <w:tcBorders>
              <w:top w:val="nil"/>
              <w:left w:val="single" w:sz="6" w:space="0" w:color="auto"/>
              <w:bottom w:val="single" w:sz="6" w:space="0" w:color="auto"/>
              <w:right w:val="single" w:sz="6" w:space="0" w:color="auto"/>
            </w:tcBorders>
          </w:tcPr>
          <w:p w14:paraId="49477E7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Presence/absence of green space within 300 m of home</w:t>
            </w:r>
          </w:p>
        </w:tc>
        <w:tc>
          <w:tcPr>
            <w:tcW w:w="1080" w:type="dxa"/>
            <w:tcBorders>
              <w:top w:val="nil"/>
              <w:left w:val="single" w:sz="6" w:space="0" w:color="auto"/>
              <w:bottom w:val="single" w:sz="6" w:space="0" w:color="auto"/>
              <w:right w:val="single" w:sz="6" w:space="0" w:color="auto"/>
            </w:tcBorders>
          </w:tcPr>
          <w:p w14:paraId="56CBEF5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NOE categories—urban green space, agricultural land, semi-natural areas, wetlands, forests.</w:t>
            </w:r>
          </w:p>
        </w:tc>
        <w:tc>
          <w:tcPr>
            <w:tcW w:w="1260" w:type="dxa"/>
            <w:tcBorders>
              <w:top w:val="nil"/>
              <w:left w:val="single" w:sz="6" w:space="0" w:color="auto"/>
              <w:bottom w:val="single" w:sz="6" w:space="0" w:color="auto"/>
              <w:right w:val="single" w:sz="6" w:space="0" w:color="auto"/>
            </w:tcBorders>
          </w:tcPr>
          <w:p w14:paraId="68AA32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Atlas 2006 (3 cities)</w:t>
            </w:r>
          </w:p>
          <w:p w14:paraId="6452CF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Top10NL (Doetinchem).</w:t>
            </w:r>
          </w:p>
        </w:tc>
        <w:tc>
          <w:tcPr>
            <w:tcW w:w="1377" w:type="dxa"/>
            <w:tcBorders>
              <w:top w:val="nil"/>
              <w:left w:val="single" w:sz="6" w:space="0" w:color="auto"/>
              <w:bottom w:val="single" w:sz="6" w:space="0" w:color="auto"/>
              <w:right w:val="single" w:sz="6" w:space="0" w:color="auto"/>
            </w:tcBorders>
          </w:tcPr>
          <w:p w14:paraId="57F1DFD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 network buffer (300 m) around residence</w:t>
            </w:r>
          </w:p>
        </w:tc>
        <w:tc>
          <w:tcPr>
            <w:tcW w:w="1143" w:type="dxa"/>
            <w:tcBorders>
              <w:top w:val="nil"/>
              <w:left w:val="single" w:sz="6" w:space="0" w:color="auto"/>
              <w:bottom w:val="single" w:sz="6" w:space="0" w:color="auto"/>
              <w:right w:val="single" w:sz="6" w:space="0" w:color="auto"/>
            </w:tcBorders>
          </w:tcPr>
          <w:p w14:paraId="75261A9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green space within 300 m (residential availability); </w:t>
            </w:r>
          </w:p>
          <w:p w14:paraId="51D715F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50 m buffer to classify NOE contact.</w:t>
            </w:r>
          </w:p>
        </w:tc>
        <w:tc>
          <w:tcPr>
            <w:tcW w:w="1253" w:type="dxa"/>
            <w:tcBorders>
              <w:top w:val="nil"/>
              <w:left w:val="single" w:sz="6" w:space="0" w:color="auto"/>
              <w:bottom w:val="single" w:sz="6" w:space="0" w:color="auto"/>
              <w:right w:val="single" w:sz="6" w:space="0" w:color="auto"/>
            </w:tcBorders>
          </w:tcPr>
          <w:p w14:paraId="437313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30B5782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 Overall MVPA; </w:t>
            </w:r>
          </w:p>
          <w:p w14:paraId="3CCE5E9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(ii) MVPA in NOE; </w:t>
            </w:r>
          </w:p>
          <w:p w14:paraId="540F56B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(iii) Contact with NOE (time in NOE). </w:t>
            </w:r>
          </w:p>
        </w:tc>
        <w:tc>
          <w:tcPr>
            <w:tcW w:w="1260" w:type="dxa"/>
            <w:tcBorders>
              <w:top w:val="nil"/>
              <w:left w:val="single" w:sz="6" w:space="0" w:color="auto"/>
              <w:bottom w:val="single" w:sz="6" w:space="0" w:color="auto"/>
              <w:right w:val="single" w:sz="6" w:space="0" w:color="auto"/>
            </w:tcBorders>
          </w:tcPr>
          <w:p w14:paraId="6B7F7D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Smartphone accelerometer (CalFit; ≥3 METs) + GPS for NOE location.</w:t>
            </w:r>
          </w:p>
        </w:tc>
        <w:tc>
          <w:tcPr>
            <w:tcW w:w="1087" w:type="dxa"/>
            <w:tcBorders>
              <w:top w:val="nil"/>
              <w:left w:val="single" w:sz="6" w:space="0" w:color="auto"/>
              <w:bottom w:val="single" w:sz="6" w:space="0" w:color="auto"/>
              <w:right w:val="single" w:sz="6" w:space="0" w:color="auto"/>
            </w:tcBorders>
          </w:tcPr>
          <w:p w14:paraId="1510E0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260" w:type="dxa"/>
            <w:tcBorders>
              <w:top w:val="nil"/>
              <w:left w:val="single" w:sz="6" w:space="0" w:color="auto"/>
              <w:bottom w:val="single" w:sz="6" w:space="0" w:color="auto"/>
              <w:right w:val="single" w:sz="6" w:space="0" w:color="auto"/>
            </w:tcBorders>
          </w:tcPr>
          <w:p w14:paraId="438337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1BE5849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4F1B50EB" w14:textId="0F676D93"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0037B8BA" w14:textId="77777777" w:rsidR="00A136E2"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living with</w:t>
            </w:r>
          </w:p>
          <w:p w14:paraId="65FC2195" w14:textId="65942AB8"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&lt;11 y</w:t>
            </w:r>
          </w:p>
          <w:p w14:paraId="14A145A5" w14:textId="701F76CC"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dog ownership </w:t>
            </w:r>
          </w:p>
          <w:p w14:paraId="09F98F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season, </w:t>
            </w:r>
          </w:p>
          <w:p w14:paraId="460BA2AB" w14:textId="3D8768F4"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SES</w:t>
            </w:r>
          </w:p>
          <w:p w14:paraId="476C5AA1" w14:textId="170C1E45"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w:t>
            </w:r>
          </w:p>
        </w:tc>
        <w:tc>
          <w:tcPr>
            <w:tcW w:w="990" w:type="dxa"/>
            <w:tcBorders>
              <w:top w:val="nil"/>
              <w:left w:val="single" w:sz="6" w:space="0" w:color="auto"/>
              <w:bottom w:val="single" w:sz="6" w:space="0" w:color="auto"/>
              <w:right w:val="single" w:sz="6" w:space="0" w:color="auto"/>
            </w:tcBorders>
          </w:tcPr>
          <w:p w14:paraId="22DDAA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4500" w:type="dxa"/>
            <w:gridSpan w:val="4"/>
            <w:tcBorders>
              <w:top w:val="nil"/>
              <w:left w:val="single" w:sz="6" w:space="0" w:color="auto"/>
              <w:bottom w:val="single" w:sz="6" w:space="0" w:color="auto"/>
              <w:right w:val="single" w:sz="6" w:space="0" w:color="auto"/>
            </w:tcBorders>
          </w:tcPr>
          <w:p w14:paraId="2CE3E7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Overall MVPA (weekday): OR 1.14 | 0.67–1.95 | ns | null. </w:t>
            </w:r>
          </w:p>
          <w:p w14:paraId="3E2CF17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D37B45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MVPA in NOE (weekday): OR 2.42 | 1.39–4.22 | &lt;0.05 | positive. </w:t>
            </w:r>
          </w:p>
          <w:p w14:paraId="3D0F9A6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AA3E9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Contact with NOE (weekday): OR 2.41 | 1.39–4.17 | &lt;0.05 | positive. </w:t>
            </w:r>
          </w:p>
          <w:p w14:paraId="1D2F18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2D506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Weekend (pooled): largely non-significant (details by city vary).</w:t>
            </w:r>
          </w:p>
        </w:tc>
      </w:tr>
      <w:tr w:rsidR="00CF2149" w:rsidRPr="00B01F30" w14:paraId="2969ABA7" w14:textId="77777777" w:rsidTr="00AE5170">
        <w:trPr>
          <w:gridAfter w:val="1"/>
          <w:wAfter w:w="8" w:type="dxa"/>
          <w:trHeight w:val="2145"/>
        </w:trPr>
        <w:tc>
          <w:tcPr>
            <w:tcW w:w="990" w:type="dxa"/>
            <w:tcBorders>
              <w:top w:val="nil"/>
              <w:left w:val="single" w:sz="6" w:space="0" w:color="auto"/>
              <w:bottom w:val="single" w:sz="6" w:space="0" w:color="auto"/>
              <w:right w:val="single" w:sz="6" w:space="0" w:color="auto"/>
            </w:tcBorders>
          </w:tcPr>
          <w:p w14:paraId="50AE2E4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Strath et al.,</w:t>
            </w:r>
          </w:p>
          <w:p w14:paraId="45325D2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2012</w:t>
            </w:r>
          </w:p>
        </w:tc>
        <w:tc>
          <w:tcPr>
            <w:tcW w:w="900" w:type="dxa"/>
            <w:tcBorders>
              <w:top w:val="nil"/>
              <w:left w:val="single" w:sz="6" w:space="0" w:color="auto"/>
              <w:bottom w:val="single" w:sz="6" w:space="0" w:color="auto"/>
              <w:right w:val="single" w:sz="6" w:space="0" w:color="auto"/>
            </w:tcBorders>
          </w:tcPr>
          <w:p w14:paraId="382C17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0E9CD88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322A5E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148</w:t>
            </w:r>
          </w:p>
        </w:tc>
        <w:tc>
          <w:tcPr>
            <w:tcW w:w="1080" w:type="dxa"/>
            <w:tcBorders>
              <w:top w:val="nil"/>
              <w:left w:val="single" w:sz="6" w:space="0" w:color="auto"/>
              <w:bottom w:val="single" w:sz="6" w:space="0" w:color="auto"/>
              <w:right w:val="single" w:sz="6" w:space="0" w:color="auto"/>
            </w:tcBorders>
          </w:tcPr>
          <w:p w14:paraId="1E68B66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322984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Mean 64.3 ± 8.4 y</w:t>
            </w:r>
          </w:p>
        </w:tc>
        <w:tc>
          <w:tcPr>
            <w:tcW w:w="1440" w:type="dxa"/>
            <w:gridSpan w:val="2"/>
            <w:tcBorders>
              <w:top w:val="nil"/>
              <w:left w:val="single" w:sz="6" w:space="0" w:color="auto"/>
              <w:bottom w:val="single" w:sz="6" w:space="0" w:color="auto"/>
              <w:right w:val="single" w:sz="6" w:space="0" w:color="auto"/>
            </w:tcBorders>
          </w:tcPr>
          <w:p w14:paraId="7DBF88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audit within 200 m street-network buffer</w:t>
            </w:r>
          </w:p>
        </w:tc>
        <w:tc>
          <w:tcPr>
            <w:tcW w:w="1080" w:type="dxa"/>
            <w:tcBorders>
              <w:top w:val="nil"/>
              <w:left w:val="single" w:sz="6" w:space="0" w:color="auto"/>
              <w:bottom w:val="single" w:sz="6" w:space="0" w:color="auto"/>
              <w:right w:val="single" w:sz="6" w:space="0" w:color="auto"/>
            </w:tcBorders>
          </w:tcPr>
          <w:p w14:paraId="37E99F1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arks/trails/sports fields/courts/playgrounds</w:t>
            </w:r>
          </w:p>
        </w:tc>
        <w:tc>
          <w:tcPr>
            <w:tcW w:w="1260" w:type="dxa"/>
            <w:tcBorders>
              <w:top w:val="nil"/>
              <w:left w:val="single" w:sz="6" w:space="0" w:color="auto"/>
              <w:bottom w:val="single" w:sz="6" w:space="0" w:color="auto"/>
              <w:right w:val="single" w:sz="6" w:space="0" w:color="auto"/>
            </w:tcBorders>
          </w:tcPr>
          <w:p w14:paraId="188939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Field audit</w:t>
            </w:r>
          </w:p>
          <w:p w14:paraId="636DF9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377" w:type="dxa"/>
            <w:tcBorders>
              <w:top w:val="nil"/>
              <w:left w:val="single" w:sz="6" w:space="0" w:color="auto"/>
              <w:bottom w:val="single" w:sz="6" w:space="0" w:color="auto"/>
              <w:right w:val="single" w:sz="6" w:space="0" w:color="auto"/>
            </w:tcBorders>
          </w:tcPr>
          <w:p w14:paraId="0D18AF7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 m network buffer around home</w:t>
            </w:r>
          </w:p>
        </w:tc>
        <w:tc>
          <w:tcPr>
            <w:tcW w:w="1143" w:type="dxa"/>
            <w:tcBorders>
              <w:top w:val="nil"/>
              <w:left w:val="single" w:sz="6" w:space="0" w:color="auto"/>
              <w:bottom w:val="single" w:sz="6" w:space="0" w:color="auto"/>
              <w:right w:val="single" w:sz="6" w:space="0" w:color="auto"/>
            </w:tcBorders>
          </w:tcPr>
          <w:p w14:paraId="071049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Any park (yes/no); </w:t>
            </w:r>
          </w:p>
          <w:p w14:paraId="16F150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facility counts (continuous)</w:t>
            </w:r>
          </w:p>
        </w:tc>
        <w:tc>
          <w:tcPr>
            <w:tcW w:w="1253" w:type="dxa"/>
            <w:tcBorders>
              <w:top w:val="nil"/>
              <w:left w:val="single" w:sz="6" w:space="0" w:color="auto"/>
              <w:bottom w:val="single" w:sz="6" w:space="0" w:color="auto"/>
              <w:right w:val="single" w:sz="6" w:space="0" w:color="auto"/>
            </w:tcBorders>
          </w:tcPr>
          <w:p w14:paraId="42AF258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543F7B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activity counts/day;</w:t>
            </w:r>
          </w:p>
          <w:p w14:paraId="2267D32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light PA (min/day); </w:t>
            </w:r>
          </w:p>
          <w:p w14:paraId="041BC8D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(min/day)</w:t>
            </w:r>
          </w:p>
        </w:tc>
        <w:tc>
          <w:tcPr>
            <w:tcW w:w="1260" w:type="dxa"/>
            <w:tcBorders>
              <w:top w:val="nil"/>
              <w:left w:val="single" w:sz="6" w:space="0" w:color="auto"/>
              <w:bottom w:val="single" w:sz="6" w:space="0" w:color="auto"/>
              <w:right w:val="single" w:sz="6" w:space="0" w:color="auto"/>
            </w:tcBorders>
          </w:tcPr>
          <w:p w14:paraId="38F4EC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accelerometer</w:t>
            </w:r>
          </w:p>
        </w:tc>
        <w:tc>
          <w:tcPr>
            <w:tcW w:w="1087" w:type="dxa"/>
            <w:tcBorders>
              <w:top w:val="nil"/>
              <w:left w:val="single" w:sz="6" w:space="0" w:color="auto"/>
              <w:bottom w:val="single" w:sz="6" w:space="0" w:color="auto"/>
              <w:right w:val="single" w:sz="6" w:space="0" w:color="auto"/>
            </w:tcBorders>
          </w:tcPr>
          <w:p w14:paraId="271713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Linear regressions</w:t>
            </w:r>
          </w:p>
          <w:p w14:paraId="3B5FC2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ANOVA</w:t>
            </w:r>
          </w:p>
        </w:tc>
        <w:tc>
          <w:tcPr>
            <w:tcW w:w="1260" w:type="dxa"/>
            <w:tcBorders>
              <w:top w:val="nil"/>
              <w:left w:val="single" w:sz="6" w:space="0" w:color="auto"/>
              <w:bottom w:val="single" w:sz="6" w:space="0" w:color="auto"/>
              <w:right w:val="single" w:sz="6" w:space="0" w:color="auto"/>
            </w:tcBorders>
          </w:tcPr>
          <w:p w14:paraId="63B62562" w14:textId="4A891776"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5DC4FBDD" w14:textId="0855E61C"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68FF3043" w14:textId="0039337E"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BMI</w:t>
            </w:r>
          </w:p>
          <w:p w14:paraId="20EB7885" w14:textId="1A4BF448"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years at residence</w:t>
            </w:r>
          </w:p>
          <w:p w14:paraId="047B5BAA" w14:textId="6EE71AF6"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driver’s license/car ownership </w:t>
            </w:r>
          </w:p>
          <w:p w14:paraId="0B7837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analyses adjusted for wear time</w:t>
            </w:r>
          </w:p>
        </w:tc>
        <w:tc>
          <w:tcPr>
            <w:tcW w:w="990" w:type="dxa"/>
            <w:tcBorders>
              <w:top w:val="nil"/>
              <w:left w:val="single" w:sz="6" w:space="0" w:color="auto"/>
              <w:bottom w:val="single" w:sz="6" w:space="0" w:color="auto"/>
              <w:right w:val="single" w:sz="6" w:space="0" w:color="auto"/>
            </w:tcBorders>
          </w:tcPr>
          <w:p w14:paraId="1E07C2D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4500" w:type="dxa"/>
            <w:gridSpan w:val="4"/>
            <w:tcBorders>
              <w:top w:val="nil"/>
              <w:left w:val="single" w:sz="6" w:space="0" w:color="auto"/>
              <w:bottom w:val="single" w:sz="6" w:space="0" w:color="auto"/>
              <w:right w:val="single" w:sz="6" w:space="0" w:color="auto"/>
            </w:tcBorders>
          </w:tcPr>
          <w:p w14:paraId="2ACA90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non-residential destinations → MVPA: β = 0.11 | NR | p &lt; 0.001 | positive</w:t>
            </w:r>
          </w:p>
          <w:p w14:paraId="380B6D3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Perceived proximity to non-residential uses → MVPA: β = 2.89 | NR | p = 0.031 | positive</w:t>
            </w:r>
          </w:p>
        </w:tc>
      </w:tr>
      <w:tr w:rsidR="00CF2149" w:rsidRPr="00B01F30" w14:paraId="26CB90A4" w14:textId="77777777" w:rsidTr="00AE5170">
        <w:trPr>
          <w:gridAfter w:val="1"/>
          <w:wAfter w:w="8" w:type="dxa"/>
          <w:trHeight w:val="1965"/>
        </w:trPr>
        <w:tc>
          <w:tcPr>
            <w:tcW w:w="990" w:type="dxa"/>
            <w:tcBorders>
              <w:top w:val="nil"/>
              <w:left w:val="single" w:sz="6" w:space="0" w:color="auto"/>
              <w:bottom w:val="single" w:sz="6" w:space="0" w:color="auto"/>
              <w:right w:val="single" w:sz="6" w:space="0" w:color="auto"/>
            </w:tcBorders>
          </w:tcPr>
          <w:p w14:paraId="55EAE2E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Young et al.,</w:t>
            </w:r>
          </w:p>
          <w:p w14:paraId="2F0EE14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900" w:type="dxa"/>
            <w:tcBorders>
              <w:top w:val="nil"/>
              <w:left w:val="single" w:sz="6" w:space="0" w:color="auto"/>
              <w:bottom w:val="single" w:sz="6" w:space="0" w:color="auto"/>
              <w:right w:val="single" w:sz="6" w:space="0" w:color="auto"/>
            </w:tcBorders>
          </w:tcPr>
          <w:p w14:paraId="68E621B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5FA81B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4F3AD6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6th: 1,576; </w:t>
            </w:r>
          </w:p>
          <w:p w14:paraId="1F5222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8th: 3,085; </w:t>
            </w:r>
          </w:p>
          <w:p w14:paraId="2CF2E0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8th-MD: 730; </w:t>
            </w:r>
          </w:p>
          <w:p w14:paraId="7CAC38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11th-MD: 589</w:t>
            </w:r>
          </w:p>
        </w:tc>
        <w:tc>
          <w:tcPr>
            <w:tcW w:w="1080" w:type="dxa"/>
            <w:tcBorders>
              <w:top w:val="nil"/>
              <w:left w:val="single" w:sz="6" w:space="0" w:color="auto"/>
              <w:bottom w:val="single" w:sz="6" w:space="0" w:color="auto"/>
              <w:right w:val="single" w:sz="6" w:space="0" w:color="auto"/>
            </w:tcBorders>
          </w:tcPr>
          <w:p w14:paraId="75FE3E6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Adolescent girls</w:t>
            </w:r>
          </w:p>
          <w:p w14:paraId="35AD299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 14, and 17 years</w:t>
            </w:r>
          </w:p>
        </w:tc>
        <w:tc>
          <w:tcPr>
            <w:tcW w:w="1440" w:type="dxa"/>
            <w:gridSpan w:val="2"/>
            <w:tcBorders>
              <w:top w:val="nil"/>
              <w:left w:val="single" w:sz="6" w:space="0" w:color="auto"/>
              <w:bottom w:val="single" w:sz="6" w:space="0" w:color="auto"/>
              <w:right w:val="single" w:sz="6" w:space="0" w:color="auto"/>
            </w:tcBorders>
          </w:tcPr>
          <w:p w14:paraId="4F228CC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of parks within 1 mile of home (objective access)</w:t>
            </w:r>
          </w:p>
          <w:p w14:paraId="7B7EB9B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7A7165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access to recreational facilities (incl. parks)</w:t>
            </w:r>
          </w:p>
        </w:tc>
        <w:tc>
          <w:tcPr>
            <w:tcW w:w="1080" w:type="dxa"/>
            <w:tcBorders>
              <w:top w:val="nil"/>
              <w:left w:val="single" w:sz="6" w:space="0" w:color="auto"/>
              <w:bottom w:val="single" w:sz="6" w:space="0" w:color="auto"/>
              <w:right w:val="single" w:sz="6" w:space="0" w:color="auto"/>
            </w:tcBorders>
          </w:tcPr>
          <w:p w14:paraId="700FF8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 (neighborhood parks)</w:t>
            </w:r>
          </w:p>
        </w:tc>
        <w:tc>
          <w:tcPr>
            <w:tcW w:w="1260" w:type="dxa"/>
            <w:tcBorders>
              <w:top w:val="nil"/>
              <w:left w:val="single" w:sz="6" w:space="0" w:color="auto"/>
              <w:bottom w:val="single" w:sz="6" w:space="0" w:color="auto"/>
              <w:right w:val="single" w:sz="6" w:space="0" w:color="auto"/>
            </w:tcBorders>
          </w:tcPr>
          <w:p w14:paraId="2FCB35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GIS for park counts; </w:t>
            </w:r>
          </w:p>
          <w:p w14:paraId="21D0CC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student questionnaire for perceived access</w:t>
            </w:r>
          </w:p>
        </w:tc>
        <w:tc>
          <w:tcPr>
            <w:tcW w:w="1377" w:type="dxa"/>
            <w:tcBorders>
              <w:top w:val="nil"/>
              <w:left w:val="single" w:sz="6" w:space="0" w:color="auto"/>
              <w:bottom w:val="single" w:sz="6" w:space="0" w:color="auto"/>
              <w:right w:val="single" w:sz="6" w:space="0" w:color="auto"/>
            </w:tcBorders>
          </w:tcPr>
          <w:p w14:paraId="6251FD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circular (Euclidean) buffer around home for park counts</w:t>
            </w:r>
          </w:p>
          <w:p w14:paraId="7E6AB52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EB5C65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 for perceived access</w:t>
            </w:r>
          </w:p>
        </w:tc>
        <w:tc>
          <w:tcPr>
            <w:tcW w:w="1143" w:type="dxa"/>
            <w:tcBorders>
              <w:top w:val="nil"/>
              <w:left w:val="single" w:sz="6" w:space="0" w:color="auto"/>
              <w:bottom w:val="single" w:sz="6" w:space="0" w:color="auto"/>
              <w:right w:val="single" w:sz="6" w:space="0" w:color="auto"/>
            </w:tcBorders>
          </w:tcPr>
          <w:p w14:paraId="7E877B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Continuous</w:t>
            </w:r>
          </w:p>
        </w:tc>
        <w:tc>
          <w:tcPr>
            <w:tcW w:w="1253" w:type="dxa"/>
            <w:tcBorders>
              <w:top w:val="nil"/>
              <w:left w:val="single" w:sz="6" w:space="0" w:color="auto"/>
              <w:bottom w:val="single" w:sz="6" w:space="0" w:color="auto"/>
              <w:right w:val="single" w:sz="6" w:space="0" w:color="auto"/>
            </w:tcBorders>
          </w:tcPr>
          <w:p w14:paraId="2EA0AE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6549F1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Daily MVPA minutes</w:t>
            </w:r>
          </w:p>
        </w:tc>
        <w:tc>
          <w:tcPr>
            <w:tcW w:w="1260" w:type="dxa"/>
            <w:tcBorders>
              <w:top w:val="nil"/>
              <w:left w:val="single" w:sz="6" w:space="0" w:color="auto"/>
              <w:bottom w:val="single" w:sz="6" w:space="0" w:color="auto"/>
              <w:right w:val="single" w:sz="6" w:space="0" w:color="auto"/>
            </w:tcBorders>
          </w:tcPr>
          <w:p w14:paraId="60B3EF4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accelerometer</w:t>
            </w:r>
          </w:p>
        </w:tc>
        <w:tc>
          <w:tcPr>
            <w:tcW w:w="1087" w:type="dxa"/>
            <w:tcBorders>
              <w:top w:val="nil"/>
              <w:left w:val="single" w:sz="6" w:space="0" w:color="auto"/>
              <w:bottom w:val="single" w:sz="6" w:space="0" w:color="auto"/>
              <w:right w:val="single" w:sz="6" w:space="0" w:color="auto"/>
            </w:tcBorders>
          </w:tcPr>
          <w:p w14:paraId="71EE64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linear mixed models</w:t>
            </w:r>
          </w:p>
        </w:tc>
        <w:tc>
          <w:tcPr>
            <w:tcW w:w="1260" w:type="dxa"/>
            <w:tcBorders>
              <w:top w:val="nil"/>
              <w:left w:val="single" w:sz="6" w:space="0" w:color="auto"/>
              <w:bottom w:val="single" w:sz="6" w:space="0" w:color="auto"/>
              <w:right w:val="single" w:sz="6" w:space="0" w:color="auto"/>
            </w:tcBorders>
          </w:tcPr>
          <w:p w14:paraId="61A1FF61" w14:textId="0ED21E54"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Demographics </w:t>
            </w:r>
          </w:p>
          <w:p w14:paraId="1ECF2A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adiposity, </w:t>
            </w:r>
          </w:p>
          <w:p w14:paraId="0C8CC0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psychosocial factors, </w:t>
            </w:r>
          </w:p>
          <w:p w14:paraId="0ECFA2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social support, </w:t>
            </w:r>
          </w:p>
          <w:p w14:paraId="4E8A5B5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school policies, </w:t>
            </w:r>
          </w:p>
          <w:p w14:paraId="2CDE22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variables (selected via LASSO)</w:t>
            </w:r>
          </w:p>
        </w:tc>
        <w:tc>
          <w:tcPr>
            <w:tcW w:w="990" w:type="dxa"/>
            <w:tcBorders>
              <w:top w:val="nil"/>
              <w:left w:val="single" w:sz="6" w:space="0" w:color="auto"/>
              <w:bottom w:val="single" w:sz="6" w:space="0" w:color="auto"/>
              <w:right w:val="single" w:sz="6" w:space="0" w:color="auto"/>
            </w:tcBorders>
          </w:tcPr>
          <w:p w14:paraId="60D0B8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4500" w:type="dxa"/>
            <w:gridSpan w:val="4"/>
            <w:tcBorders>
              <w:top w:val="nil"/>
              <w:left w:val="single" w:sz="6" w:space="0" w:color="auto"/>
              <w:bottom w:val="single" w:sz="6" w:space="0" w:color="auto"/>
              <w:right w:val="single" w:sz="6" w:space="0" w:color="auto"/>
            </w:tcBorders>
          </w:tcPr>
          <w:p w14:paraId="42472A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within 1 mile (8th grade, all sites): β = 0.37 | SE = 0.09 | p &lt; 0.001 | Positive</w:t>
            </w:r>
          </w:p>
          <w:p w14:paraId="3F3014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28155F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access to facilities (6th grade): β = 0.21 | SE = 0.10 | p = 0.03 | Positive</w:t>
            </w:r>
          </w:p>
        </w:tc>
      </w:tr>
      <w:tr w:rsidR="00CF2149" w:rsidRPr="00B01F30" w14:paraId="4E5A5A2A" w14:textId="77777777" w:rsidTr="00AE5170">
        <w:trPr>
          <w:gridAfter w:val="1"/>
          <w:wAfter w:w="8" w:type="dxa"/>
          <w:trHeight w:val="3585"/>
        </w:trPr>
        <w:tc>
          <w:tcPr>
            <w:tcW w:w="990" w:type="dxa"/>
            <w:tcBorders>
              <w:top w:val="nil"/>
              <w:left w:val="single" w:sz="6" w:space="0" w:color="auto"/>
              <w:bottom w:val="single" w:sz="6" w:space="0" w:color="auto"/>
              <w:right w:val="single" w:sz="6" w:space="0" w:color="auto"/>
            </w:tcBorders>
          </w:tcPr>
          <w:p w14:paraId="6A78A7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Calogiuri</w:t>
            </w:r>
          </w:p>
          <w:p w14:paraId="31D168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2016</w:t>
            </w:r>
          </w:p>
        </w:tc>
        <w:tc>
          <w:tcPr>
            <w:tcW w:w="900" w:type="dxa"/>
            <w:tcBorders>
              <w:top w:val="nil"/>
              <w:left w:val="single" w:sz="6" w:space="0" w:color="auto"/>
              <w:bottom w:val="single" w:sz="6" w:space="0" w:color="auto"/>
              <w:right w:val="single" w:sz="6" w:space="0" w:color="auto"/>
            </w:tcBorders>
          </w:tcPr>
          <w:p w14:paraId="49A3F82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Norway</w:t>
            </w:r>
          </w:p>
        </w:tc>
        <w:tc>
          <w:tcPr>
            <w:tcW w:w="900" w:type="dxa"/>
            <w:gridSpan w:val="2"/>
            <w:tcBorders>
              <w:top w:val="nil"/>
              <w:left w:val="single" w:sz="6" w:space="0" w:color="auto"/>
              <w:bottom w:val="single" w:sz="6" w:space="0" w:color="auto"/>
              <w:right w:val="single" w:sz="6" w:space="0" w:color="auto"/>
            </w:tcBorders>
          </w:tcPr>
          <w:p w14:paraId="3273EC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244C64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2,168</w:t>
            </w:r>
          </w:p>
        </w:tc>
        <w:tc>
          <w:tcPr>
            <w:tcW w:w="1080" w:type="dxa"/>
            <w:tcBorders>
              <w:top w:val="nil"/>
              <w:left w:val="single" w:sz="6" w:space="0" w:color="auto"/>
              <w:bottom w:val="single" w:sz="6" w:space="0" w:color="auto"/>
              <w:right w:val="single" w:sz="6" w:space="0" w:color="auto"/>
            </w:tcBorders>
          </w:tcPr>
          <w:p w14:paraId="21B925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w:t>
            </w:r>
          </w:p>
          <w:p w14:paraId="56ECCB8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 years</w:t>
            </w:r>
          </w:p>
        </w:tc>
        <w:tc>
          <w:tcPr>
            <w:tcW w:w="1440" w:type="dxa"/>
            <w:gridSpan w:val="2"/>
            <w:tcBorders>
              <w:top w:val="nil"/>
              <w:left w:val="single" w:sz="6" w:space="0" w:color="auto"/>
              <w:bottom w:val="single" w:sz="6" w:space="0" w:color="auto"/>
              <w:right w:val="single" w:sz="6" w:space="0" w:color="auto"/>
            </w:tcBorders>
          </w:tcPr>
          <w:p w14:paraId="55488C2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Proximity</w:t>
            </w:r>
            <w:r>
              <w:rPr>
                <w:rFonts w:asciiTheme="majorBidi" w:hAnsiTheme="majorBidi" w:cstheme="majorBidi"/>
                <w:color w:val="000000"/>
                <w:kern w:val="0"/>
                <w:sz w:val="18"/>
                <w:szCs w:val="18"/>
              </w:rPr>
              <w:t xml:space="preserve">: self-reported distance to nearest park/green/natural area (5-category scale) </w:t>
            </w:r>
          </w:p>
          <w:p w14:paraId="5B3672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2D4E9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Accessibility:</w:t>
            </w:r>
            <w:r>
              <w:rPr>
                <w:rFonts w:asciiTheme="majorBidi" w:hAnsiTheme="majorBidi" w:cstheme="majorBidi"/>
                <w:color w:val="000000"/>
                <w:kern w:val="0"/>
                <w:sz w:val="18"/>
                <w:szCs w:val="18"/>
              </w:rPr>
              <w:t xml:space="preserve"> perceived supportiveness of nearby NEs for PA (4-point Likert)</w:t>
            </w:r>
          </w:p>
        </w:tc>
        <w:tc>
          <w:tcPr>
            <w:tcW w:w="1080" w:type="dxa"/>
            <w:tcBorders>
              <w:top w:val="nil"/>
              <w:left w:val="single" w:sz="6" w:space="0" w:color="auto"/>
              <w:bottom w:val="single" w:sz="6" w:space="0" w:color="auto"/>
              <w:right w:val="single" w:sz="6" w:space="0" w:color="auto"/>
            </w:tcBorders>
          </w:tcPr>
          <w:p w14:paraId="4D201C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Forests</w:t>
            </w:r>
          </w:p>
          <w:p w14:paraId="64041C1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 spaces &amp; sports fields</w:t>
            </w:r>
          </w:p>
        </w:tc>
        <w:tc>
          <w:tcPr>
            <w:tcW w:w="1260" w:type="dxa"/>
            <w:tcBorders>
              <w:top w:val="nil"/>
              <w:left w:val="single" w:sz="6" w:space="0" w:color="auto"/>
              <w:bottom w:val="single" w:sz="6" w:space="0" w:color="auto"/>
              <w:right w:val="single" w:sz="6" w:space="0" w:color="auto"/>
            </w:tcBorders>
          </w:tcPr>
          <w:p w14:paraId="0CB5F7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Statistics Norway registers (zip-code crossmatch)</w:t>
            </w:r>
          </w:p>
        </w:tc>
        <w:tc>
          <w:tcPr>
            <w:tcW w:w="1377" w:type="dxa"/>
            <w:tcBorders>
              <w:top w:val="nil"/>
              <w:left w:val="single" w:sz="6" w:space="0" w:color="auto"/>
              <w:bottom w:val="single" w:sz="6" w:space="0" w:color="auto"/>
              <w:right w:val="single" w:sz="6" w:space="0" w:color="auto"/>
            </w:tcBorders>
          </w:tcPr>
          <w:p w14:paraId="3BEF058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categories</w:t>
            </w:r>
          </w:p>
        </w:tc>
        <w:tc>
          <w:tcPr>
            <w:tcW w:w="1143" w:type="dxa"/>
            <w:tcBorders>
              <w:top w:val="nil"/>
              <w:left w:val="single" w:sz="6" w:space="0" w:color="auto"/>
              <w:bottom w:val="single" w:sz="6" w:space="0" w:color="auto"/>
              <w:right w:val="single" w:sz="6" w:space="0" w:color="auto"/>
            </w:tcBorders>
          </w:tcPr>
          <w:p w14:paraId="5BB2DD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Proximity response options:</w:t>
            </w:r>
            <w:r>
              <w:rPr>
                <w:rFonts w:asciiTheme="majorBidi" w:hAnsiTheme="majorBidi" w:cstheme="majorBidi"/>
                <w:color w:val="000000"/>
                <w:kern w:val="0"/>
                <w:sz w:val="18"/>
                <w:szCs w:val="18"/>
              </w:rPr>
              <w:t xml:space="preserve"> </w:t>
            </w:r>
          </w:p>
          <w:p w14:paraId="77E9A9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&lt;100 m, </w:t>
            </w:r>
          </w:p>
          <w:p w14:paraId="5A06970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100–299 m, 300–499 m, </w:t>
            </w:r>
          </w:p>
          <w:p w14:paraId="49DDFD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m–1 km, </w:t>
            </w:r>
          </w:p>
          <w:p w14:paraId="645BBC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&gt;1 km; recoded 1–5</w:t>
            </w:r>
          </w:p>
          <w:p w14:paraId="2E521B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EEA4A9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Accessibility:</w:t>
            </w:r>
            <w:r>
              <w:rPr>
                <w:rFonts w:asciiTheme="majorBidi" w:hAnsiTheme="majorBidi" w:cstheme="majorBidi"/>
                <w:color w:val="000000"/>
                <w:kern w:val="0"/>
                <w:sz w:val="18"/>
                <w:szCs w:val="18"/>
              </w:rPr>
              <w:t xml:space="preserve"> </w:t>
            </w:r>
          </w:p>
          <w:p w14:paraId="1D3C85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 Likert (does not suit me → suits me very well)</w:t>
            </w:r>
          </w:p>
        </w:tc>
        <w:tc>
          <w:tcPr>
            <w:tcW w:w="1253" w:type="dxa"/>
            <w:tcBorders>
              <w:top w:val="nil"/>
              <w:left w:val="single" w:sz="6" w:space="0" w:color="auto"/>
              <w:bottom w:val="single" w:sz="6" w:space="0" w:color="auto"/>
              <w:right w:val="single" w:sz="6" w:space="0" w:color="auto"/>
            </w:tcBorders>
          </w:tcPr>
          <w:p w14:paraId="35DE63B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2FA496E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Minutes/week of NE-based PA</w:t>
            </w:r>
          </w:p>
        </w:tc>
        <w:tc>
          <w:tcPr>
            <w:tcW w:w="1260" w:type="dxa"/>
            <w:tcBorders>
              <w:top w:val="nil"/>
              <w:left w:val="single" w:sz="6" w:space="0" w:color="auto"/>
              <w:bottom w:val="single" w:sz="6" w:space="0" w:color="auto"/>
              <w:right w:val="single" w:sz="6" w:space="0" w:color="auto"/>
            </w:tcBorders>
          </w:tcPr>
          <w:p w14:paraId="583F29C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w:t>
            </w:r>
          </w:p>
        </w:tc>
        <w:tc>
          <w:tcPr>
            <w:tcW w:w="1087" w:type="dxa"/>
            <w:tcBorders>
              <w:top w:val="nil"/>
              <w:left w:val="single" w:sz="6" w:space="0" w:color="auto"/>
              <w:bottom w:val="single" w:sz="6" w:space="0" w:color="auto"/>
              <w:right w:val="single" w:sz="6" w:space="0" w:color="auto"/>
            </w:tcBorders>
          </w:tcPr>
          <w:p w14:paraId="0A32F17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Logistic regression</w:t>
            </w:r>
          </w:p>
        </w:tc>
        <w:tc>
          <w:tcPr>
            <w:tcW w:w="1260" w:type="dxa"/>
            <w:tcBorders>
              <w:top w:val="nil"/>
              <w:left w:val="single" w:sz="6" w:space="0" w:color="auto"/>
              <w:bottom w:val="single" w:sz="6" w:space="0" w:color="auto"/>
              <w:right w:val="single" w:sz="6" w:space="0" w:color="auto"/>
            </w:tcBorders>
          </w:tcPr>
          <w:p w14:paraId="5F6730B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14C489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2ED86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7D3B5DF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6991632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co-inhabitation, </w:t>
            </w:r>
          </w:p>
          <w:p w14:paraId="09961B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small children at home,</w:t>
            </w:r>
          </w:p>
          <w:p w14:paraId="5E9E3E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region, </w:t>
            </w:r>
          </w:p>
          <w:p w14:paraId="77C91AD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centrality, </w:t>
            </w:r>
          </w:p>
          <w:p w14:paraId="79168DA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municipality NE coverage; </w:t>
            </w:r>
          </w:p>
          <w:p w14:paraId="714535A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“currently studying” status</w:t>
            </w:r>
          </w:p>
        </w:tc>
        <w:tc>
          <w:tcPr>
            <w:tcW w:w="990" w:type="dxa"/>
            <w:tcBorders>
              <w:top w:val="nil"/>
              <w:left w:val="single" w:sz="6" w:space="0" w:color="auto"/>
              <w:bottom w:val="single" w:sz="6" w:space="0" w:color="auto"/>
              <w:right w:val="single" w:sz="6" w:space="0" w:color="auto"/>
            </w:tcBorders>
          </w:tcPr>
          <w:p w14:paraId="0729315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3420" w:type="dxa"/>
            <w:gridSpan w:val="3"/>
            <w:tcBorders>
              <w:top w:val="nil"/>
              <w:left w:val="single" w:sz="6" w:space="0" w:color="auto"/>
              <w:bottom w:val="single" w:sz="6" w:space="0" w:color="auto"/>
              <w:right w:val="single" w:sz="6" w:space="0" w:color="auto"/>
            </w:tcBorders>
          </w:tcPr>
          <w:p w14:paraId="5256F4C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Perceived accessibility</w:t>
            </w:r>
            <w:r>
              <w:rPr>
                <w:rFonts w:asciiTheme="majorBidi" w:hAnsiTheme="majorBidi" w:cstheme="majorBidi"/>
                <w:color w:val="000000"/>
                <w:kern w:val="0"/>
                <w:sz w:val="18"/>
                <w:szCs w:val="18"/>
              </w:rPr>
              <w:t>→ NE-based PA ≥60: OR 1.38 (95% CI 1.22–1.56), p &lt; 0.001; ≥150: OR 1.57 (1.32–1.86), p &lt; 0.001.</w:t>
            </w:r>
          </w:p>
          <w:p w14:paraId="6CF961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6107CA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Proximity (higher score</w:t>
            </w:r>
            <w:r>
              <w:rPr>
                <w:rFonts w:asciiTheme="majorBidi" w:hAnsiTheme="majorBidi" w:cstheme="majorBidi"/>
                <w:color w:val="000000"/>
                <w:kern w:val="0"/>
                <w:sz w:val="18"/>
                <w:szCs w:val="18"/>
              </w:rPr>
              <w:t xml:space="preserve"> = closer) → NE-based PA ≥60: OR 0.93 (0.86–1.00), p = 0.039; ≥150: OR 0.89 (0.82–0.98), p = 0.013.</w:t>
            </w:r>
          </w:p>
        </w:tc>
        <w:tc>
          <w:tcPr>
            <w:tcW w:w="1080" w:type="dxa"/>
            <w:tcBorders>
              <w:top w:val="nil"/>
              <w:left w:val="single" w:sz="6" w:space="0" w:color="auto"/>
              <w:bottom w:val="single" w:sz="6" w:space="0" w:color="auto"/>
              <w:right w:val="single" w:sz="6" w:space="0" w:color="auto"/>
            </w:tcBorders>
          </w:tcPr>
          <w:p w14:paraId="318B76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Accessibility = positive; Proximity (as coded) = negative</w:t>
            </w:r>
          </w:p>
        </w:tc>
      </w:tr>
      <w:tr w:rsidR="00CF2149" w:rsidRPr="00B01F30" w14:paraId="78910984" w14:textId="77777777" w:rsidTr="00AE5170">
        <w:trPr>
          <w:gridAfter w:val="1"/>
          <w:wAfter w:w="8" w:type="dxa"/>
          <w:trHeight w:val="2134"/>
        </w:trPr>
        <w:tc>
          <w:tcPr>
            <w:tcW w:w="990" w:type="dxa"/>
            <w:tcBorders>
              <w:top w:val="nil"/>
              <w:left w:val="single" w:sz="6" w:space="0" w:color="auto"/>
              <w:bottom w:val="single" w:sz="6" w:space="0" w:color="auto"/>
              <w:right w:val="single" w:sz="6" w:space="0" w:color="auto"/>
            </w:tcBorders>
          </w:tcPr>
          <w:p w14:paraId="7B41CB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Davidson et al.,</w:t>
            </w:r>
          </w:p>
          <w:p w14:paraId="2619C07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2010</w:t>
            </w:r>
          </w:p>
        </w:tc>
        <w:tc>
          <w:tcPr>
            <w:tcW w:w="900" w:type="dxa"/>
            <w:tcBorders>
              <w:top w:val="nil"/>
              <w:left w:val="single" w:sz="6" w:space="0" w:color="auto"/>
              <w:bottom w:val="single" w:sz="6" w:space="0" w:color="auto"/>
              <w:right w:val="single" w:sz="6" w:space="0" w:color="auto"/>
            </w:tcBorders>
          </w:tcPr>
          <w:p w14:paraId="44F8B6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900" w:type="dxa"/>
            <w:gridSpan w:val="2"/>
            <w:tcBorders>
              <w:top w:val="nil"/>
              <w:left w:val="single" w:sz="6" w:space="0" w:color="auto"/>
              <w:bottom w:val="single" w:sz="6" w:space="0" w:color="auto"/>
              <w:right w:val="single" w:sz="6" w:space="0" w:color="auto"/>
            </w:tcBorders>
          </w:tcPr>
          <w:p w14:paraId="1470966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3E4631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3,421</w:t>
            </w:r>
          </w:p>
        </w:tc>
        <w:tc>
          <w:tcPr>
            <w:tcW w:w="1080" w:type="dxa"/>
            <w:tcBorders>
              <w:top w:val="nil"/>
              <w:left w:val="single" w:sz="6" w:space="0" w:color="auto"/>
              <w:bottom w:val="single" w:sz="6" w:space="0" w:color="auto"/>
              <w:right w:val="single" w:sz="6" w:space="0" w:color="auto"/>
            </w:tcBorders>
          </w:tcPr>
          <w:p w14:paraId="25F3428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Grade 5 students</w:t>
            </w:r>
          </w:p>
          <w:p w14:paraId="004BEFB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10–11 years</w:t>
            </w:r>
          </w:p>
        </w:tc>
        <w:tc>
          <w:tcPr>
            <w:tcW w:w="1440" w:type="dxa"/>
            <w:gridSpan w:val="2"/>
            <w:tcBorders>
              <w:top w:val="nil"/>
              <w:left w:val="single" w:sz="6" w:space="0" w:color="auto"/>
              <w:bottom w:val="single" w:sz="6" w:space="0" w:color="auto"/>
              <w:right w:val="single" w:sz="6" w:space="0" w:color="auto"/>
            </w:tcBorders>
          </w:tcPr>
          <w:p w14:paraId="7C37FB9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Parent-perceived neighborhood “sidewalks/parks” component</w:t>
            </w:r>
          </w:p>
        </w:tc>
        <w:tc>
          <w:tcPr>
            <w:tcW w:w="1080" w:type="dxa"/>
            <w:tcBorders>
              <w:top w:val="nil"/>
              <w:left w:val="single" w:sz="6" w:space="0" w:color="auto"/>
              <w:bottom w:val="single" w:sz="6" w:space="0" w:color="auto"/>
              <w:right w:val="single" w:sz="6" w:space="0" w:color="auto"/>
            </w:tcBorders>
          </w:tcPr>
          <w:p w14:paraId="0ABB03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“Good playgrounds/parks” </w:t>
            </w:r>
          </w:p>
          <w:p w14:paraId="438DD0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(presence/quality as perceived)</w:t>
            </w:r>
          </w:p>
        </w:tc>
        <w:tc>
          <w:tcPr>
            <w:tcW w:w="1260" w:type="dxa"/>
            <w:tcBorders>
              <w:top w:val="nil"/>
              <w:left w:val="single" w:sz="6" w:space="0" w:color="auto"/>
              <w:bottom w:val="single" w:sz="6" w:space="0" w:color="auto"/>
              <w:right w:val="single" w:sz="6" w:space="0" w:color="auto"/>
            </w:tcBorders>
          </w:tcPr>
          <w:p w14:paraId="327630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 questionnaire</w:t>
            </w:r>
          </w:p>
        </w:tc>
        <w:tc>
          <w:tcPr>
            <w:tcW w:w="1377" w:type="dxa"/>
            <w:tcBorders>
              <w:top w:val="nil"/>
              <w:left w:val="single" w:sz="6" w:space="0" w:color="auto"/>
              <w:bottom w:val="single" w:sz="6" w:space="0" w:color="auto"/>
              <w:right w:val="single" w:sz="6" w:space="0" w:color="auto"/>
            </w:tcBorders>
          </w:tcPr>
          <w:p w14:paraId="7B38D0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Likert items</w:t>
            </w:r>
          </w:p>
        </w:tc>
        <w:tc>
          <w:tcPr>
            <w:tcW w:w="1143" w:type="dxa"/>
            <w:tcBorders>
              <w:top w:val="nil"/>
              <w:left w:val="single" w:sz="6" w:space="0" w:color="auto"/>
              <w:bottom w:val="single" w:sz="6" w:space="0" w:color="auto"/>
              <w:right w:val="single" w:sz="6" w:space="0" w:color="auto"/>
            </w:tcBorders>
          </w:tcPr>
          <w:p w14:paraId="4D9253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Components categorized Low/Middle/High; </w:t>
            </w:r>
          </w:p>
          <w:p w14:paraId="018E82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“active” if PAQ-C score &gt;3</w:t>
            </w:r>
          </w:p>
        </w:tc>
        <w:tc>
          <w:tcPr>
            <w:tcW w:w="1253" w:type="dxa"/>
            <w:tcBorders>
              <w:top w:val="nil"/>
              <w:left w:val="single" w:sz="6" w:space="0" w:color="auto"/>
              <w:bottom w:val="single" w:sz="6" w:space="0" w:color="auto"/>
              <w:right w:val="single" w:sz="6" w:space="0" w:color="auto"/>
            </w:tcBorders>
          </w:tcPr>
          <w:p w14:paraId="532995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7D5334D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Physical activity score (1–6) and binary “physically active”</w:t>
            </w:r>
          </w:p>
        </w:tc>
        <w:tc>
          <w:tcPr>
            <w:tcW w:w="1260" w:type="dxa"/>
            <w:tcBorders>
              <w:top w:val="nil"/>
              <w:left w:val="single" w:sz="6" w:space="0" w:color="auto"/>
              <w:bottom w:val="single" w:sz="6" w:space="0" w:color="auto"/>
              <w:right w:val="single" w:sz="6" w:space="0" w:color="auto"/>
            </w:tcBorders>
          </w:tcPr>
          <w:p w14:paraId="7C1F530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questionnaire (PAQ-C–based)</w:t>
            </w:r>
          </w:p>
        </w:tc>
        <w:tc>
          <w:tcPr>
            <w:tcW w:w="1087" w:type="dxa"/>
            <w:tcBorders>
              <w:top w:val="nil"/>
              <w:left w:val="single" w:sz="6" w:space="0" w:color="auto"/>
              <w:bottom w:val="single" w:sz="6" w:space="0" w:color="auto"/>
              <w:right w:val="single" w:sz="6" w:space="0" w:color="auto"/>
            </w:tcBorders>
          </w:tcPr>
          <w:p w14:paraId="58C0360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p w14:paraId="60E5EE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Structural Equation Modeling</w:t>
            </w:r>
          </w:p>
        </w:tc>
        <w:tc>
          <w:tcPr>
            <w:tcW w:w="1260" w:type="dxa"/>
            <w:tcBorders>
              <w:top w:val="nil"/>
              <w:left w:val="single" w:sz="6" w:space="0" w:color="auto"/>
              <w:bottom w:val="single" w:sz="6" w:space="0" w:color="auto"/>
              <w:right w:val="single" w:sz="6" w:space="0" w:color="auto"/>
            </w:tcBorders>
          </w:tcPr>
          <w:p w14:paraId="6FE97EE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6BB711A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household income, </w:t>
            </w:r>
          </w:p>
          <w:p w14:paraId="692D1F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parental education,</w:t>
            </w:r>
          </w:p>
          <w:p w14:paraId="031DE6F0" w14:textId="5C5D3228"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place of residence (urban/town/rural)</w:t>
            </w:r>
          </w:p>
          <w:p w14:paraId="2D31479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school clustering</w:t>
            </w:r>
          </w:p>
        </w:tc>
        <w:tc>
          <w:tcPr>
            <w:tcW w:w="990" w:type="dxa"/>
            <w:tcBorders>
              <w:top w:val="nil"/>
              <w:left w:val="single" w:sz="6" w:space="0" w:color="auto"/>
              <w:bottom w:val="single" w:sz="6" w:space="0" w:color="auto"/>
              <w:right w:val="single" w:sz="6" w:space="0" w:color="auto"/>
            </w:tcBorders>
          </w:tcPr>
          <w:p w14:paraId="5693A9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SEM path coefficient</w:t>
            </w:r>
          </w:p>
        </w:tc>
        <w:tc>
          <w:tcPr>
            <w:tcW w:w="1440" w:type="dxa"/>
            <w:tcBorders>
              <w:top w:val="nil"/>
              <w:left w:val="single" w:sz="6" w:space="0" w:color="auto"/>
              <w:bottom w:val="single" w:sz="6" w:space="0" w:color="auto"/>
              <w:right w:val="single" w:sz="6" w:space="0" w:color="auto"/>
            </w:tcBorders>
          </w:tcPr>
          <w:p w14:paraId="79E1F3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β = 0.032</w:t>
            </w:r>
          </w:p>
        </w:tc>
        <w:tc>
          <w:tcPr>
            <w:tcW w:w="983" w:type="dxa"/>
            <w:tcBorders>
              <w:top w:val="nil"/>
              <w:left w:val="single" w:sz="6" w:space="0" w:color="auto"/>
              <w:bottom w:val="single" w:sz="6" w:space="0" w:color="auto"/>
              <w:right w:val="single" w:sz="6" w:space="0" w:color="auto"/>
            </w:tcBorders>
          </w:tcPr>
          <w:p w14:paraId="6C4AF7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0.010 to 0.050</w:t>
            </w:r>
          </w:p>
        </w:tc>
        <w:tc>
          <w:tcPr>
            <w:tcW w:w="997" w:type="dxa"/>
            <w:tcBorders>
              <w:top w:val="nil"/>
              <w:left w:val="single" w:sz="6" w:space="0" w:color="auto"/>
              <w:bottom w:val="single" w:sz="6" w:space="0" w:color="auto"/>
              <w:right w:val="single" w:sz="6" w:space="0" w:color="auto"/>
            </w:tcBorders>
          </w:tcPr>
          <w:p w14:paraId="13085E8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&lt;0.01</w:t>
            </w:r>
          </w:p>
        </w:tc>
        <w:tc>
          <w:tcPr>
            <w:tcW w:w="1080" w:type="dxa"/>
            <w:tcBorders>
              <w:top w:val="nil"/>
              <w:left w:val="single" w:sz="6" w:space="0" w:color="auto"/>
              <w:bottom w:val="single" w:sz="6" w:space="0" w:color="auto"/>
              <w:right w:val="single" w:sz="6" w:space="0" w:color="auto"/>
            </w:tcBorders>
          </w:tcPr>
          <w:p w14:paraId="431E32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(better sidewalks/parks → higher PA)</w:t>
            </w:r>
          </w:p>
        </w:tc>
      </w:tr>
      <w:tr w:rsidR="00CF2149" w:rsidRPr="00B01F30" w14:paraId="23CB9CFC" w14:textId="77777777" w:rsidTr="00AE5170">
        <w:trPr>
          <w:gridAfter w:val="1"/>
          <w:wAfter w:w="8" w:type="dxa"/>
          <w:trHeight w:val="2838"/>
        </w:trPr>
        <w:tc>
          <w:tcPr>
            <w:tcW w:w="990" w:type="dxa"/>
            <w:tcBorders>
              <w:top w:val="nil"/>
              <w:left w:val="single" w:sz="6" w:space="0" w:color="auto"/>
              <w:bottom w:val="single" w:sz="6" w:space="0" w:color="auto"/>
              <w:right w:val="single" w:sz="6" w:space="0" w:color="auto"/>
            </w:tcBorders>
          </w:tcPr>
          <w:p w14:paraId="6F26FB9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Yuma-Guerrero et al.,</w:t>
            </w:r>
          </w:p>
          <w:p w14:paraId="458FE7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900" w:type="dxa"/>
            <w:tcBorders>
              <w:top w:val="nil"/>
              <w:left w:val="single" w:sz="6" w:space="0" w:color="auto"/>
              <w:bottom w:val="single" w:sz="6" w:space="0" w:color="auto"/>
              <w:right w:val="single" w:sz="6" w:space="0" w:color="auto"/>
            </w:tcBorders>
          </w:tcPr>
          <w:p w14:paraId="3CB27ED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26B7B7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10F02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2,750</w:t>
            </w:r>
          </w:p>
        </w:tc>
        <w:tc>
          <w:tcPr>
            <w:tcW w:w="1080" w:type="dxa"/>
            <w:tcBorders>
              <w:top w:val="nil"/>
              <w:left w:val="single" w:sz="6" w:space="0" w:color="auto"/>
              <w:bottom w:val="single" w:sz="6" w:space="0" w:color="auto"/>
              <w:right w:val="single" w:sz="6" w:space="0" w:color="auto"/>
            </w:tcBorders>
          </w:tcPr>
          <w:p w14:paraId="67D0828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Mothers of young children</w:t>
            </w:r>
          </w:p>
          <w:p w14:paraId="452B476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Mothers ~15–48y; </w:t>
            </w:r>
          </w:p>
          <w:p w14:paraId="28604C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 4–10y</w:t>
            </w:r>
          </w:p>
        </w:tc>
        <w:tc>
          <w:tcPr>
            <w:tcW w:w="1440" w:type="dxa"/>
            <w:gridSpan w:val="2"/>
            <w:tcBorders>
              <w:top w:val="nil"/>
              <w:left w:val="single" w:sz="6" w:space="0" w:color="auto"/>
              <w:bottom w:val="single" w:sz="6" w:space="0" w:color="auto"/>
              <w:right w:val="single" w:sz="6" w:space="0" w:color="auto"/>
            </w:tcBorders>
          </w:tcPr>
          <w:p w14:paraId="1162FEC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Latent “Park accessibility”: </w:t>
            </w:r>
          </w:p>
          <w:p w14:paraId="1DD3CD1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good parks/playgrounds (Likert), </w:t>
            </w:r>
          </w:p>
          <w:p w14:paraId="616FADD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comfort going to nearest park (Likert), </w:t>
            </w:r>
          </w:p>
          <w:p w14:paraId="146C09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(3) Euclidean distance to nearest park (ft), </w:t>
            </w:r>
          </w:p>
          <w:p w14:paraId="0FA93D3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 park area within 0.5 mi (acres)</w:t>
            </w:r>
          </w:p>
        </w:tc>
        <w:tc>
          <w:tcPr>
            <w:tcW w:w="1080" w:type="dxa"/>
            <w:tcBorders>
              <w:top w:val="nil"/>
              <w:left w:val="single" w:sz="6" w:space="0" w:color="auto"/>
              <w:bottom w:val="single" w:sz="6" w:space="0" w:color="auto"/>
              <w:right w:val="single" w:sz="6" w:space="0" w:color="auto"/>
            </w:tcBorders>
          </w:tcPr>
          <w:p w14:paraId="6A9F665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parks/playgrounds; nearest park border; park area</w:t>
            </w:r>
          </w:p>
        </w:tc>
        <w:tc>
          <w:tcPr>
            <w:tcW w:w="1260" w:type="dxa"/>
            <w:tcBorders>
              <w:top w:val="nil"/>
              <w:left w:val="single" w:sz="6" w:space="0" w:color="auto"/>
              <w:bottom w:val="single" w:sz="6" w:space="0" w:color="auto"/>
              <w:right w:val="single" w:sz="6" w:space="0" w:color="auto"/>
            </w:tcBorders>
          </w:tcPr>
          <w:p w14:paraId="0024EF6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Survey + GIS park polygons (six counties)</w:t>
            </w:r>
          </w:p>
        </w:tc>
        <w:tc>
          <w:tcPr>
            <w:tcW w:w="1377" w:type="dxa"/>
            <w:tcBorders>
              <w:top w:val="nil"/>
              <w:left w:val="single" w:sz="6" w:space="0" w:color="auto"/>
              <w:bottom w:val="single" w:sz="6" w:space="0" w:color="auto"/>
              <w:right w:val="single" w:sz="6" w:space="0" w:color="auto"/>
            </w:tcBorders>
          </w:tcPr>
          <w:p w14:paraId="2400B1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Likert + Euclidean distance</w:t>
            </w:r>
          </w:p>
        </w:tc>
        <w:tc>
          <w:tcPr>
            <w:tcW w:w="1143" w:type="dxa"/>
            <w:tcBorders>
              <w:top w:val="nil"/>
              <w:left w:val="single" w:sz="6" w:space="0" w:color="auto"/>
              <w:bottom w:val="single" w:sz="6" w:space="0" w:color="auto"/>
              <w:right w:val="single" w:sz="6" w:space="0" w:color="auto"/>
            </w:tcBorders>
          </w:tcPr>
          <w:p w14:paraId="49A5B9F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items 4-point scales; </w:t>
            </w:r>
          </w:p>
          <w:p w14:paraId="75DB16E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distance/area continuous</w:t>
            </w:r>
          </w:p>
        </w:tc>
        <w:tc>
          <w:tcPr>
            <w:tcW w:w="1253" w:type="dxa"/>
            <w:tcBorders>
              <w:top w:val="nil"/>
              <w:left w:val="single" w:sz="6" w:space="0" w:color="auto"/>
              <w:bottom w:val="single" w:sz="6" w:space="0" w:color="auto"/>
              <w:right w:val="single" w:sz="6" w:space="0" w:color="auto"/>
            </w:tcBorders>
          </w:tcPr>
          <w:p w14:paraId="7109CF1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205B84D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PA category</w:t>
            </w:r>
          </w:p>
        </w:tc>
        <w:tc>
          <w:tcPr>
            <w:tcW w:w="1260" w:type="dxa"/>
            <w:tcBorders>
              <w:top w:val="nil"/>
              <w:left w:val="single" w:sz="6" w:space="0" w:color="auto"/>
              <w:bottom w:val="single" w:sz="6" w:space="0" w:color="auto"/>
              <w:right w:val="single" w:sz="6" w:space="0" w:color="auto"/>
            </w:tcBorders>
          </w:tcPr>
          <w:p w14:paraId="72042F4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Self-reported single-item</w:t>
            </w:r>
          </w:p>
        </w:tc>
        <w:tc>
          <w:tcPr>
            <w:tcW w:w="1087" w:type="dxa"/>
            <w:tcBorders>
              <w:top w:val="nil"/>
              <w:left w:val="single" w:sz="6" w:space="0" w:color="auto"/>
              <w:bottom w:val="single" w:sz="6" w:space="0" w:color="auto"/>
              <w:right w:val="single" w:sz="6" w:space="0" w:color="auto"/>
            </w:tcBorders>
          </w:tcPr>
          <w:p w14:paraId="25979F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SEM with social cohesion as mediator</w:t>
            </w:r>
          </w:p>
        </w:tc>
        <w:tc>
          <w:tcPr>
            <w:tcW w:w="1260" w:type="dxa"/>
            <w:tcBorders>
              <w:top w:val="nil"/>
              <w:left w:val="single" w:sz="6" w:space="0" w:color="auto"/>
              <w:bottom w:val="single" w:sz="6" w:space="0" w:color="auto"/>
              <w:right w:val="single" w:sz="6" w:space="0" w:color="auto"/>
            </w:tcBorders>
          </w:tcPr>
          <w:p w14:paraId="44C335A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Race/ethnicity, </w:t>
            </w:r>
          </w:p>
          <w:p w14:paraId="0FEF19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629EBEB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marital/partner status,</w:t>
            </w:r>
          </w:p>
          <w:p w14:paraId="7F0812C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 children &lt;10, </w:t>
            </w:r>
          </w:p>
          <w:p w14:paraId="73C640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depression, </w:t>
            </w:r>
          </w:p>
          <w:p w14:paraId="17B3BB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obesity status</w:t>
            </w:r>
          </w:p>
        </w:tc>
        <w:tc>
          <w:tcPr>
            <w:tcW w:w="990" w:type="dxa"/>
            <w:tcBorders>
              <w:top w:val="nil"/>
              <w:left w:val="single" w:sz="6" w:space="0" w:color="auto"/>
              <w:bottom w:val="single" w:sz="6" w:space="0" w:color="auto"/>
              <w:right w:val="single" w:sz="6" w:space="0" w:color="auto"/>
            </w:tcBorders>
          </w:tcPr>
          <w:p w14:paraId="6534924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path coefficients (β)</w:t>
            </w:r>
          </w:p>
        </w:tc>
        <w:tc>
          <w:tcPr>
            <w:tcW w:w="3420" w:type="dxa"/>
            <w:gridSpan w:val="3"/>
            <w:tcBorders>
              <w:top w:val="nil"/>
              <w:left w:val="single" w:sz="6" w:space="0" w:color="auto"/>
              <w:bottom w:val="single" w:sz="6" w:space="0" w:color="auto"/>
              <w:right w:val="single" w:sz="6" w:space="0" w:color="auto"/>
            </w:tcBorders>
          </w:tcPr>
          <w:p w14:paraId="2CDC75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access → PA (direct): NS; indirect via cohesion β = 0.022, SE = 0.005, p = .103 (NS)</w:t>
            </w:r>
          </w:p>
        </w:tc>
        <w:tc>
          <w:tcPr>
            <w:tcW w:w="1080" w:type="dxa"/>
            <w:tcBorders>
              <w:top w:val="nil"/>
              <w:left w:val="single" w:sz="6" w:space="0" w:color="auto"/>
              <w:bottom w:val="single" w:sz="6" w:space="0" w:color="auto"/>
              <w:right w:val="single" w:sz="6" w:space="0" w:color="auto"/>
            </w:tcBorders>
          </w:tcPr>
          <w:p w14:paraId="20A2E22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access → PA: null (direct &amp; indirect NS)</w:t>
            </w:r>
          </w:p>
        </w:tc>
      </w:tr>
      <w:tr w:rsidR="00CF2149" w:rsidRPr="00B01F30" w14:paraId="53B6F5EE" w14:textId="77777777" w:rsidTr="00AE5170">
        <w:trPr>
          <w:gridAfter w:val="1"/>
          <w:wAfter w:w="8" w:type="dxa"/>
          <w:trHeight w:val="3855"/>
        </w:trPr>
        <w:tc>
          <w:tcPr>
            <w:tcW w:w="990" w:type="dxa"/>
            <w:tcBorders>
              <w:top w:val="nil"/>
              <w:left w:val="single" w:sz="6" w:space="0" w:color="auto"/>
              <w:bottom w:val="single" w:sz="6" w:space="0" w:color="auto"/>
              <w:right w:val="single" w:sz="6" w:space="0" w:color="auto"/>
            </w:tcBorders>
          </w:tcPr>
          <w:p w14:paraId="555231B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Babey et al.,</w:t>
            </w:r>
          </w:p>
          <w:p w14:paraId="4D49D58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2015</w:t>
            </w:r>
          </w:p>
        </w:tc>
        <w:tc>
          <w:tcPr>
            <w:tcW w:w="900" w:type="dxa"/>
            <w:tcBorders>
              <w:top w:val="nil"/>
              <w:left w:val="single" w:sz="6" w:space="0" w:color="auto"/>
              <w:bottom w:val="single" w:sz="6" w:space="0" w:color="auto"/>
              <w:right w:val="single" w:sz="6" w:space="0" w:color="auto"/>
            </w:tcBorders>
          </w:tcPr>
          <w:p w14:paraId="24908D2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588402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B5F34E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3,638</w:t>
            </w:r>
          </w:p>
        </w:tc>
        <w:tc>
          <w:tcPr>
            <w:tcW w:w="1080" w:type="dxa"/>
            <w:tcBorders>
              <w:top w:val="nil"/>
              <w:left w:val="single" w:sz="6" w:space="0" w:color="auto"/>
              <w:bottom w:val="single" w:sz="6" w:space="0" w:color="auto"/>
              <w:right w:val="single" w:sz="6" w:space="0" w:color="auto"/>
            </w:tcBorders>
          </w:tcPr>
          <w:p w14:paraId="6E7E03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Adolescents</w:t>
            </w:r>
          </w:p>
          <w:p w14:paraId="734E72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12–17 years</w:t>
            </w:r>
          </w:p>
        </w:tc>
        <w:tc>
          <w:tcPr>
            <w:tcW w:w="1440" w:type="dxa"/>
            <w:gridSpan w:val="2"/>
            <w:tcBorders>
              <w:top w:val="nil"/>
              <w:left w:val="single" w:sz="6" w:space="0" w:color="auto"/>
              <w:bottom w:val="single" w:sz="6" w:space="0" w:color="auto"/>
              <w:right w:val="single" w:sz="6" w:space="0" w:color="auto"/>
            </w:tcBorders>
          </w:tcPr>
          <w:p w14:paraId="237C4BE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within walking distance (Yes/No)</w:t>
            </w:r>
          </w:p>
        </w:tc>
        <w:tc>
          <w:tcPr>
            <w:tcW w:w="1080" w:type="dxa"/>
            <w:tcBorders>
              <w:top w:val="nil"/>
              <w:left w:val="single" w:sz="6" w:space="0" w:color="auto"/>
              <w:bottom w:val="single" w:sz="6" w:space="0" w:color="auto"/>
              <w:right w:val="single" w:sz="6" w:space="0" w:color="auto"/>
            </w:tcBorders>
          </w:tcPr>
          <w:p w14:paraId="7278AB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Park/playground/open space near home; nearest park</w:t>
            </w:r>
          </w:p>
        </w:tc>
        <w:tc>
          <w:tcPr>
            <w:tcW w:w="1260" w:type="dxa"/>
            <w:tcBorders>
              <w:top w:val="nil"/>
              <w:left w:val="single" w:sz="6" w:space="0" w:color="auto"/>
              <w:bottom w:val="single" w:sz="6" w:space="0" w:color="auto"/>
              <w:right w:val="single" w:sz="6" w:space="0" w:color="auto"/>
            </w:tcBorders>
          </w:tcPr>
          <w:p w14:paraId="1A58D5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Adolescent self-report</w:t>
            </w:r>
          </w:p>
        </w:tc>
        <w:tc>
          <w:tcPr>
            <w:tcW w:w="1377" w:type="dxa"/>
            <w:tcBorders>
              <w:top w:val="nil"/>
              <w:left w:val="single" w:sz="6" w:space="0" w:color="auto"/>
              <w:bottom w:val="single" w:sz="6" w:space="0" w:color="auto"/>
              <w:right w:val="single" w:sz="6" w:space="0" w:color="auto"/>
            </w:tcBorders>
          </w:tcPr>
          <w:p w14:paraId="5D0539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measures</w:t>
            </w:r>
          </w:p>
        </w:tc>
        <w:tc>
          <w:tcPr>
            <w:tcW w:w="1143" w:type="dxa"/>
            <w:tcBorders>
              <w:top w:val="nil"/>
              <w:left w:val="single" w:sz="6" w:space="0" w:color="auto"/>
              <w:bottom w:val="single" w:sz="6" w:space="0" w:color="auto"/>
              <w:right w:val="single" w:sz="6" w:space="0" w:color="auto"/>
            </w:tcBorders>
          </w:tcPr>
          <w:p w14:paraId="2C7F5E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Availability binary</w:t>
            </w:r>
          </w:p>
        </w:tc>
        <w:tc>
          <w:tcPr>
            <w:tcW w:w="1253" w:type="dxa"/>
            <w:tcBorders>
              <w:top w:val="nil"/>
              <w:left w:val="single" w:sz="6" w:space="0" w:color="auto"/>
              <w:bottom w:val="single" w:sz="6" w:space="0" w:color="auto"/>
              <w:right w:val="single" w:sz="6" w:space="0" w:color="auto"/>
            </w:tcBorders>
          </w:tcPr>
          <w:p w14:paraId="2D6B5FB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0B446AA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Park-based PA status at last park visit</w:t>
            </w:r>
          </w:p>
          <w:p w14:paraId="5ABBEA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(active / not active / no visit in past 30 days)</w:t>
            </w:r>
          </w:p>
        </w:tc>
        <w:tc>
          <w:tcPr>
            <w:tcW w:w="1260" w:type="dxa"/>
            <w:tcBorders>
              <w:top w:val="nil"/>
              <w:left w:val="single" w:sz="6" w:space="0" w:color="auto"/>
              <w:bottom w:val="single" w:sz="6" w:space="0" w:color="auto"/>
              <w:right w:val="single" w:sz="6" w:space="0" w:color="auto"/>
            </w:tcBorders>
          </w:tcPr>
          <w:p w14:paraId="760DB6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survey items</w:t>
            </w:r>
          </w:p>
        </w:tc>
        <w:tc>
          <w:tcPr>
            <w:tcW w:w="1087" w:type="dxa"/>
            <w:tcBorders>
              <w:top w:val="nil"/>
              <w:left w:val="single" w:sz="6" w:space="0" w:color="auto"/>
              <w:bottom w:val="single" w:sz="6" w:space="0" w:color="auto"/>
              <w:right w:val="single" w:sz="6" w:space="0" w:color="auto"/>
            </w:tcBorders>
          </w:tcPr>
          <w:p w14:paraId="072CBE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Multinomial logistic regression</w:t>
            </w:r>
          </w:p>
        </w:tc>
        <w:tc>
          <w:tcPr>
            <w:tcW w:w="1260" w:type="dxa"/>
            <w:tcBorders>
              <w:top w:val="nil"/>
              <w:left w:val="single" w:sz="6" w:space="0" w:color="auto"/>
              <w:bottom w:val="single" w:sz="6" w:space="0" w:color="auto"/>
              <w:right w:val="single" w:sz="6" w:space="0" w:color="auto"/>
            </w:tcBorders>
          </w:tcPr>
          <w:p w14:paraId="5A9EF22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1EBD1F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5868C7B0" w14:textId="5EA0E21B"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race/ethnicity</w:t>
            </w:r>
          </w:p>
          <w:p w14:paraId="46C19EC7" w14:textId="231C18DC"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adolescent nativity</w:t>
            </w:r>
          </w:p>
          <w:p w14:paraId="0CF50B1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maternal/paternal nativity,</w:t>
            </w:r>
          </w:p>
          <w:p w14:paraId="2FB7402E" w14:textId="07F26B7E"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household income</w:t>
            </w:r>
          </w:p>
          <w:p w14:paraId="242601D9" w14:textId="7A1283C2"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parental education</w:t>
            </w:r>
          </w:p>
          <w:p w14:paraId="6121B334" w14:textId="3355922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urbanicity</w:t>
            </w:r>
          </w:p>
          <w:p w14:paraId="64E4B5C5" w14:textId="1ED33AB2"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income</w:t>
            </w:r>
          </w:p>
          <w:p w14:paraId="351E2547" w14:textId="07BC99D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 Latino</w:t>
            </w:r>
          </w:p>
          <w:p w14:paraId="6088DF0C" w14:textId="69668CA4"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park availability</w:t>
            </w:r>
          </w:p>
          <w:p w14:paraId="7DE1A96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perceived park safety</w:t>
            </w:r>
          </w:p>
        </w:tc>
        <w:tc>
          <w:tcPr>
            <w:tcW w:w="990" w:type="dxa"/>
            <w:tcBorders>
              <w:top w:val="nil"/>
              <w:left w:val="single" w:sz="6" w:space="0" w:color="auto"/>
              <w:bottom w:val="single" w:sz="6" w:space="0" w:color="auto"/>
              <w:right w:val="single" w:sz="6" w:space="0" w:color="auto"/>
            </w:tcBorders>
          </w:tcPr>
          <w:p w14:paraId="552D7A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3420" w:type="dxa"/>
            <w:gridSpan w:val="3"/>
            <w:tcBorders>
              <w:top w:val="nil"/>
              <w:left w:val="single" w:sz="6" w:space="0" w:color="auto"/>
              <w:bottom w:val="single" w:sz="6" w:space="0" w:color="auto"/>
              <w:right w:val="single" w:sz="6" w:space="0" w:color="auto"/>
            </w:tcBorders>
          </w:tcPr>
          <w:p w14:paraId="4CCD4A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within walking distance → Active vs No visit: OR = 2.12 (1.57–2.84)</w:t>
            </w:r>
          </w:p>
          <w:p w14:paraId="7AB6321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AABE65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 within walking distance → Not active vs No visit: OR = 1.66 (1.01–2.75)</w:t>
            </w:r>
          </w:p>
        </w:tc>
        <w:tc>
          <w:tcPr>
            <w:tcW w:w="1080" w:type="dxa"/>
            <w:tcBorders>
              <w:top w:val="nil"/>
              <w:left w:val="single" w:sz="6" w:space="0" w:color="auto"/>
              <w:bottom w:val="single" w:sz="6" w:space="0" w:color="auto"/>
              <w:right w:val="single" w:sz="6" w:space="0" w:color="auto"/>
            </w:tcBorders>
          </w:tcPr>
          <w:p w14:paraId="6FB0263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(greater perceived availability/safety → higher odds of park-based PA)</w:t>
            </w:r>
          </w:p>
        </w:tc>
      </w:tr>
      <w:tr w:rsidR="00CF2149" w:rsidRPr="00B01F30" w14:paraId="2617B8FF" w14:textId="77777777" w:rsidTr="00AE5170">
        <w:trPr>
          <w:gridAfter w:val="1"/>
          <w:wAfter w:w="8" w:type="dxa"/>
          <w:trHeight w:val="2055"/>
        </w:trPr>
        <w:tc>
          <w:tcPr>
            <w:tcW w:w="990" w:type="dxa"/>
            <w:tcBorders>
              <w:top w:val="nil"/>
              <w:left w:val="single" w:sz="6" w:space="0" w:color="auto"/>
              <w:bottom w:val="single" w:sz="6" w:space="0" w:color="auto"/>
              <w:right w:val="single" w:sz="6" w:space="0" w:color="auto"/>
            </w:tcBorders>
          </w:tcPr>
          <w:p w14:paraId="2D057F4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Cerin et al.,</w:t>
            </w:r>
          </w:p>
          <w:p w14:paraId="46F1B6F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4205F8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China</w:t>
            </w:r>
          </w:p>
        </w:tc>
        <w:tc>
          <w:tcPr>
            <w:tcW w:w="900" w:type="dxa"/>
            <w:gridSpan w:val="2"/>
            <w:tcBorders>
              <w:top w:val="nil"/>
              <w:left w:val="single" w:sz="6" w:space="0" w:color="auto"/>
              <w:bottom w:val="single" w:sz="6" w:space="0" w:color="auto"/>
              <w:right w:val="single" w:sz="6" w:space="0" w:color="auto"/>
            </w:tcBorders>
          </w:tcPr>
          <w:p w14:paraId="7A0AED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1054D00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484</w:t>
            </w:r>
          </w:p>
        </w:tc>
        <w:tc>
          <w:tcPr>
            <w:tcW w:w="1080" w:type="dxa"/>
            <w:tcBorders>
              <w:top w:val="nil"/>
              <w:left w:val="single" w:sz="6" w:space="0" w:color="auto"/>
              <w:bottom w:val="single" w:sz="6" w:space="0" w:color="auto"/>
              <w:right w:val="single" w:sz="6" w:space="0" w:color="auto"/>
            </w:tcBorders>
          </w:tcPr>
          <w:p w14:paraId="20BE00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Elders able to walk unassisted</w:t>
            </w:r>
          </w:p>
          <w:p w14:paraId="3433704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 years</w:t>
            </w:r>
          </w:p>
        </w:tc>
        <w:tc>
          <w:tcPr>
            <w:tcW w:w="1440" w:type="dxa"/>
            <w:gridSpan w:val="2"/>
            <w:tcBorders>
              <w:top w:val="nil"/>
              <w:left w:val="single" w:sz="6" w:space="0" w:color="auto"/>
              <w:bottom w:val="single" w:sz="6" w:space="0" w:color="auto"/>
              <w:right w:val="single" w:sz="6" w:space="0" w:color="auto"/>
            </w:tcBorders>
          </w:tcPr>
          <w:p w14:paraId="34673FC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Audit prevalence scores (0–100) for parks/recreation</w:t>
            </w:r>
          </w:p>
        </w:tc>
        <w:tc>
          <w:tcPr>
            <w:tcW w:w="1080" w:type="dxa"/>
            <w:tcBorders>
              <w:top w:val="nil"/>
              <w:left w:val="single" w:sz="6" w:space="0" w:color="auto"/>
              <w:bottom w:val="single" w:sz="6" w:space="0" w:color="auto"/>
              <w:right w:val="single" w:sz="6" w:space="0" w:color="auto"/>
            </w:tcBorders>
          </w:tcPr>
          <w:p w14:paraId="780612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Parks/playgrounds/outdoor sports fields; trees/natural sights (audit items)</w:t>
            </w:r>
          </w:p>
        </w:tc>
        <w:tc>
          <w:tcPr>
            <w:tcW w:w="1260" w:type="dxa"/>
            <w:tcBorders>
              <w:top w:val="nil"/>
              <w:left w:val="single" w:sz="6" w:space="0" w:color="auto"/>
              <w:bottom w:val="single" w:sz="6" w:space="0" w:color="auto"/>
              <w:right w:val="single" w:sz="6" w:space="0" w:color="auto"/>
            </w:tcBorders>
          </w:tcPr>
          <w:p w14:paraId="1BF6149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On-street environmental audits by trained raters</w:t>
            </w:r>
          </w:p>
        </w:tc>
        <w:tc>
          <w:tcPr>
            <w:tcW w:w="1377" w:type="dxa"/>
            <w:tcBorders>
              <w:top w:val="nil"/>
              <w:left w:val="single" w:sz="6" w:space="0" w:color="auto"/>
              <w:bottom w:val="single" w:sz="6" w:space="0" w:color="auto"/>
              <w:right w:val="single" w:sz="6" w:space="0" w:color="auto"/>
            </w:tcBorders>
          </w:tcPr>
          <w:p w14:paraId="4A8180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Audit within 400 m road-network buffers</w:t>
            </w:r>
          </w:p>
        </w:tc>
        <w:tc>
          <w:tcPr>
            <w:tcW w:w="1143" w:type="dxa"/>
            <w:tcBorders>
              <w:top w:val="nil"/>
              <w:left w:val="single" w:sz="6" w:space="0" w:color="auto"/>
              <w:bottom w:val="single" w:sz="6" w:space="0" w:color="auto"/>
              <w:right w:val="single" w:sz="6" w:space="0" w:color="auto"/>
            </w:tcBorders>
          </w:tcPr>
          <w:p w14:paraId="653B351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Continuous scores (0–100)</w:t>
            </w:r>
          </w:p>
        </w:tc>
        <w:tc>
          <w:tcPr>
            <w:tcW w:w="1253" w:type="dxa"/>
            <w:tcBorders>
              <w:top w:val="nil"/>
              <w:left w:val="single" w:sz="6" w:space="0" w:color="auto"/>
              <w:bottom w:val="single" w:sz="6" w:space="0" w:color="auto"/>
              <w:right w:val="single" w:sz="6" w:space="0" w:color="auto"/>
            </w:tcBorders>
          </w:tcPr>
          <w:p w14:paraId="2B71D5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(block-level aggregate) exposure; individual PA</w:t>
            </w:r>
          </w:p>
        </w:tc>
        <w:tc>
          <w:tcPr>
            <w:tcW w:w="1260" w:type="dxa"/>
            <w:tcBorders>
              <w:top w:val="nil"/>
              <w:left w:val="single" w:sz="6" w:space="0" w:color="auto"/>
              <w:bottom w:val="single" w:sz="6" w:space="0" w:color="auto"/>
              <w:right w:val="single" w:sz="6" w:space="0" w:color="auto"/>
            </w:tcBorders>
          </w:tcPr>
          <w:p w14:paraId="490E12A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Minutes/week recreational walking; </w:t>
            </w:r>
          </w:p>
          <w:p w14:paraId="3BEE38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minutes/week OLTPA; </w:t>
            </w:r>
          </w:p>
          <w:p w14:paraId="3CF8A54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of non-participation</w:t>
            </w:r>
          </w:p>
        </w:tc>
        <w:tc>
          <w:tcPr>
            <w:tcW w:w="1260" w:type="dxa"/>
            <w:tcBorders>
              <w:top w:val="nil"/>
              <w:left w:val="single" w:sz="6" w:space="0" w:color="auto"/>
              <w:bottom w:val="single" w:sz="6" w:space="0" w:color="auto"/>
              <w:right w:val="single" w:sz="6" w:space="0" w:color="auto"/>
            </w:tcBorders>
          </w:tcPr>
          <w:p w14:paraId="29E9D7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IPAQ–Long (Chinese), interviewer-administered</w:t>
            </w:r>
          </w:p>
        </w:tc>
        <w:tc>
          <w:tcPr>
            <w:tcW w:w="1087" w:type="dxa"/>
            <w:tcBorders>
              <w:top w:val="nil"/>
              <w:left w:val="single" w:sz="6" w:space="0" w:color="auto"/>
              <w:bottom w:val="single" w:sz="6" w:space="0" w:color="auto"/>
              <w:right w:val="single" w:sz="6" w:space="0" w:color="auto"/>
            </w:tcBorders>
          </w:tcPr>
          <w:p w14:paraId="0B0F98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Zero-inflated negative binomial</w:t>
            </w:r>
          </w:p>
        </w:tc>
        <w:tc>
          <w:tcPr>
            <w:tcW w:w="1260" w:type="dxa"/>
            <w:tcBorders>
              <w:top w:val="nil"/>
              <w:left w:val="single" w:sz="6" w:space="0" w:color="auto"/>
              <w:bottom w:val="single" w:sz="6" w:space="0" w:color="auto"/>
              <w:right w:val="single" w:sz="6" w:space="0" w:color="auto"/>
            </w:tcBorders>
          </w:tcPr>
          <w:p w14:paraId="706196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6AD171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gender,</w:t>
            </w:r>
          </w:p>
          <w:p w14:paraId="0009A7E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education,</w:t>
            </w:r>
          </w:p>
          <w:p w14:paraId="0D7B8F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 audited segments,</w:t>
            </w:r>
          </w:p>
          <w:p w14:paraId="583382E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area SES; </w:t>
            </w:r>
          </w:p>
          <w:p w14:paraId="4B3110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clustering</w:t>
            </w:r>
          </w:p>
        </w:tc>
        <w:tc>
          <w:tcPr>
            <w:tcW w:w="990" w:type="dxa"/>
            <w:tcBorders>
              <w:top w:val="nil"/>
              <w:left w:val="single" w:sz="6" w:space="0" w:color="auto"/>
              <w:bottom w:val="single" w:sz="6" w:space="0" w:color="auto"/>
              <w:right w:val="single" w:sz="6" w:space="0" w:color="auto"/>
            </w:tcBorders>
          </w:tcPr>
          <w:p w14:paraId="3453FF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eb (minutes model; multiplicative) and </w:t>
            </w:r>
          </w:p>
          <w:p w14:paraId="157A15F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(non-participation) per 1-unit score increase</w:t>
            </w:r>
          </w:p>
        </w:tc>
        <w:tc>
          <w:tcPr>
            <w:tcW w:w="3420" w:type="dxa"/>
            <w:gridSpan w:val="3"/>
            <w:tcBorders>
              <w:top w:val="nil"/>
              <w:left w:val="single" w:sz="6" w:space="0" w:color="auto"/>
              <w:bottom w:val="single" w:sz="6" w:space="0" w:color="auto"/>
              <w:right w:val="single" w:sz="6" w:space="0" w:color="auto"/>
            </w:tcBorders>
          </w:tcPr>
          <w:p w14:paraId="07AA899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Parks → recreational walking (min/wk): eb = 1.03 (95% CI 1.02–1.05), p &lt; .01.</w:t>
            </w:r>
          </w:p>
          <w:p w14:paraId="346E2B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192E9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 OLTPA non-participation: OR = 0.96 (95% CI 0.94–0.98), p &lt; .001.</w:t>
            </w:r>
          </w:p>
        </w:tc>
        <w:tc>
          <w:tcPr>
            <w:tcW w:w="1080" w:type="dxa"/>
            <w:tcBorders>
              <w:top w:val="nil"/>
              <w:left w:val="single" w:sz="6" w:space="0" w:color="auto"/>
              <w:bottom w:val="single" w:sz="6" w:space="0" w:color="auto"/>
              <w:right w:val="single" w:sz="6" w:space="0" w:color="auto"/>
            </w:tcBorders>
          </w:tcPr>
          <w:p w14:paraId="7C21571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parks with walking minutes; negative for non-participation (i.e., higher participation).</w:t>
            </w:r>
          </w:p>
        </w:tc>
      </w:tr>
      <w:tr w:rsidR="00CF2149" w:rsidRPr="00B01F30" w14:paraId="39C10892" w14:textId="77777777" w:rsidTr="00AE5170">
        <w:trPr>
          <w:gridAfter w:val="1"/>
          <w:wAfter w:w="8" w:type="dxa"/>
          <w:trHeight w:val="3450"/>
        </w:trPr>
        <w:tc>
          <w:tcPr>
            <w:tcW w:w="990" w:type="dxa"/>
            <w:tcBorders>
              <w:top w:val="nil"/>
              <w:left w:val="single" w:sz="6" w:space="0" w:color="auto"/>
              <w:bottom w:val="single" w:sz="6" w:space="0" w:color="auto"/>
              <w:right w:val="single" w:sz="6" w:space="0" w:color="auto"/>
            </w:tcBorders>
          </w:tcPr>
          <w:p w14:paraId="7720DC5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Jago et al.,</w:t>
            </w:r>
          </w:p>
          <w:p w14:paraId="42B1B6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2006</w:t>
            </w:r>
          </w:p>
        </w:tc>
        <w:tc>
          <w:tcPr>
            <w:tcW w:w="900" w:type="dxa"/>
            <w:tcBorders>
              <w:top w:val="nil"/>
              <w:left w:val="single" w:sz="6" w:space="0" w:color="auto"/>
              <w:bottom w:val="single" w:sz="6" w:space="0" w:color="auto"/>
              <w:right w:val="single" w:sz="6" w:space="0" w:color="auto"/>
            </w:tcBorders>
          </w:tcPr>
          <w:p w14:paraId="36C4246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1DB455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2A32E6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210</w:t>
            </w:r>
          </w:p>
        </w:tc>
        <w:tc>
          <w:tcPr>
            <w:tcW w:w="1080" w:type="dxa"/>
            <w:tcBorders>
              <w:top w:val="nil"/>
              <w:left w:val="single" w:sz="6" w:space="0" w:color="auto"/>
              <w:bottom w:val="single" w:sz="6" w:space="0" w:color="auto"/>
              <w:right w:val="single" w:sz="6" w:space="0" w:color="auto"/>
            </w:tcBorders>
          </w:tcPr>
          <w:p w14:paraId="7DC26F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Adolescent males </w:t>
            </w:r>
          </w:p>
          <w:p w14:paraId="272D432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(Boy Scouts)</w:t>
            </w:r>
          </w:p>
          <w:p w14:paraId="0E7577F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10–14 years</w:t>
            </w:r>
          </w:p>
        </w:tc>
        <w:tc>
          <w:tcPr>
            <w:tcW w:w="1440" w:type="dxa"/>
            <w:gridSpan w:val="2"/>
            <w:tcBorders>
              <w:top w:val="nil"/>
              <w:left w:val="single" w:sz="6" w:space="0" w:color="auto"/>
              <w:bottom w:val="single" w:sz="6" w:space="0" w:color="auto"/>
              <w:right w:val="single" w:sz="6" w:space="0" w:color="auto"/>
            </w:tcBorders>
          </w:tcPr>
          <w:p w14:paraId="4B875D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counts of parks by type within 1-mile buffer; PCA factor “Parks.”</w:t>
            </w:r>
          </w:p>
          <w:p w14:paraId="23254D1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690C701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 “playgrounds/parks close to home” (Likert).</w:t>
            </w:r>
          </w:p>
          <w:p w14:paraId="1D34BC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B41C8F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Observed neighborhood audits (400 m) including sidewalk characteristics.</w:t>
            </w:r>
          </w:p>
        </w:tc>
        <w:tc>
          <w:tcPr>
            <w:tcW w:w="1080" w:type="dxa"/>
            <w:tcBorders>
              <w:top w:val="nil"/>
              <w:left w:val="single" w:sz="6" w:space="0" w:color="auto"/>
              <w:bottom w:val="single" w:sz="6" w:space="0" w:color="auto"/>
              <w:right w:val="single" w:sz="6" w:space="0" w:color="auto"/>
            </w:tcBorders>
          </w:tcPr>
          <w:p w14:paraId="75C85E6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 (mini-, neighborhood, community, school, large urban) + trails</w:t>
            </w:r>
          </w:p>
        </w:tc>
        <w:tc>
          <w:tcPr>
            <w:tcW w:w="1260" w:type="dxa"/>
            <w:tcBorders>
              <w:top w:val="nil"/>
              <w:left w:val="single" w:sz="6" w:space="0" w:color="auto"/>
              <w:bottom w:val="single" w:sz="6" w:space="0" w:color="auto"/>
              <w:right w:val="single" w:sz="6" w:space="0" w:color="auto"/>
            </w:tcBorders>
          </w:tcPr>
          <w:p w14:paraId="22DACD7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City park boundaries (GIS) + self-report; on-street audits for observed features</w:t>
            </w:r>
          </w:p>
        </w:tc>
        <w:tc>
          <w:tcPr>
            <w:tcW w:w="1377" w:type="dxa"/>
            <w:tcBorders>
              <w:top w:val="nil"/>
              <w:left w:val="single" w:sz="6" w:space="0" w:color="auto"/>
              <w:bottom w:val="single" w:sz="6" w:space="0" w:color="auto"/>
              <w:right w:val="single" w:sz="6" w:space="0" w:color="auto"/>
            </w:tcBorders>
          </w:tcPr>
          <w:p w14:paraId="3F08461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Counts within 1-mile circular buffers (GIS); </w:t>
            </w:r>
          </w:p>
          <w:p w14:paraId="3B7592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400 m observed audit area; </w:t>
            </w:r>
          </w:p>
          <w:p w14:paraId="2878C6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network/GTFS distances for parks</w:t>
            </w:r>
          </w:p>
        </w:tc>
        <w:tc>
          <w:tcPr>
            <w:tcW w:w="1143" w:type="dxa"/>
            <w:tcBorders>
              <w:top w:val="nil"/>
              <w:left w:val="single" w:sz="6" w:space="0" w:color="auto"/>
              <w:bottom w:val="single" w:sz="6" w:space="0" w:color="auto"/>
              <w:right w:val="single" w:sz="6" w:space="0" w:color="auto"/>
            </w:tcBorders>
          </w:tcPr>
          <w:p w14:paraId="3C6E306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Continuous counts/factor scores</w:t>
            </w:r>
          </w:p>
        </w:tc>
        <w:tc>
          <w:tcPr>
            <w:tcW w:w="1253" w:type="dxa"/>
            <w:tcBorders>
              <w:top w:val="nil"/>
              <w:left w:val="single" w:sz="6" w:space="0" w:color="auto"/>
              <w:bottom w:val="single" w:sz="6" w:space="0" w:color="auto"/>
              <w:right w:val="single" w:sz="6" w:space="0" w:color="auto"/>
            </w:tcBorders>
          </w:tcPr>
          <w:p w14:paraId="6A43F28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PA</w:t>
            </w:r>
          </w:p>
        </w:tc>
        <w:tc>
          <w:tcPr>
            <w:tcW w:w="1260" w:type="dxa"/>
            <w:tcBorders>
              <w:top w:val="nil"/>
              <w:left w:val="single" w:sz="6" w:space="0" w:color="auto"/>
              <w:bottom w:val="single" w:sz="6" w:space="0" w:color="auto"/>
              <w:right w:val="single" w:sz="6" w:space="0" w:color="auto"/>
            </w:tcBorders>
          </w:tcPr>
          <w:p w14:paraId="4BBB07D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Minutes/day sedentary, light, MVPA</w:t>
            </w:r>
          </w:p>
        </w:tc>
        <w:tc>
          <w:tcPr>
            <w:tcW w:w="1260" w:type="dxa"/>
            <w:tcBorders>
              <w:top w:val="nil"/>
              <w:left w:val="single" w:sz="6" w:space="0" w:color="auto"/>
              <w:bottom w:val="single" w:sz="6" w:space="0" w:color="auto"/>
              <w:right w:val="single" w:sz="6" w:space="0" w:color="auto"/>
            </w:tcBorders>
          </w:tcPr>
          <w:p w14:paraId="6128C02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(MTI) ≥2 valid days; </w:t>
            </w:r>
          </w:p>
          <w:p w14:paraId="7360C4C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Puyau cutpoints; </w:t>
            </w:r>
          </w:p>
          <w:p w14:paraId="626AD97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minutes scaled to 1080 min/day</w:t>
            </w:r>
          </w:p>
        </w:tc>
        <w:tc>
          <w:tcPr>
            <w:tcW w:w="1087" w:type="dxa"/>
            <w:tcBorders>
              <w:top w:val="nil"/>
              <w:left w:val="single" w:sz="6" w:space="0" w:color="auto"/>
              <w:bottom w:val="single" w:sz="6" w:space="0" w:color="auto"/>
              <w:right w:val="single" w:sz="6" w:space="0" w:color="auto"/>
            </w:tcBorders>
          </w:tcPr>
          <w:p w14:paraId="38269BB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Mixed linear regression</w:t>
            </w:r>
          </w:p>
        </w:tc>
        <w:tc>
          <w:tcPr>
            <w:tcW w:w="1260" w:type="dxa"/>
            <w:tcBorders>
              <w:top w:val="nil"/>
              <w:left w:val="single" w:sz="6" w:space="0" w:color="auto"/>
              <w:bottom w:val="single" w:sz="6" w:space="0" w:color="auto"/>
              <w:right w:val="single" w:sz="6" w:space="0" w:color="auto"/>
            </w:tcBorders>
          </w:tcPr>
          <w:p w14:paraId="3C3015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1BB838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056E14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parental education,</w:t>
            </w:r>
          </w:p>
          <w:p w14:paraId="6B1C0C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ethnicity (Anglo vs other)</w:t>
            </w:r>
          </w:p>
        </w:tc>
        <w:tc>
          <w:tcPr>
            <w:tcW w:w="990" w:type="dxa"/>
            <w:tcBorders>
              <w:top w:val="nil"/>
              <w:left w:val="single" w:sz="6" w:space="0" w:color="auto"/>
              <w:bottom w:val="single" w:sz="6" w:space="0" w:color="auto"/>
              <w:right w:val="single" w:sz="6" w:space="0" w:color="auto"/>
            </w:tcBorders>
          </w:tcPr>
          <w:p w14:paraId="2E17D08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Correlation (bivariate) for park factor</w:t>
            </w:r>
          </w:p>
        </w:tc>
        <w:tc>
          <w:tcPr>
            <w:tcW w:w="3420" w:type="dxa"/>
            <w:gridSpan w:val="3"/>
            <w:tcBorders>
              <w:top w:val="nil"/>
              <w:left w:val="single" w:sz="6" w:space="0" w:color="auto"/>
              <w:bottom w:val="single" w:sz="6" w:space="0" w:color="auto"/>
              <w:right w:val="single" w:sz="6" w:space="0" w:color="auto"/>
            </w:tcBorders>
          </w:tcPr>
          <w:p w14:paraId="62A6CE9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Parks factor—Sedentary r=0.07 (NS); </w:t>
            </w:r>
          </w:p>
          <w:p w14:paraId="345035A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426DD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Light r=−0.07 (NS); MVPA r=−0.04 (NS). </w:t>
            </w:r>
          </w:p>
          <w:p w14:paraId="61FA00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EE2C5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Sidewalk characteristics—Sedentary r=−0.20, p=.004; Light r=0.20, p=.003.</w:t>
            </w:r>
          </w:p>
        </w:tc>
        <w:tc>
          <w:tcPr>
            <w:tcW w:w="1080" w:type="dxa"/>
            <w:tcBorders>
              <w:top w:val="nil"/>
              <w:left w:val="single" w:sz="6" w:space="0" w:color="auto"/>
              <w:bottom w:val="single" w:sz="6" w:space="0" w:color="auto"/>
              <w:right w:val="single" w:sz="6" w:space="0" w:color="auto"/>
            </w:tcBorders>
          </w:tcPr>
          <w:p w14:paraId="6CCE19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factor → null with PA; sidewalk quality → positive with light PA, negative with sedentary time</w:t>
            </w:r>
          </w:p>
        </w:tc>
      </w:tr>
      <w:tr w:rsidR="00CF2149" w:rsidRPr="00B01F30" w14:paraId="43AD5C4C" w14:textId="77777777" w:rsidTr="00AE5170">
        <w:trPr>
          <w:gridAfter w:val="1"/>
          <w:wAfter w:w="8" w:type="dxa"/>
          <w:trHeight w:val="1155"/>
        </w:trPr>
        <w:tc>
          <w:tcPr>
            <w:tcW w:w="990" w:type="dxa"/>
            <w:tcBorders>
              <w:top w:val="nil"/>
              <w:left w:val="single" w:sz="6" w:space="0" w:color="auto"/>
              <w:bottom w:val="single" w:sz="6" w:space="0" w:color="auto"/>
              <w:right w:val="single" w:sz="6" w:space="0" w:color="auto"/>
            </w:tcBorders>
          </w:tcPr>
          <w:p w14:paraId="3D7291F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Zandieh et al.,</w:t>
            </w:r>
          </w:p>
          <w:p w14:paraId="6F55C0A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2019</w:t>
            </w:r>
          </w:p>
        </w:tc>
        <w:tc>
          <w:tcPr>
            <w:tcW w:w="900" w:type="dxa"/>
            <w:tcBorders>
              <w:top w:val="nil"/>
              <w:left w:val="single" w:sz="6" w:space="0" w:color="auto"/>
              <w:bottom w:val="single" w:sz="6" w:space="0" w:color="auto"/>
              <w:right w:val="single" w:sz="6" w:space="0" w:color="auto"/>
            </w:tcBorders>
          </w:tcPr>
          <w:p w14:paraId="47CC11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900" w:type="dxa"/>
            <w:gridSpan w:val="2"/>
            <w:tcBorders>
              <w:top w:val="nil"/>
              <w:left w:val="single" w:sz="6" w:space="0" w:color="auto"/>
              <w:bottom w:val="single" w:sz="6" w:space="0" w:color="auto"/>
              <w:right w:val="single" w:sz="6" w:space="0" w:color="auto"/>
            </w:tcBorders>
          </w:tcPr>
          <w:p w14:paraId="7ABE64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5188DD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173</w:t>
            </w:r>
          </w:p>
        </w:tc>
        <w:tc>
          <w:tcPr>
            <w:tcW w:w="1080" w:type="dxa"/>
            <w:tcBorders>
              <w:top w:val="nil"/>
              <w:left w:val="single" w:sz="6" w:space="0" w:color="auto"/>
              <w:bottom w:val="single" w:sz="6" w:space="0" w:color="auto"/>
              <w:right w:val="single" w:sz="6" w:space="0" w:color="auto"/>
            </w:tcBorders>
          </w:tcPr>
          <w:p w14:paraId="4A0754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adults</w:t>
            </w:r>
          </w:p>
          <w:p w14:paraId="16412D5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 years</w:t>
            </w:r>
          </w:p>
        </w:tc>
        <w:tc>
          <w:tcPr>
            <w:tcW w:w="1440" w:type="dxa"/>
            <w:gridSpan w:val="2"/>
            <w:tcBorders>
              <w:top w:val="nil"/>
              <w:left w:val="single" w:sz="6" w:space="0" w:color="auto"/>
              <w:bottom w:val="single" w:sz="6" w:space="0" w:color="auto"/>
              <w:right w:val="single" w:sz="6" w:space="0" w:color="auto"/>
            </w:tcBorders>
          </w:tcPr>
          <w:p w14:paraId="5D74DB4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Accessibility/quality: attractiveness score (1–7) from presence of 6 features</w:t>
            </w:r>
          </w:p>
        </w:tc>
        <w:tc>
          <w:tcPr>
            <w:tcW w:w="1080" w:type="dxa"/>
            <w:tcBorders>
              <w:top w:val="nil"/>
              <w:left w:val="single" w:sz="6" w:space="0" w:color="auto"/>
              <w:bottom w:val="single" w:sz="6" w:space="0" w:color="auto"/>
              <w:right w:val="single" w:sz="6" w:space="0" w:color="auto"/>
            </w:tcBorders>
          </w:tcPr>
          <w:p w14:paraId="670C7AD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Public parks/gardens, natural green spaces, amenity green spaces ≥2 acres (0.81 </w:t>
              <w:lastRenderedPageBreak/>
              <w:t>ha).</w:t>
            </w:r>
          </w:p>
        </w:tc>
        <w:tc>
          <w:tcPr>
            <w:tcW w:w="1260" w:type="dxa"/>
            <w:tcBorders>
              <w:top w:val="nil"/>
              <w:left w:val="single" w:sz="6" w:space="0" w:color="auto"/>
              <w:bottom w:val="single" w:sz="6" w:space="0" w:color="auto"/>
              <w:right w:val="single" w:sz="6" w:space="0" w:color="auto"/>
            </w:tcBorders>
          </w:tcPr>
          <w:p w14:paraId="64D0B03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Birmingham City Council</w:t>
            </w:r>
          </w:p>
        </w:tc>
        <w:tc>
          <w:tcPr>
            <w:tcW w:w="1377" w:type="dxa"/>
            <w:tcBorders>
              <w:top w:val="nil"/>
              <w:left w:val="single" w:sz="6" w:space="0" w:color="auto"/>
              <w:bottom w:val="single" w:sz="6" w:space="0" w:color="auto"/>
              <w:right w:val="single" w:sz="6" w:space="0" w:color="auto"/>
            </w:tcBorders>
          </w:tcPr>
          <w:p w14:paraId="350422D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Pedestrian network distance</w:t>
            </w:r>
          </w:p>
        </w:tc>
        <w:tc>
          <w:tcPr>
            <w:tcW w:w="1143" w:type="dxa"/>
            <w:tcBorders>
              <w:top w:val="nil"/>
              <w:left w:val="single" w:sz="6" w:space="0" w:color="auto"/>
              <w:bottom w:val="single" w:sz="6" w:space="0" w:color="auto"/>
              <w:right w:val="single" w:sz="6" w:space="0" w:color="auto"/>
            </w:tcBorders>
          </w:tcPr>
          <w:p w14:paraId="7AB9602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Include green spaces ≥2 acres; </w:t>
            </w:r>
          </w:p>
          <w:p w14:paraId="34ABA8E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neighbourhood defined as 2 km crow-fly from home</w:t>
            </w:r>
          </w:p>
        </w:tc>
        <w:tc>
          <w:tcPr>
            <w:tcW w:w="1253" w:type="dxa"/>
            <w:tcBorders>
              <w:top w:val="nil"/>
              <w:left w:val="single" w:sz="6" w:space="0" w:color="auto"/>
              <w:bottom w:val="single" w:sz="6" w:space="0" w:color="auto"/>
              <w:right w:val="single" w:sz="6" w:space="0" w:color="auto"/>
            </w:tcBorders>
          </w:tcPr>
          <w:p w14:paraId="387B07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62CD17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Minutes/day of outdoor walking within neighbourhood</w:t>
            </w:r>
          </w:p>
        </w:tc>
        <w:tc>
          <w:tcPr>
            <w:tcW w:w="1260" w:type="dxa"/>
            <w:tcBorders>
              <w:top w:val="nil"/>
              <w:left w:val="single" w:sz="6" w:space="0" w:color="auto"/>
              <w:bottom w:val="single" w:sz="6" w:space="0" w:color="auto"/>
              <w:right w:val="single" w:sz="6" w:space="0" w:color="auto"/>
            </w:tcBorders>
          </w:tcPr>
          <w:p w14:paraId="710622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GPS tracking </w:t>
            </w:r>
          </w:p>
          <w:p w14:paraId="135BE3F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(2-s interval; 3–8 days)</w:t>
            </w:r>
          </w:p>
        </w:tc>
        <w:tc>
          <w:tcPr>
            <w:tcW w:w="1087" w:type="dxa"/>
            <w:tcBorders>
              <w:top w:val="nil"/>
              <w:left w:val="single" w:sz="6" w:space="0" w:color="auto"/>
              <w:bottom w:val="single" w:sz="6" w:space="0" w:color="auto"/>
              <w:right w:val="single" w:sz="6" w:space="0" w:color="auto"/>
            </w:tcBorders>
          </w:tcPr>
          <w:p w14:paraId="474432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Hierarchical linear regression</w:t>
            </w:r>
          </w:p>
        </w:tc>
        <w:tc>
          <w:tcPr>
            <w:tcW w:w="1260" w:type="dxa"/>
            <w:tcBorders>
              <w:top w:val="nil"/>
              <w:left w:val="single" w:sz="6" w:space="0" w:color="auto"/>
              <w:bottom w:val="single" w:sz="6" w:space="0" w:color="auto"/>
              <w:right w:val="single" w:sz="6" w:space="0" w:color="auto"/>
            </w:tcBorders>
          </w:tcPr>
          <w:p w14:paraId="1E44ABF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Marital status, ethnicity</w:t>
            </w:r>
          </w:p>
        </w:tc>
        <w:tc>
          <w:tcPr>
            <w:tcW w:w="990" w:type="dxa"/>
            <w:tcBorders>
              <w:top w:val="nil"/>
              <w:left w:val="single" w:sz="6" w:space="0" w:color="auto"/>
              <w:bottom w:val="single" w:sz="6" w:space="0" w:color="auto"/>
              <w:right w:val="single" w:sz="6" w:space="0" w:color="auto"/>
            </w:tcBorders>
          </w:tcPr>
          <w:p w14:paraId="4B867D4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B (SE)</w:t>
            </w:r>
          </w:p>
        </w:tc>
        <w:tc>
          <w:tcPr>
            <w:tcW w:w="3420" w:type="dxa"/>
            <w:gridSpan w:val="3"/>
            <w:tcBorders>
              <w:top w:val="nil"/>
              <w:left w:val="single" w:sz="6" w:space="0" w:color="auto"/>
              <w:bottom w:val="single" w:sz="6" w:space="0" w:color="auto"/>
              <w:right w:val="single" w:sz="6" w:space="0" w:color="auto"/>
            </w:tcBorders>
          </w:tcPr>
          <w:p w14:paraId="0181A0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Closest green space size → walking: B = 0.09 (0.04), p &lt; .05</w:t>
            </w:r>
          </w:p>
          <w:p w14:paraId="64F845A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39576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Most attractive green space size → walking: B = 0.11 (0.05), p &lt; .05</w:t>
            </w:r>
          </w:p>
          <w:p w14:paraId="37FB9F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B1ACDA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Largest green space size → walking: B = 0.17 (0.07), p ≤ .01</w:t>
            </w:r>
          </w:p>
        </w:tc>
        <w:tc>
          <w:tcPr>
            <w:tcW w:w="1080" w:type="dxa"/>
            <w:tcBorders>
              <w:top w:val="nil"/>
              <w:left w:val="single" w:sz="6" w:space="0" w:color="auto"/>
              <w:bottom w:val="single" w:sz="6" w:space="0" w:color="auto"/>
              <w:right w:val="single" w:sz="6" w:space="0" w:color="auto"/>
            </w:tcBorders>
          </w:tcPr>
          <w:p w14:paraId="5E50252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size; null for proximity, attractiveness (score), and number.</w:t>
            </w:r>
          </w:p>
        </w:tc>
      </w:tr>
      <w:tr w:rsidR="00CF2149" w:rsidRPr="00B01F30" w14:paraId="67133B7D" w14:textId="77777777" w:rsidTr="00AE5170">
        <w:trPr>
          <w:gridAfter w:val="1"/>
          <w:wAfter w:w="8" w:type="dxa"/>
          <w:trHeight w:val="5925"/>
        </w:trPr>
        <w:tc>
          <w:tcPr>
            <w:tcW w:w="990" w:type="dxa"/>
            <w:tcBorders>
              <w:top w:val="nil"/>
              <w:left w:val="single" w:sz="6" w:space="0" w:color="auto"/>
              <w:bottom w:val="single" w:sz="6" w:space="0" w:color="auto"/>
              <w:right w:val="single" w:sz="6" w:space="0" w:color="auto"/>
            </w:tcBorders>
          </w:tcPr>
          <w:p w14:paraId="6CBAAC5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 et al.,</w:t>
            </w:r>
          </w:p>
          <w:p w14:paraId="50738D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900" w:type="dxa"/>
            <w:tcBorders>
              <w:top w:val="nil"/>
              <w:left w:val="single" w:sz="6" w:space="0" w:color="auto"/>
              <w:bottom w:val="single" w:sz="6" w:space="0" w:color="auto"/>
              <w:right w:val="single" w:sz="6" w:space="0" w:color="auto"/>
            </w:tcBorders>
          </w:tcPr>
          <w:p w14:paraId="7C04A0F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58A07AA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1F8D23D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4,371</w:t>
            </w:r>
          </w:p>
        </w:tc>
        <w:tc>
          <w:tcPr>
            <w:tcW w:w="1080" w:type="dxa"/>
            <w:tcBorders>
              <w:top w:val="nil"/>
              <w:left w:val="single" w:sz="6" w:space="0" w:color="auto"/>
              <w:bottom w:val="single" w:sz="6" w:space="0" w:color="auto"/>
              <w:right w:val="single" w:sz="6" w:space="0" w:color="auto"/>
            </w:tcBorders>
          </w:tcPr>
          <w:p w14:paraId="04A5CA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Twitter users</w:t>
            </w:r>
          </w:p>
          <w:p w14:paraId="674421D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1440" w:type="dxa"/>
            <w:gridSpan w:val="2"/>
            <w:tcBorders>
              <w:top w:val="nil"/>
              <w:left w:val="single" w:sz="6" w:space="0" w:color="auto"/>
              <w:bottom w:val="single" w:sz="6" w:space="0" w:color="auto"/>
              <w:right w:val="single" w:sz="6" w:space="0" w:color="auto"/>
            </w:tcBorders>
          </w:tcPr>
          <w:p w14:paraId="3BD42B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distance to nearest park</w:t>
            </w:r>
          </w:p>
          <w:p w14:paraId="559F20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49C2D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buffers (0.5, 1, 1.5, 2, 2.5, 3 miles)</w:t>
            </w:r>
          </w:p>
        </w:tc>
        <w:tc>
          <w:tcPr>
            <w:tcW w:w="1080" w:type="dxa"/>
            <w:tcBorders>
              <w:top w:val="nil"/>
              <w:left w:val="single" w:sz="6" w:space="0" w:color="auto"/>
              <w:bottom w:val="single" w:sz="6" w:space="0" w:color="auto"/>
              <w:right w:val="single" w:sz="6" w:space="0" w:color="auto"/>
            </w:tcBorders>
          </w:tcPr>
          <w:p w14:paraId="068269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260" w:type="dxa"/>
            <w:tcBorders>
              <w:top w:val="nil"/>
              <w:left w:val="single" w:sz="6" w:space="0" w:color="auto"/>
              <w:bottom w:val="single" w:sz="6" w:space="0" w:color="auto"/>
              <w:right w:val="single" w:sz="6" w:space="0" w:color="auto"/>
            </w:tcBorders>
          </w:tcPr>
          <w:p w14:paraId="540499D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of Atlanta – Planning GIS Open Data</w:t>
            </w:r>
          </w:p>
        </w:tc>
        <w:tc>
          <w:tcPr>
            <w:tcW w:w="1377" w:type="dxa"/>
            <w:tcBorders>
              <w:top w:val="nil"/>
              <w:left w:val="single" w:sz="6" w:space="0" w:color="auto"/>
              <w:bottom w:val="single" w:sz="6" w:space="0" w:color="auto"/>
              <w:right w:val="single" w:sz="6" w:space="0" w:color="auto"/>
            </w:tcBorders>
          </w:tcPr>
          <w:p w14:paraId="4F8DEA6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Straight-line distance from tweet point to park boundary</w:t>
            </w:r>
          </w:p>
          <w:p w14:paraId="126728F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A9B95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tweets within park set to 0 distance</w:t>
            </w:r>
          </w:p>
        </w:tc>
        <w:tc>
          <w:tcPr>
            <w:tcW w:w="1143" w:type="dxa"/>
            <w:tcBorders>
              <w:top w:val="nil"/>
              <w:left w:val="single" w:sz="6" w:space="0" w:color="auto"/>
              <w:bottom w:val="single" w:sz="6" w:space="0" w:color="auto"/>
              <w:right w:val="single" w:sz="6" w:space="0" w:color="auto"/>
            </w:tcBorders>
          </w:tcPr>
          <w:p w14:paraId="5DD5502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0.5-mile threshold highlighted</w:t>
            </w:r>
          </w:p>
          <w:p w14:paraId="5B714B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(10-minute walk)</w:t>
            </w:r>
          </w:p>
        </w:tc>
        <w:tc>
          <w:tcPr>
            <w:tcW w:w="1253" w:type="dxa"/>
            <w:tcBorders>
              <w:top w:val="nil"/>
              <w:left w:val="single" w:sz="6" w:space="0" w:color="auto"/>
              <w:bottom w:val="single" w:sz="6" w:space="0" w:color="auto"/>
              <w:right w:val="single" w:sz="6" w:space="0" w:color="auto"/>
            </w:tcBorders>
          </w:tcPr>
          <w:p w14:paraId="2478AA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Tweet-to-park distances; park-level tweet counts within buffers</w:t>
            </w:r>
          </w:p>
        </w:tc>
        <w:tc>
          <w:tcPr>
            <w:tcW w:w="1260" w:type="dxa"/>
            <w:tcBorders>
              <w:top w:val="nil"/>
              <w:left w:val="single" w:sz="6" w:space="0" w:color="auto"/>
              <w:bottom w:val="single" w:sz="6" w:space="0" w:color="auto"/>
              <w:right w:val="single" w:sz="6" w:space="0" w:color="auto"/>
            </w:tcBorders>
          </w:tcPr>
          <w:p w14:paraId="442F71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Active travel/PA-related tweets </w:t>
            </w:r>
          </w:p>
          <w:p w14:paraId="6B190AB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jogging, running, biking)</w:t>
            </w:r>
          </w:p>
        </w:tc>
        <w:tc>
          <w:tcPr>
            <w:tcW w:w="1260" w:type="dxa"/>
            <w:tcBorders>
              <w:top w:val="nil"/>
              <w:left w:val="single" w:sz="6" w:space="0" w:color="auto"/>
              <w:bottom w:val="single" w:sz="6" w:space="0" w:color="auto"/>
              <w:right w:val="single" w:sz="6" w:space="0" w:color="auto"/>
            </w:tcBorders>
          </w:tcPr>
          <w:p w14:paraId="3ABD77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Keyword filter + Naïve Bayes text classifier on tweets (2017); </w:t>
            </w:r>
          </w:p>
          <w:p w14:paraId="1195ECC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geotagged points</w:t>
            </w:r>
          </w:p>
        </w:tc>
        <w:tc>
          <w:tcPr>
            <w:tcW w:w="1087" w:type="dxa"/>
            <w:tcBorders>
              <w:top w:val="nil"/>
              <w:left w:val="single" w:sz="6" w:space="0" w:color="auto"/>
              <w:bottom w:val="single" w:sz="6" w:space="0" w:color="auto"/>
              <w:right w:val="single" w:sz="6" w:space="0" w:color="auto"/>
            </w:tcBorders>
          </w:tcPr>
          <w:p w14:paraId="3FA996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One-way ANOVA</w:t>
            </w:r>
          </w:p>
        </w:tc>
        <w:tc>
          <w:tcPr>
            <w:tcW w:w="1260" w:type="dxa"/>
            <w:tcBorders>
              <w:top w:val="nil"/>
              <w:left w:val="single" w:sz="6" w:space="0" w:color="auto"/>
              <w:bottom w:val="single" w:sz="6" w:space="0" w:color="auto"/>
              <w:right w:val="single" w:sz="6" w:space="0" w:color="auto"/>
            </w:tcBorders>
          </w:tcPr>
          <w:p w14:paraId="680001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990" w:type="dxa"/>
            <w:tcBorders>
              <w:top w:val="nil"/>
              <w:left w:val="single" w:sz="6" w:space="0" w:color="auto"/>
              <w:bottom w:val="single" w:sz="6" w:space="0" w:color="auto"/>
              <w:right w:val="single" w:sz="6" w:space="0" w:color="auto"/>
            </w:tcBorders>
          </w:tcPr>
          <w:p w14:paraId="635873E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Percent within threshold</w:t>
            </w:r>
          </w:p>
          <w:p w14:paraId="5362C1C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ANOVA p-values</w:t>
            </w:r>
          </w:p>
          <w:p w14:paraId="0EB0C1D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OLS slope (β₁) with p and R²</w:t>
            </w:r>
          </w:p>
        </w:tc>
        <w:tc>
          <w:tcPr>
            <w:tcW w:w="1440" w:type="dxa"/>
            <w:tcBorders>
              <w:top w:val="nil"/>
              <w:left w:val="single" w:sz="6" w:space="0" w:color="auto"/>
              <w:bottom w:val="single" w:sz="6" w:space="0" w:color="auto"/>
              <w:right w:val="single" w:sz="6" w:space="0" w:color="auto"/>
            </w:tcBorders>
          </w:tcPr>
          <w:p w14:paraId="54D0732D" w14:textId="1E2E70FB" w:rsidR="00CF2149" w:rsidRPr="00B01F30" w:rsidRDefault="00CF2149" w:rsidP="00AE5170">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72.2% of PA tweets within 0.5 mile of a park; peak at 0.3–0.4 mile = 803 tweets (18.4%)</w:t>
            </w:r>
          </w:p>
          <w:p w14:paraId="21E396AA" w14:textId="76B11B42" w:rsidR="00CF2149" w:rsidRPr="00B01F30" w:rsidRDefault="00CF2149" w:rsidP="00AE5170">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ANOVA: park-type differences significant at ≥2.5 miles (p=0.035 at 2.5 mi; p=0.040 at 3 mi); not significant &lt;2.0 mi</w:t>
            </w:r>
          </w:p>
          <w:p w14:paraId="324F7D96" w14:textId="036F9729" w:rsidR="00CF2149" w:rsidRPr="00B01F30" w:rsidRDefault="00CF2149" w:rsidP="00AE5170">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OLS (all parks): β₁ negative and significant at 2.0–3.0 mi (e.g., 2.0 mi p=0.038; 2.5 mi p=0.033; 3.0 mi p=0.030; low R²)</w:t>
            </w:r>
          </w:p>
          <w:p w14:paraId="2E91A5A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OLS (playlots, 0.5 mi): β₁=72.9 (SE 31.7), p=0.027; other types generally ns</w:t>
            </w:r>
          </w:p>
        </w:tc>
        <w:tc>
          <w:tcPr>
            <w:tcW w:w="983" w:type="dxa"/>
            <w:tcBorders>
              <w:top w:val="nil"/>
              <w:left w:val="single" w:sz="6" w:space="0" w:color="auto"/>
              <w:bottom w:val="single" w:sz="6" w:space="0" w:color="auto"/>
              <w:right w:val="single" w:sz="6" w:space="0" w:color="auto"/>
            </w:tcBorders>
          </w:tcPr>
          <w:p w14:paraId="248CE06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SEs reported</w:t>
            </w:r>
          </w:p>
        </w:tc>
        <w:tc>
          <w:tcPr>
            <w:tcW w:w="997" w:type="dxa"/>
            <w:tcBorders>
              <w:top w:val="nil"/>
              <w:left w:val="single" w:sz="6" w:space="0" w:color="auto"/>
              <w:bottom w:val="single" w:sz="6" w:space="0" w:color="auto"/>
              <w:right w:val="single" w:sz="6" w:space="0" w:color="auto"/>
            </w:tcBorders>
          </w:tcPr>
          <w:p w14:paraId="4B8A402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6" w:space="0" w:color="auto"/>
              <w:right w:val="single" w:sz="6" w:space="0" w:color="auto"/>
            </w:tcBorders>
          </w:tcPr>
          <w:p w14:paraId="11CC56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association between closer park proximity (≤0.5 mi) and PA tweet activity; park size mostly not predictive</w:t>
            </w:r>
          </w:p>
        </w:tc>
      </w:tr>
      <w:tr w:rsidR="00CF2149" w:rsidRPr="00B01F30" w14:paraId="10E60FD9" w14:textId="77777777" w:rsidTr="00AE5170">
        <w:trPr>
          <w:gridAfter w:val="1"/>
          <w:wAfter w:w="8" w:type="dxa"/>
          <w:trHeight w:val="2865"/>
        </w:trPr>
        <w:tc>
          <w:tcPr>
            <w:tcW w:w="990" w:type="dxa"/>
            <w:tcBorders>
              <w:top w:val="nil"/>
              <w:left w:val="single" w:sz="6" w:space="0" w:color="auto"/>
              <w:bottom w:val="single" w:sz="6" w:space="0" w:color="auto"/>
              <w:right w:val="single" w:sz="6" w:space="0" w:color="auto"/>
            </w:tcBorders>
          </w:tcPr>
          <w:p w14:paraId="67DE12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Michael et al.,</w:t>
            </w:r>
          </w:p>
          <w:p w14:paraId="4D6F64B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2010</w:t>
            </w:r>
          </w:p>
        </w:tc>
        <w:tc>
          <w:tcPr>
            <w:tcW w:w="900" w:type="dxa"/>
            <w:tcBorders>
              <w:top w:val="nil"/>
              <w:left w:val="single" w:sz="6" w:space="0" w:color="auto"/>
              <w:bottom w:val="single" w:sz="6" w:space="0" w:color="auto"/>
              <w:right w:val="single" w:sz="6" w:space="0" w:color="auto"/>
            </w:tcBorders>
          </w:tcPr>
          <w:p w14:paraId="45787C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3A53E6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Prospective cohort</w:t>
            </w:r>
          </w:p>
        </w:tc>
        <w:tc>
          <w:tcPr>
            <w:tcW w:w="810" w:type="dxa"/>
            <w:tcBorders>
              <w:top w:val="nil"/>
              <w:left w:val="single" w:sz="6" w:space="0" w:color="auto"/>
              <w:bottom w:val="single" w:sz="6" w:space="0" w:color="auto"/>
              <w:right w:val="single" w:sz="6" w:space="0" w:color="auto"/>
            </w:tcBorders>
          </w:tcPr>
          <w:p w14:paraId="3FC8D8F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422</w:t>
            </w:r>
          </w:p>
        </w:tc>
        <w:tc>
          <w:tcPr>
            <w:tcW w:w="1080" w:type="dxa"/>
            <w:tcBorders>
              <w:top w:val="nil"/>
              <w:left w:val="single" w:sz="6" w:space="0" w:color="auto"/>
              <w:bottom w:val="single" w:sz="6" w:space="0" w:color="auto"/>
              <w:right w:val="single" w:sz="6" w:space="0" w:color="auto"/>
            </w:tcBorders>
          </w:tcPr>
          <w:p w14:paraId="1737C3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men. </w:t>
            </w:r>
          </w:p>
          <w:p w14:paraId="515DCF6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 years.</w:t>
            </w:r>
          </w:p>
        </w:tc>
        <w:tc>
          <w:tcPr>
            <w:tcW w:w="1440" w:type="dxa"/>
            <w:gridSpan w:val="2"/>
            <w:tcBorders>
              <w:top w:val="nil"/>
              <w:left w:val="single" w:sz="6" w:space="0" w:color="auto"/>
              <w:bottom w:val="single" w:sz="6" w:space="0" w:color="auto"/>
              <w:right w:val="single" w:sz="6" w:space="0" w:color="auto"/>
            </w:tcBorders>
          </w:tcPr>
          <w:p w14:paraId="16E9974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parks and trails; presence of recreational facilities within buffers.</w:t>
            </w:r>
          </w:p>
        </w:tc>
        <w:tc>
          <w:tcPr>
            <w:tcW w:w="1080" w:type="dxa"/>
            <w:tcBorders>
              <w:top w:val="nil"/>
              <w:left w:val="single" w:sz="6" w:space="0" w:color="auto"/>
              <w:bottom w:val="single" w:sz="6" w:space="0" w:color="auto"/>
              <w:right w:val="single" w:sz="6" w:space="0" w:color="auto"/>
            </w:tcBorders>
          </w:tcPr>
          <w:p w14:paraId="1A5D4CD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Parks; walking/hiking trails; recreational facilities. </w:t>
            </w:r>
          </w:p>
        </w:tc>
        <w:tc>
          <w:tcPr>
            <w:tcW w:w="1260" w:type="dxa"/>
            <w:tcBorders>
              <w:top w:val="nil"/>
              <w:left w:val="single" w:sz="6" w:space="0" w:color="auto"/>
              <w:bottom w:val="single" w:sz="6" w:space="0" w:color="auto"/>
              <w:right w:val="single" w:sz="6" w:space="0" w:color="auto"/>
            </w:tcBorders>
          </w:tcPr>
          <w:p w14:paraId="085AC4D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Metro RLIS GIS database</w:t>
            </w:r>
          </w:p>
        </w:tc>
        <w:tc>
          <w:tcPr>
            <w:tcW w:w="1377" w:type="dxa"/>
            <w:tcBorders>
              <w:top w:val="nil"/>
              <w:left w:val="single" w:sz="6" w:space="0" w:color="auto"/>
              <w:bottom w:val="single" w:sz="6" w:space="0" w:color="auto"/>
              <w:right w:val="single" w:sz="6" w:space="0" w:color="auto"/>
            </w:tcBorders>
          </w:tcPr>
          <w:p w14:paraId="1D3DCD3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 distance: </w:t>
            </w:r>
          </w:p>
          <w:p w14:paraId="66F756E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w:t>
            </w:r>
          </w:p>
          <w:p w14:paraId="39CEC40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trail distance: Euclidean (straight-line). </w:t>
            </w:r>
          </w:p>
        </w:tc>
        <w:tc>
          <w:tcPr>
            <w:tcW w:w="1143" w:type="dxa"/>
            <w:tcBorders>
              <w:top w:val="nil"/>
              <w:left w:val="single" w:sz="6" w:space="0" w:color="auto"/>
              <w:bottom w:val="single" w:sz="6" w:space="0" w:color="auto"/>
              <w:right w:val="single" w:sz="6" w:space="0" w:color="auto"/>
            </w:tcBorders>
          </w:tcPr>
          <w:p w14:paraId="4C42F2A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Parks: 0.125 &amp; 0.25 miles; </w:t>
            </w:r>
          </w:p>
          <w:p w14:paraId="3F6477D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Trails: 0.25 &amp; 0.5 miles; </w:t>
            </w:r>
          </w:p>
          <w:p w14:paraId="0C5563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Recreational facilities: ≥1 within 0.25 or 0.5 miles (vs none).</w:t>
            </w:r>
          </w:p>
        </w:tc>
        <w:tc>
          <w:tcPr>
            <w:tcW w:w="1253" w:type="dxa"/>
            <w:tcBorders>
              <w:top w:val="nil"/>
              <w:left w:val="single" w:sz="6" w:space="0" w:color="auto"/>
              <w:bottom w:val="single" w:sz="6" w:space="0" w:color="auto"/>
              <w:right w:val="single" w:sz="6" w:space="0" w:color="auto"/>
            </w:tcBorders>
          </w:tcPr>
          <w:p w14:paraId="42E144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Participant residence buffers</w:t>
            </w:r>
          </w:p>
        </w:tc>
        <w:tc>
          <w:tcPr>
            <w:tcW w:w="1260" w:type="dxa"/>
            <w:tcBorders>
              <w:top w:val="nil"/>
              <w:left w:val="single" w:sz="6" w:space="0" w:color="auto"/>
              <w:bottom w:val="single" w:sz="6" w:space="0" w:color="auto"/>
              <w:right w:val="single" w:sz="6" w:space="0" w:color="auto"/>
            </w:tcBorders>
          </w:tcPr>
          <w:p w14:paraId="56FC65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time (min/day).</w:t>
            </w:r>
          </w:p>
        </w:tc>
        <w:tc>
          <w:tcPr>
            <w:tcW w:w="1260" w:type="dxa"/>
            <w:tcBorders>
              <w:top w:val="nil"/>
              <w:left w:val="single" w:sz="6" w:space="0" w:color="auto"/>
              <w:bottom w:val="single" w:sz="6" w:space="0" w:color="auto"/>
              <w:right w:val="single" w:sz="6" w:space="0" w:color="auto"/>
            </w:tcBorders>
          </w:tcPr>
          <w:p w14:paraId="2BC0D55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7" w:type="dxa"/>
            <w:tcBorders>
              <w:top w:val="nil"/>
              <w:left w:val="single" w:sz="6" w:space="0" w:color="auto"/>
              <w:bottom w:val="single" w:sz="6" w:space="0" w:color="auto"/>
              <w:right w:val="single" w:sz="6" w:space="0" w:color="auto"/>
            </w:tcBorders>
          </w:tcPr>
          <w:p w14:paraId="1FC469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Log-binomial regression</w:t>
            </w:r>
          </w:p>
        </w:tc>
        <w:tc>
          <w:tcPr>
            <w:tcW w:w="1260" w:type="dxa"/>
            <w:tcBorders>
              <w:top w:val="nil"/>
              <w:left w:val="single" w:sz="6" w:space="0" w:color="auto"/>
              <w:bottom w:val="single" w:sz="6" w:space="0" w:color="auto"/>
              <w:right w:val="single" w:sz="6" w:space="0" w:color="auto"/>
            </w:tcBorders>
          </w:tcPr>
          <w:p w14:paraId="4D2194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 retained</w:t>
            </w:r>
          </w:p>
        </w:tc>
        <w:tc>
          <w:tcPr>
            <w:tcW w:w="990" w:type="dxa"/>
            <w:tcBorders>
              <w:top w:val="nil"/>
              <w:left w:val="single" w:sz="6" w:space="0" w:color="auto"/>
              <w:bottom w:val="single" w:sz="6" w:space="0" w:color="auto"/>
              <w:right w:val="single" w:sz="6" w:space="0" w:color="auto"/>
            </w:tcBorders>
          </w:tcPr>
          <w:p w14:paraId="1C3F4B3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Relative risk (RR).</w:t>
            </w:r>
          </w:p>
        </w:tc>
        <w:tc>
          <w:tcPr>
            <w:tcW w:w="1440" w:type="dxa"/>
            <w:tcBorders>
              <w:top w:val="nil"/>
              <w:left w:val="single" w:sz="6" w:space="0" w:color="auto"/>
              <w:bottom w:val="single" w:sz="6" w:space="0" w:color="auto"/>
              <w:right w:val="single" w:sz="6" w:space="0" w:color="auto"/>
            </w:tcBorders>
          </w:tcPr>
          <w:p w14:paraId="4335128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Effect Estimate (numeric value):</w:t>
            </w:r>
          </w:p>
          <w:p w14:paraId="6615DD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Park within 0.125 mi, high-SES: RR=1.22. </w:t>
            </w:r>
          </w:p>
          <w:p w14:paraId="6FE9EF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C9094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Trail within 0.5 mi, high-SES: RR=1.34. </w:t>
            </w:r>
          </w:p>
          <w:p w14:paraId="51B045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25655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Low-SES: parks RR=0.89; trails RR=0.93 (null).</w:t>
            </w:r>
          </w:p>
        </w:tc>
        <w:tc>
          <w:tcPr>
            <w:tcW w:w="983" w:type="dxa"/>
            <w:tcBorders>
              <w:top w:val="nil"/>
              <w:left w:val="single" w:sz="6" w:space="0" w:color="auto"/>
              <w:bottom w:val="single" w:sz="6" w:space="0" w:color="auto"/>
              <w:right w:val="single" w:sz="6" w:space="0" w:color="auto"/>
            </w:tcBorders>
          </w:tcPr>
          <w:p w14:paraId="751E9FC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Park 0.125 mi, high-SES: 95% CI 1.01–1.47. </w:t>
            </w:r>
          </w:p>
          <w:p w14:paraId="32E577C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830F45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Trail 0.5 mi, high-SES: 95% CI 1.16–1.55.</w:t>
            </w:r>
          </w:p>
        </w:tc>
        <w:tc>
          <w:tcPr>
            <w:tcW w:w="997" w:type="dxa"/>
            <w:tcBorders>
              <w:top w:val="nil"/>
              <w:left w:val="single" w:sz="6" w:space="0" w:color="auto"/>
              <w:bottom w:val="single" w:sz="6" w:space="0" w:color="auto"/>
              <w:right w:val="single" w:sz="6" w:space="0" w:color="auto"/>
            </w:tcBorders>
          </w:tcPr>
          <w:p w14:paraId="7919BE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Interaction terms with SES: P&lt;0.1</w:t>
            </w:r>
          </w:p>
          <w:p w14:paraId="6BA4ED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13173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overall decline in walking: P&lt;0.05.</w:t>
            </w:r>
          </w:p>
        </w:tc>
        <w:tc>
          <w:tcPr>
            <w:tcW w:w="1080" w:type="dxa"/>
            <w:tcBorders>
              <w:top w:val="nil"/>
              <w:left w:val="single" w:sz="6" w:space="0" w:color="auto"/>
              <w:bottom w:val="single" w:sz="6" w:space="0" w:color="auto"/>
              <w:right w:val="single" w:sz="6" w:space="0" w:color="auto"/>
            </w:tcBorders>
          </w:tcPr>
          <w:p w14:paraId="5116A0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ositive for parks/trails in high-SES</w:t>
            </w:r>
          </w:p>
          <w:p w14:paraId="6C1230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in low-SES; recreational facilities: null.</w:t>
            </w:r>
          </w:p>
        </w:tc>
      </w:tr>
      <w:tr w:rsidR="00CF2149" w:rsidRPr="00B01F30" w14:paraId="37EB4318" w14:textId="77777777" w:rsidTr="00AE5170">
        <w:trPr>
          <w:gridAfter w:val="1"/>
          <w:wAfter w:w="8" w:type="dxa"/>
          <w:trHeight w:val="2743"/>
        </w:trPr>
        <w:tc>
          <w:tcPr>
            <w:tcW w:w="990" w:type="dxa"/>
            <w:tcBorders>
              <w:top w:val="nil"/>
              <w:left w:val="single" w:sz="6" w:space="0" w:color="auto"/>
              <w:bottom w:val="single" w:sz="6" w:space="0" w:color="auto"/>
              <w:right w:val="single" w:sz="6" w:space="0" w:color="auto"/>
            </w:tcBorders>
          </w:tcPr>
          <w:p w14:paraId="64FAAB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Babey et al.,</w:t>
            </w:r>
          </w:p>
          <w:p w14:paraId="7F8AC75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2013</w:t>
            </w:r>
          </w:p>
        </w:tc>
        <w:tc>
          <w:tcPr>
            <w:tcW w:w="900" w:type="dxa"/>
            <w:tcBorders>
              <w:top w:val="nil"/>
              <w:left w:val="single" w:sz="6" w:space="0" w:color="auto"/>
              <w:bottom w:val="single" w:sz="6" w:space="0" w:color="auto"/>
              <w:right w:val="single" w:sz="6" w:space="0" w:color="auto"/>
            </w:tcBorders>
          </w:tcPr>
          <w:p w14:paraId="0A0F60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0B054C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6549D3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3,379</w:t>
            </w:r>
          </w:p>
        </w:tc>
        <w:tc>
          <w:tcPr>
            <w:tcW w:w="1080" w:type="dxa"/>
            <w:tcBorders>
              <w:top w:val="nil"/>
              <w:left w:val="single" w:sz="6" w:space="0" w:color="auto"/>
              <w:bottom w:val="single" w:sz="6" w:space="0" w:color="auto"/>
              <w:right w:val="single" w:sz="6" w:space="0" w:color="auto"/>
            </w:tcBorders>
          </w:tcPr>
          <w:p w14:paraId="5C32FB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adolescent population</w:t>
            </w:r>
          </w:p>
          <w:p w14:paraId="2AD5432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12–17 years</w:t>
            </w:r>
          </w:p>
        </w:tc>
        <w:tc>
          <w:tcPr>
            <w:tcW w:w="1440" w:type="dxa"/>
            <w:gridSpan w:val="2"/>
            <w:tcBorders>
              <w:top w:val="nil"/>
              <w:left w:val="single" w:sz="6" w:space="0" w:color="auto"/>
              <w:bottom w:val="single" w:sz="6" w:space="0" w:color="auto"/>
              <w:right w:val="single" w:sz="6" w:space="0" w:color="auto"/>
            </w:tcBorders>
          </w:tcPr>
          <w:p w14:paraId="527E734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Lives in a park service area (binary); </w:t>
            </w:r>
          </w:p>
          <w:p w14:paraId="58186C0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recent park visit (past month); </w:t>
            </w:r>
          </w:p>
          <w:p w14:paraId="3BF4A2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park safety. </w:t>
            </w:r>
          </w:p>
        </w:tc>
        <w:tc>
          <w:tcPr>
            <w:tcW w:w="1080" w:type="dxa"/>
            <w:tcBorders>
              <w:top w:val="nil"/>
              <w:left w:val="single" w:sz="6" w:space="0" w:color="auto"/>
              <w:bottom w:val="single" w:sz="6" w:space="0" w:color="auto"/>
              <w:right w:val="single" w:sz="6" w:space="0" w:color="auto"/>
            </w:tcBorders>
          </w:tcPr>
          <w:p w14:paraId="3307382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 &amp; open spaces/playgrounds</w:t>
            </w:r>
          </w:p>
        </w:tc>
        <w:tc>
          <w:tcPr>
            <w:tcW w:w="1260" w:type="dxa"/>
            <w:tcBorders>
              <w:top w:val="nil"/>
              <w:left w:val="single" w:sz="6" w:space="0" w:color="auto"/>
              <w:bottom w:val="single" w:sz="6" w:space="0" w:color="auto"/>
              <w:right w:val="single" w:sz="6" w:space="0" w:color="auto"/>
            </w:tcBorders>
          </w:tcPr>
          <w:p w14:paraId="370268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California Protected Areas Database (CPAD)</w:t>
            </w:r>
          </w:p>
          <w:p w14:paraId="72725D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86DE4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GIS by Trust for Public Land. </w:t>
            </w:r>
          </w:p>
        </w:tc>
        <w:tc>
          <w:tcPr>
            <w:tcW w:w="1377" w:type="dxa"/>
            <w:tcBorders>
              <w:top w:val="nil"/>
              <w:left w:val="single" w:sz="6" w:space="0" w:color="auto"/>
              <w:bottom w:val="single" w:sz="6" w:space="0" w:color="auto"/>
              <w:right w:val="single" w:sz="6" w:space="0" w:color="auto"/>
            </w:tcBorders>
          </w:tcPr>
          <w:p w14:paraId="1AE25D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Euclidean buffers around park perimeters. </w:t>
            </w:r>
          </w:p>
        </w:tc>
        <w:tc>
          <w:tcPr>
            <w:tcW w:w="1143" w:type="dxa"/>
            <w:tcBorders>
              <w:top w:val="nil"/>
              <w:left w:val="single" w:sz="6" w:space="0" w:color="auto"/>
              <w:bottom w:val="single" w:sz="6" w:space="0" w:color="auto"/>
              <w:right w:val="single" w:sz="6" w:space="0" w:color="auto"/>
            </w:tcBorders>
          </w:tcPr>
          <w:p w14:paraId="792DDBD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0.25 mi buffer for parks &lt;1 acre</w:t>
            </w:r>
          </w:p>
          <w:p w14:paraId="6F58EEA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1C935A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0.5 mi for ≥1 acre (inside = access).</w:t>
            </w:r>
          </w:p>
        </w:tc>
        <w:tc>
          <w:tcPr>
            <w:tcW w:w="1253" w:type="dxa"/>
            <w:tcBorders>
              <w:top w:val="nil"/>
              <w:left w:val="single" w:sz="6" w:space="0" w:color="auto"/>
              <w:bottom w:val="single" w:sz="6" w:space="0" w:color="auto"/>
              <w:right w:val="single" w:sz="6" w:space="0" w:color="auto"/>
            </w:tcBorders>
          </w:tcPr>
          <w:p w14:paraId="5F1BC9D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location linked to park service area buffer</w:t>
            </w:r>
          </w:p>
        </w:tc>
        <w:tc>
          <w:tcPr>
            <w:tcW w:w="1260" w:type="dxa"/>
            <w:tcBorders>
              <w:top w:val="nil"/>
              <w:left w:val="single" w:sz="6" w:space="0" w:color="auto"/>
              <w:bottom w:val="single" w:sz="6" w:space="0" w:color="auto"/>
              <w:right w:val="single" w:sz="6" w:space="0" w:color="auto"/>
            </w:tcBorders>
          </w:tcPr>
          <w:p w14:paraId="481B213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≥60 min PA on ≥5 days/week</w:t>
            </w:r>
          </w:p>
        </w:tc>
        <w:tc>
          <w:tcPr>
            <w:tcW w:w="1260" w:type="dxa"/>
            <w:tcBorders>
              <w:top w:val="nil"/>
              <w:left w:val="single" w:sz="6" w:space="0" w:color="auto"/>
              <w:bottom w:val="single" w:sz="6" w:space="0" w:color="auto"/>
              <w:right w:val="single" w:sz="6" w:space="0" w:color="auto"/>
            </w:tcBorders>
          </w:tcPr>
          <w:p w14:paraId="53D5E1D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7" w:type="dxa"/>
            <w:tcBorders>
              <w:top w:val="nil"/>
              <w:left w:val="single" w:sz="6" w:space="0" w:color="auto"/>
              <w:bottom w:val="single" w:sz="6" w:space="0" w:color="auto"/>
              <w:right w:val="single" w:sz="6" w:space="0" w:color="auto"/>
            </w:tcBorders>
          </w:tcPr>
          <w:p w14:paraId="4F46E5E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comparisons</w:t>
            </w:r>
          </w:p>
        </w:tc>
        <w:tc>
          <w:tcPr>
            <w:tcW w:w="1260" w:type="dxa"/>
            <w:tcBorders>
              <w:top w:val="nil"/>
              <w:left w:val="single" w:sz="6" w:space="0" w:color="auto"/>
              <w:bottom w:val="single" w:sz="6" w:space="0" w:color="auto"/>
              <w:right w:val="single" w:sz="6" w:space="0" w:color="auto"/>
            </w:tcBorders>
          </w:tcPr>
          <w:p w14:paraId="6DEEAA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800A9D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4C7FB9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race,</w:t>
            </w:r>
          </w:p>
          <w:p w14:paraId="5AF1BB1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income, </w:t>
            </w:r>
          </w:p>
          <w:p w14:paraId="06A4279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 visit, </w:t>
            </w:r>
          </w:p>
          <w:p w14:paraId="628FC6D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park safety (for access); </w:t>
            </w:r>
          </w:p>
          <w:p w14:paraId="40CAF62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plus access when modeling park visit. </w:t>
            </w:r>
          </w:p>
        </w:tc>
        <w:tc>
          <w:tcPr>
            <w:tcW w:w="990" w:type="dxa"/>
            <w:tcBorders>
              <w:top w:val="nil"/>
              <w:left w:val="single" w:sz="6" w:space="0" w:color="auto"/>
              <w:bottom w:val="single" w:sz="6" w:space="0" w:color="auto"/>
              <w:right w:val="single" w:sz="6" w:space="0" w:color="auto"/>
            </w:tcBorders>
          </w:tcPr>
          <w:p w14:paraId="4552E3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1440" w:type="dxa"/>
            <w:tcBorders>
              <w:top w:val="nil"/>
              <w:left w:val="single" w:sz="6" w:space="0" w:color="auto"/>
              <w:bottom w:val="single" w:sz="6" w:space="0" w:color="auto"/>
              <w:right w:val="single" w:sz="6" w:space="0" w:color="auto"/>
            </w:tcBorders>
          </w:tcPr>
          <w:p w14:paraId="17E701B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Active ≥5 days: 44.2% (in service area) vs 34.7% (outside); 39.6% (recent park visit) vs 29.5% (no visit). </w:t>
            </w:r>
          </w:p>
        </w:tc>
        <w:tc>
          <w:tcPr>
            <w:tcW w:w="983" w:type="dxa"/>
            <w:tcBorders>
              <w:top w:val="nil"/>
              <w:left w:val="single" w:sz="6" w:space="0" w:color="auto"/>
              <w:bottom w:val="single" w:sz="6" w:space="0" w:color="auto"/>
              <w:right w:val="single" w:sz="6" w:space="0" w:color="auto"/>
            </w:tcBorders>
          </w:tcPr>
          <w:p w14:paraId="14390C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997" w:type="dxa"/>
            <w:tcBorders>
              <w:top w:val="nil"/>
              <w:left w:val="single" w:sz="6" w:space="0" w:color="auto"/>
              <w:bottom w:val="single" w:sz="6" w:space="0" w:color="auto"/>
              <w:right w:val="single" w:sz="6" w:space="0" w:color="auto"/>
            </w:tcBorders>
          </w:tcPr>
          <w:p w14:paraId="6B9297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Associations stated as statistically significant after adjustment (p&lt;0.05, per brief conventions). </w:t>
            </w:r>
          </w:p>
        </w:tc>
        <w:tc>
          <w:tcPr>
            <w:tcW w:w="1080" w:type="dxa"/>
            <w:tcBorders>
              <w:top w:val="nil"/>
              <w:left w:val="single" w:sz="6" w:space="0" w:color="auto"/>
              <w:bottom w:val="single" w:sz="6" w:space="0" w:color="auto"/>
              <w:right w:val="single" w:sz="6" w:space="0" w:color="auto"/>
            </w:tcBorders>
          </w:tcPr>
          <w:p w14:paraId="71C89A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(access/visit → more PA); lower income linked to fewer visits and perceived unsafety.</w:t>
            </w:r>
          </w:p>
        </w:tc>
      </w:tr>
      <w:tr w:rsidR="00CF2149" w:rsidRPr="00B01F30" w14:paraId="727C6457" w14:textId="77777777" w:rsidTr="00AE5170">
        <w:trPr>
          <w:gridAfter w:val="1"/>
          <w:wAfter w:w="8" w:type="dxa"/>
          <w:trHeight w:val="3144"/>
        </w:trPr>
        <w:tc>
          <w:tcPr>
            <w:tcW w:w="990" w:type="dxa"/>
            <w:tcBorders>
              <w:top w:val="nil"/>
              <w:left w:val="single" w:sz="6" w:space="0" w:color="auto"/>
              <w:bottom w:val="single" w:sz="6" w:space="0" w:color="auto"/>
              <w:right w:val="single" w:sz="6" w:space="0" w:color="auto"/>
            </w:tcBorders>
          </w:tcPr>
          <w:p w14:paraId="5779CB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Adamu et al.,</w:t>
            </w:r>
          </w:p>
          <w:p w14:paraId="7692407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2023</w:t>
            </w:r>
          </w:p>
        </w:tc>
        <w:tc>
          <w:tcPr>
            <w:tcW w:w="900" w:type="dxa"/>
            <w:tcBorders>
              <w:top w:val="nil"/>
              <w:left w:val="single" w:sz="6" w:space="0" w:color="auto"/>
              <w:bottom w:val="single" w:sz="6" w:space="0" w:color="auto"/>
              <w:right w:val="single" w:sz="6" w:space="0" w:color="auto"/>
            </w:tcBorders>
          </w:tcPr>
          <w:p w14:paraId="63C09DA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900" w:type="dxa"/>
            <w:gridSpan w:val="2"/>
            <w:tcBorders>
              <w:top w:val="nil"/>
              <w:left w:val="single" w:sz="6" w:space="0" w:color="auto"/>
              <w:bottom w:val="single" w:sz="6" w:space="0" w:color="auto"/>
              <w:right w:val="single" w:sz="6" w:space="0" w:color="auto"/>
            </w:tcBorders>
          </w:tcPr>
          <w:p w14:paraId="6F6CE9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4058311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33 boroughs</w:t>
            </w:r>
          </w:p>
        </w:tc>
        <w:tc>
          <w:tcPr>
            <w:tcW w:w="1080" w:type="dxa"/>
            <w:tcBorders>
              <w:top w:val="nil"/>
              <w:left w:val="single" w:sz="6" w:space="0" w:color="auto"/>
              <w:bottom w:val="single" w:sz="6" w:space="0" w:color="auto"/>
              <w:right w:val="single" w:sz="6" w:space="0" w:color="auto"/>
            </w:tcBorders>
          </w:tcPr>
          <w:p w14:paraId="126159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urban residents</w:t>
            </w:r>
          </w:p>
          <w:p w14:paraId="3BAB3C5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≥16 years</w:t>
            </w:r>
          </w:p>
        </w:tc>
        <w:tc>
          <w:tcPr>
            <w:tcW w:w="1440" w:type="dxa"/>
            <w:gridSpan w:val="2"/>
            <w:tcBorders>
              <w:top w:val="nil"/>
              <w:left w:val="single" w:sz="6" w:space="0" w:color="auto"/>
              <w:bottom w:val="single" w:sz="6" w:space="0" w:color="auto"/>
              <w:right w:val="single" w:sz="6" w:space="0" w:color="auto"/>
            </w:tcBorders>
          </w:tcPr>
          <w:p w14:paraId="33374C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households within set travel distances to open spaces/local/district/metropolitan/regional parks; area/% of greenspace per borough</w:t>
            </w:r>
          </w:p>
        </w:tc>
        <w:tc>
          <w:tcPr>
            <w:tcW w:w="1080" w:type="dxa"/>
            <w:tcBorders>
              <w:top w:val="nil"/>
              <w:left w:val="single" w:sz="6" w:space="0" w:color="auto"/>
              <w:bottom w:val="single" w:sz="6" w:space="0" w:color="auto"/>
              <w:right w:val="single" w:sz="6" w:space="0" w:color="auto"/>
            </w:tcBorders>
          </w:tcPr>
          <w:p w14:paraId="6B6D2B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Public/open greenspaces with free access</w:t>
            </w:r>
          </w:p>
        </w:tc>
        <w:tc>
          <w:tcPr>
            <w:tcW w:w="1260" w:type="dxa"/>
            <w:tcBorders>
              <w:top w:val="nil"/>
              <w:left w:val="single" w:sz="6" w:space="0" w:color="auto"/>
              <w:bottom w:val="single" w:sz="6" w:space="0" w:color="auto"/>
              <w:right w:val="single" w:sz="6" w:space="0" w:color="auto"/>
            </w:tcBorders>
          </w:tcPr>
          <w:p w14:paraId="5635F6D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Greater London open spaces dataset</w:t>
            </w:r>
          </w:p>
        </w:tc>
        <w:tc>
          <w:tcPr>
            <w:tcW w:w="1377" w:type="dxa"/>
            <w:tcBorders>
              <w:top w:val="nil"/>
              <w:left w:val="single" w:sz="6" w:space="0" w:color="auto"/>
              <w:bottom w:val="single" w:sz="6" w:space="0" w:color="auto"/>
              <w:right w:val="single" w:sz="6" w:space="0" w:color="auto"/>
            </w:tcBorders>
          </w:tcPr>
          <w:p w14:paraId="6F4C80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Accessibility by distance thresholds</w:t>
            </w:r>
          </w:p>
          <w:p w14:paraId="64F191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274BE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greenspace availability as area/% per borough</w:t>
            </w:r>
          </w:p>
        </w:tc>
        <w:tc>
          <w:tcPr>
            <w:tcW w:w="1143" w:type="dxa"/>
            <w:tcBorders>
              <w:top w:val="nil"/>
              <w:left w:val="single" w:sz="6" w:space="0" w:color="auto"/>
              <w:bottom w:val="single" w:sz="6" w:space="0" w:color="auto"/>
              <w:right w:val="single" w:sz="6" w:space="0" w:color="auto"/>
            </w:tcBorders>
          </w:tcPr>
          <w:p w14:paraId="73AB9D2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400 m (open &amp; local/small/pocket parks)</w:t>
            </w:r>
          </w:p>
          <w:p w14:paraId="19B82C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98443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 km (district)</w:t>
            </w:r>
          </w:p>
          <w:p w14:paraId="723057B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3A1BA0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2.4 km (metropolitan)</w:t>
            </w:r>
          </w:p>
          <w:p w14:paraId="2E6B9C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158216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5 km (regional)</w:t>
            </w:r>
          </w:p>
        </w:tc>
        <w:tc>
          <w:tcPr>
            <w:tcW w:w="1253" w:type="dxa"/>
            <w:tcBorders>
              <w:top w:val="nil"/>
              <w:left w:val="single" w:sz="6" w:space="0" w:color="auto"/>
              <w:bottom w:val="single" w:sz="6" w:space="0" w:color="auto"/>
              <w:right w:val="single" w:sz="6" w:space="0" w:color="auto"/>
            </w:tcBorders>
          </w:tcPr>
          <w:p w14:paraId="5D06F1D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Borough</w:t>
            </w:r>
          </w:p>
        </w:tc>
        <w:tc>
          <w:tcPr>
            <w:tcW w:w="1260" w:type="dxa"/>
            <w:tcBorders>
              <w:top w:val="nil"/>
              <w:left w:val="single" w:sz="6" w:space="0" w:color="auto"/>
              <w:bottom w:val="single" w:sz="6" w:space="0" w:color="auto"/>
              <w:right w:val="single" w:sz="6" w:space="0" w:color="auto"/>
            </w:tcBorders>
          </w:tcPr>
          <w:p w14:paraId="6E78BB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frequency</w:t>
            </w:r>
          </w:p>
          <w:p w14:paraId="28C08A2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D82051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cycling frequency</w:t>
            </w:r>
          </w:p>
        </w:tc>
        <w:tc>
          <w:tcPr>
            <w:tcW w:w="1260" w:type="dxa"/>
            <w:tcBorders>
              <w:top w:val="nil"/>
              <w:left w:val="single" w:sz="6" w:space="0" w:color="auto"/>
              <w:bottom w:val="single" w:sz="6" w:space="0" w:color="auto"/>
              <w:right w:val="single" w:sz="6" w:space="0" w:color="auto"/>
            </w:tcBorders>
          </w:tcPr>
          <w:p w14:paraId="000B13C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People Survey</w:t>
            </w:r>
          </w:p>
        </w:tc>
        <w:tc>
          <w:tcPr>
            <w:tcW w:w="1087" w:type="dxa"/>
            <w:tcBorders>
              <w:top w:val="nil"/>
              <w:left w:val="single" w:sz="6" w:space="0" w:color="auto"/>
              <w:bottom w:val="single" w:sz="6" w:space="0" w:color="auto"/>
              <w:right w:val="single" w:sz="6" w:space="0" w:color="auto"/>
            </w:tcBorders>
          </w:tcPr>
          <w:p w14:paraId="4402CF6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ANOVA</w:t>
            </w:r>
          </w:p>
        </w:tc>
        <w:tc>
          <w:tcPr>
            <w:tcW w:w="1260" w:type="dxa"/>
            <w:tcBorders>
              <w:top w:val="nil"/>
              <w:left w:val="single" w:sz="6" w:space="0" w:color="auto"/>
              <w:bottom w:val="single" w:sz="6" w:space="0" w:color="auto"/>
              <w:right w:val="single" w:sz="6" w:space="0" w:color="auto"/>
            </w:tcBorders>
          </w:tcPr>
          <w:p w14:paraId="3ADA69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990" w:type="dxa"/>
            <w:tcBorders>
              <w:top w:val="nil"/>
              <w:left w:val="single" w:sz="6" w:space="0" w:color="auto"/>
              <w:bottom w:val="single" w:sz="6" w:space="0" w:color="auto"/>
              <w:right w:val="single" w:sz="6" w:space="0" w:color="auto"/>
            </w:tcBorders>
          </w:tcPr>
          <w:p w14:paraId="67FCCA4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F-statistic / Pearson r</w:t>
            </w:r>
          </w:p>
        </w:tc>
        <w:tc>
          <w:tcPr>
            <w:tcW w:w="3420" w:type="dxa"/>
            <w:gridSpan w:val="3"/>
            <w:tcBorders>
              <w:top w:val="single" w:sz="6" w:space="0" w:color="auto"/>
              <w:left w:val="single" w:sz="6" w:space="0" w:color="auto"/>
              <w:bottom w:val="single" w:sz="6" w:space="0" w:color="auto"/>
              <w:right w:val="single" w:sz="6" w:space="0" w:color="auto"/>
            </w:tcBorders>
          </w:tcPr>
          <w:p w14:paraId="67E9B6C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Greenspace area → walking/cycling freq: F=29.17, p&lt;0.001 (↑ area → ↑ PA)</w:t>
            </w:r>
          </w:p>
          <w:p w14:paraId="0C14C8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452492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Accessibility → walking/cycling freq: F=224.16, p&lt;0.001 (↑ access → ↑ PA)</w:t>
            </w:r>
          </w:p>
        </w:tc>
        <w:tc>
          <w:tcPr>
            <w:tcW w:w="1080" w:type="dxa"/>
            <w:tcBorders>
              <w:top w:val="nil"/>
              <w:left w:val="single" w:sz="6" w:space="0" w:color="auto"/>
              <w:bottom w:val="single" w:sz="6" w:space="0" w:color="auto"/>
              <w:right w:val="single" w:sz="6" w:space="0" w:color="auto"/>
            </w:tcBorders>
          </w:tcPr>
          <w:p w14:paraId="33CD9F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for accessibility/availability → PA</w:t>
            </w:r>
          </w:p>
        </w:tc>
      </w:tr>
      <w:tr w:rsidR="00CF2149" w:rsidRPr="00B01F30" w14:paraId="77979BDC" w14:textId="77777777" w:rsidTr="00AE5170">
        <w:trPr>
          <w:gridAfter w:val="1"/>
          <w:wAfter w:w="8" w:type="dxa"/>
          <w:trHeight w:val="3353"/>
        </w:trPr>
        <w:tc>
          <w:tcPr>
            <w:tcW w:w="990" w:type="dxa"/>
            <w:tcBorders>
              <w:top w:val="nil"/>
              <w:left w:val="single" w:sz="6" w:space="0" w:color="auto"/>
              <w:bottom w:val="single" w:sz="6" w:space="0" w:color="auto"/>
              <w:right w:val="single" w:sz="6" w:space="0" w:color="auto"/>
            </w:tcBorders>
          </w:tcPr>
          <w:p w14:paraId="29224E6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Orstad SL et al.</w:t>
            </w:r>
          </w:p>
          <w:p w14:paraId="24257A9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2017</w:t>
            </w:r>
          </w:p>
        </w:tc>
        <w:tc>
          <w:tcPr>
            <w:tcW w:w="900" w:type="dxa"/>
            <w:tcBorders>
              <w:top w:val="nil"/>
              <w:left w:val="single" w:sz="6" w:space="0" w:color="auto"/>
              <w:bottom w:val="single" w:sz="6" w:space="0" w:color="auto"/>
              <w:right w:val="single" w:sz="6" w:space="0" w:color="auto"/>
            </w:tcBorders>
          </w:tcPr>
          <w:p w14:paraId="4CDCB1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499DA8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40602FE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2,969 adults; </w:t>
            </w:r>
          </w:p>
          <w:p w14:paraId="4519D2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AA5048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343 neighborhoods</w:t>
            </w:r>
          </w:p>
        </w:tc>
        <w:tc>
          <w:tcPr>
            <w:tcW w:w="1080" w:type="dxa"/>
            <w:tcBorders>
              <w:top w:val="nil"/>
              <w:left w:val="single" w:sz="6" w:space="0" w:color="auto"/>
              <w:bottom w:val="single" w:sz="6" w:space="0" w:color="auto"/>
              <w:right w:val="single" w:sz="6" w:space="0" w:color="auto"/>
            </w:tcBorders>
          </w:tcPr>
          <w:p w14:paraId="77AC5A6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adults</w:t>
            </w:r>
          </w:p>
          <w:p w14:paraId="2A142E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18–92 y</w:t>
            </w:r>
          </w:p>
        </w:tc>
        <w:tc>
          <w:tcPr>
            <w:tcW w:w="1440" w:type="dxa"/>
            <w:gridSpan w:val="2"/>
            <w:tcBorders>
              <w:top w:val="nil"/>
              <w:left w:val="single" w:sz="6" w:space="0" w:color="auto"/>
              <w:bottom w:val="single" w:sz="6" w:space="0" w:color="auto"/>
              <w:right w:val="single" w:sz="6" w:space="0" w:color="auto"/>
            </w:tcBorders>
          </w:tcPr>
          <w:p w14:paraId="633C66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Observed density (proportion of blocks) of recreation facilities</w:t>
            </w:r>
          </w:p>
          <w:p w14:paraId="1F3F2EB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5EF0C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perceived park access</w:t>
            </w:r>
          </w:p>
        </w:tc>
        <w:tc>
          <w:tcPr>
            <w:tcW w:w="1080" w:type="dxa"/>
            <w:tcBorders>
              <w:top w:val="nil"/>
              <w:left w:val="single" w:sz="6" w:space="0" w:color="auto"/>
              <w:bottom w:val="single" w:sz="6" w:space="0" w:color="auto"/>
              <w:right w:val="single" w:sz="6" w:space="0" w:color="auto"/>
            </w:tcBorders>
          </w:tcPr>
          <w:p w14:paraId="4EC7050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 playgrounds, sports fields/courts, other sports equipment</w:t>
            </w:r>
          </w:p>
        </w:tc>
        <w:tc>
          <w:tcPr>
            <w:tcW w:w="1260" w:type="dxa"/>
            <w:tcBorders>
              <w:top w:val="nil"/>
              <w:left w:val="single" w:sz="6" w:space="0" w:color="auto"/>
              <w:bottom w:val="single" w:sz="6" w:space="0" w:color="auto"/>
              <w:right w:val="single" w:sz="6" w:space="0" w:color="auto"/>
            </w:tcBorders>
          </w:tcPr>
          <w:p w14:paraId="441964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In-person SSO/audit of neighborhood blocks</w:t>
            </w:r>
          </w:p>
        </w:tc>
        <w:tc>
          <w:tcPr>
            <w:tcW w:w="1377" w:type="dxa"/>
            <w:tcBorders>
              <w:top w:val="nil"/>
              <w:left w:val="single" w:sz="6" w:space="0" w:color="auto"/>
              <w:bottom w:val="single" w:sz="6" w:space="0" w:color="auto"/>
              <w:right w:val="single" w:sz="6" w:space="0" w:color="auto"/>
            </w:tcBorders>
          </w:tcPr>
          <w:p w14:paraId="1D4150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 (audit-based density)</w:t>
            </w:r>
          </w:p>
        </w:tc>
        <w:tc>
          <w:tcPr>
            <w:tcW w:w="1143" w:type="dxa"/>
            <w:tcBorders>
              <w:top w:val="nil"/>
              <w:left w:val="single" w:sz="6" w:space="0" w:color="auto"/>
              <w:bottom w:val="single" w:sz="6" w:space="0" w:color="auto"/>
              <w:right w:val="single" w:sz="6" w:space="0" w:color="auto"/>
            </w:tcBorders>
          </w:tcPr>
          <w:p w14:paraId="6DC3DD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253" w:type="dxa"/>
            <w:tcBorders>
              <w:top w:val="nil"/>
              <w:left w:val="single" w:sz="6" w:space="0" w:color="auto"/>
              <w:bottom w:val="single" w:sz="6" w:space="0" w:color="auto"/>
              <w:right w:val="single" w:sz="6" w:space="0" w:color="auto"/>
            </w:tcBorders>
          </w:tcPr>
          <w:p w14:paraId="0E18F62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w:t>
            </w:r>
          </w:p>
        </w:tc>
        <w:tc>
          <w:tcPr>
            <w:tcW w:w="1260" w:type="dxa"/>
            <w:tcBorders>
              <w:top w:val="nil"/>
              <w:left w:val="single" w:sz="6" w:space="0" w:color="auto"/>
              <w:bottom w:val="single" w:sz="6" w:space="0" w:color="auto"/>
              <w:right w:val="single" w:sz="6" w:space="0" w:color="auto"/>
            </w:tcBorders>
          </w:tcPr>
          <w:p w14:paraId="6EA6DE4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Weekly walking minutes;</w:t>
            </w:r>
          </w:p>
          <w:p w14:paraId="12AAFE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leisure-time PA (LTPA) level (1–5)</w:t>
            </w:r>
          </w:p>
        </w:tc>
        <w:tc>
          <w:tcPr>
            <w:tcW w:w="1260" w:type="dxa"/>
            <w:tcBorders>
              <w:top w:val="nil"/>
              <w:left w:val="single" w:sz="6" w:space="0" w:color="auto"/>
              <w:bottom w:val="single" w:sz="6" w:space="0" w:color="auto"/>
              <w:right w:val="single" w:sz="6" w:space="0" w:color="auto"/>
            </w:tcBorders>
          </w:tcPr>
          <w:p w14:paraId="44E0F6B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7" w:type="dxa"/>
            <w:tcBorders>
              <w:top w:val="nil"/>
              <w:left w:val="single" w:sz="6" w:space="0" w:color="auto"/>
              <w:bottom w:val="single" w:sz="6" w:space="0" w:color="auto"/>
              <w:right w:val="single" w:sz="6" w:space="0" w:color="auto"/>
            </w:tcBorders>
          </w:tcPr>
          <w:p w14:paraId="0564A0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260" w:type="dxa"/>
            <w:tcBorders>
              <w:top w:val="nil"/>
              <w:left w:val="single" w:sz="6" w:space="0" w:color="auto"/>
              <w:bottom w:val="single" w:sz="6" w:space="0" w:color="auto"/>
              <w:right w:val="single" w:sz="6" w:space="0" w:color="auto"/>
            </w:tcBorders>
          </w:tcPr>
          <w:p w14:paraId="005E909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46DE8C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62D370F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64A2B98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race/ethnicity, </w:t>
            </w:r>
          </w:p>
          <w:p w14:paraId="51B386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marital status, </w:t>
            </w:r>
          </w:p>
          <w:p w14:paraId="6F2946D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socioeconomic disadvantage, </w:t>
            </w:r>
          </w:p>
          <w:p w14:paraId="1D8F2B2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lower-extremity functional impairment</w:t>
            </w:r>
          </w:p>
        </w:tc>
        <w:tc>
          <w:tcPr>
            <w:tcW w:w="990" w:type="dxa"/>
            <w:tcBorders>
              <w:top w:val="nil"/>
              <w:left w:val="single" w:sz="6" w:space="0" w:color="auto"/>
              <w:bottom w:val="single" w:sz="6" w:space="0" w:color="auto"/>
              <w:right w:val="single" w:sz="6" w:space="0" w:color="auto"/>
            </w:tcBorders>
          </w:tcPr>
          <w:p w14:paraId="18764B0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Indirect effect (unstandardized) via perceived park access</w:t>
            </w:r>
          </w:p>
        </w:tc>
        <w:tc>
          <w:tcPr>
            <w:tcW w:w="1440" w:type="dxa"/>
            <w:tcBorders>
              <w:top w:val="nil"/>
              <w:left w:val="single" w:sz="6" w:space="0" w:color="auto"/>
              <w:bottom w:val="single" w:sz="6" w:space="0" w:color="auto"/>
              <w:right w:val="single" w:sz="6" w:space="0" w:color="auto"/>
            </w:tcBorders>
          </w:tcPr>
          <w:p w14:paraId="0D2A4F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 facilities → Walking via park access: 0.657 min/week</w:t>
            </w:r>
          </w:p>
          <w:p w14:paraId="2B398FB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A4A1BC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Recreation facilities → LTPA via park access: 0.016 (on 1–5 scale)</w:t>
            </w:r>
          </w:p>
        </w:tc>
        <w:tc>
          <w:tcPr>
            <w:tcW w:w="983" w:type="dxa"/>
            <w:tcBorders>
              <w:top w:val="nil"/>
              <w:left w:val="single" w:sz="6" w:space="0" w:color="auto"/>
              <w:bottom w:val="single" w:sz="6" w:space="0" w:color="auto"/>
              <w:right w:val="single" w:sz="6" w:space="0" w:color="auto"/>
            </w:tcBorders>
          </w:tcPr>
          <w:p w14:paraId="68181D5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 0.018–1.536 (SE 0.379)</w:t>
            </w:r>
          </w:p>
          <w:p w14:paraId="0029BAF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BF575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LTPA: 0.001–0.038 (SE 0.010)</w:t>
            </w:r>
          </w:p>
        </w:tc>
        <w:tc>
          <w:tcPr>
            <w:tcW w:w="997" w:type="dxa"/>
            <w:tcBorders>
              <w:top w:val="nil"/>
              <w:left w:val="single" w:sz="6" w:space="0" w:color="auto"/>
              <w:bottom w:val="single" w:sz="6" w:space="0" w:color="auto"/>
              <w:right w:val="single" w:sz="6" w:space="0" w:color="auto"/>
            </w:tcBorders>
          </w:tcPr>
          <w:p w14:paraId="72A7F56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Significant (CIs exclude 0)</w:t>
            </w:r>
          </w:p>
        </w:tc>
        <w:tc>
          <w:tcPr>
            <w:tcW w:w="1080" w:type="dxa"/>
            <w:tcBorders>
              <w:top w:val="nil"/>
              <w:left w:val="single" w:sz="6" w:space="0" w:color="auto"/>
              <w:bottom w:val="single" w:sz="6" w:space="0" w:color="auto"/>
              <w:right w:val="single" w:sz="6" w:space="0" w:color="auto"/>
            </w:tcBorders>
          </w:tcPr>
          <w:p w14:paraId="307E47D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(stronger/significant at lower depressive symptoms)</w:t>
            </w:r>
          </w:p>
        </w:tc>
      </w:tr>
      <w:tr w:rsidR="00CF2149" w:rsidRPr="00B01F30" w14:paraId="71E80A98" w14:textId="77777777" w:rsidTr="00AE5170">
        <w:trPr>
          <w:gridAfter w:val="1"/>
          <w:wAfter w:w="8" w:type="dxa"/>
          <w:trHeight w:val="3495"/>
        </w:trPr>
        <w:tc>
          <w:tcPr>
            <w:tcW w:w="990" w:type="dxa"/>
            <w:tcBorders>
              <w:top w:val="nil"/>
              <w:left w:val="single" w:sz="6" w:space="0" w:color="auto"/>
              <w:bottom w:val="single" w:sz="6" w:space="0" w:color="auto"/>
              <w:right w:val="single" w:sz="6" w:space="0" w:color="auto"/>
            </w:tcBorders>
          </w:tcPr>
          <w:p w14:paraId="0E4338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Cardinali</w:t>
            </w:r>
          </w:p>
          <w:p w14:paraId="43CAA2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900" w:type="dxa"/>
            <w:tcBorders>
              <w:top w:val="nil"/>
              <w:left w:val="single" w:sz="6" w:space="0" w:color="auto"/>
              <w:bottom w:val="single" w:sz="6" w:space="0" w:color="auto"/>
              <w:right w:val="single" w:sz="6" w:space="0" w:color="auto"/>
            </w:tcBorders>
          </w:tcPr>
          <w:p w14:paraId="4FC6A0B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Portugal</w:t>
            </w:r>
          </w:p>
          <w:p w14:paraId="12107A4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France</w:t>
            </w:r>
          </w:p>
          <w:p w14:paraId="1D2EC7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Bulgaria</w:t>
            </w:r>
          </w:p>
          <w:p w14:paraId="2697742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Denmark</w:t>
            </w:r>
          </w:p>
        </w:tc>
        <w:tc>
          <w:tcPr>
            <w:tcW w:w="900" w:type="dxa"/>
            <w:gridSpan w:val="2"/>
            <w:tcBorders>
              <w:top w:val="nil"/>
              <w:left w:val="single" w:sz="6" w:space="0" w:color="auto"/>
              <w:bottom w:val="single" w:sz="6" w:space="0" w:color="auto"/>
              <w:right w:val="single" w:sz="6" w:space="0" w:color="auto"/>
            </w:tcBorders>
          </w:tcPr>
          <w:p w14:paraId="1B50A12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F429D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1,365</w:t>
            </w:r>
          </w:p>
        </w:tc>
        <w:tc>
          <w:tcPr>
            <w:tcW w:w="1080" w:type="dxa"/>
            <w:tcBorders>
              <w:top w:val="nil"/>
              <w:left w:val="single" w:sz="6" w:space="0" w:color="auto"/>
              <w:bottom w:val="single" w:sz="6" w:space="0" w:color="auto"/>
              <w:right w:val="single" w:sz="6" w:space="0" w:color="auto"/>
            </w:tcBorders>
          </w:tcPr>
          <w:p w14:paraId="39AC6C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 urban residents</w:t>
            </w:r>
          </w:p>
          <w:p w14:paraId="26B94F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15–99 y</w:t>
            </w:r>
          </w:p>
        </w:tc>
        <w:tc>
          <w:tcPr>
            <w:tcW w:w="1440" w:type="dxa"/>
            <w:gridSpan w:val="2"/>
            <w:tcBorders>
              <w:top w:val="nil"/>
              <w:left w:val="single" w:sz="6" w:space="0" w:color="auto"/>
              <w:bottom w:val="single" w:sz="6" w:space="0" w:color="auto"/>
              <w:right w:val="single" w:sz="6" w:space="0" w:color="auto"/>
            </w:tcBorders>
          </w:tcPr>
          <w:p w14:paraId="2E258DA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Network-distance–based accessibility to green spaces/corridors and green-space “uses”</w:t>
            </w:r>
          </w:p>
        </w:tc>
        <w:tc>
          <w:tcPr>
            <w:tcW w:w="1080" w:type="dxa"/>
            <w:tcBorders>
              <w:top w:val="nil"/>
              <w:left w:val="single" w:sz="6" w:space="0" w:color="auto"/>
              <w:bottom w:val="single" w:sz="6" w:space="0" w:color="auto"/>
              <w:right w:val="single" w:sz="6" w:space="0" w:color="auto"/>
            </w:tcBorders>
          </w:tcPr>
          <w:p w14:paraId="71B9143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Public/semi-public/plot green spaces; </w:t>
            </w:r>
          </w:p>
          <w:p w14:paraId="6449712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 corridors</w:t>
            </w:r>
          </w:p>
        </w:tc>
        <w:tc>
          <w:tcPr>
            <w:tcW w:w="1260" w:type="dxa"/>
            <w:tcBorders>
              <w:top w:val="nil"/>
              <w:left w:val="single" w:sz="6" w:space="0" w:color="auto"/>
              <w:bottom w:val="single" w:sz="6" w:space="0" w:color="auto"/>
              <w:right w:val="single" w:sz="6" w:space="0" w:color="auto"/>
            </w:tcBorders>
          </w:tcPr>
          <w:p w14:paraId="708794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OpenStreetMap (curated)</w:t>
            </w:r>
          </w:p>
        </w:tc>
        <w:tc>
          <w:tcPr>
            <w:tcW w:w="1377" w:type="dxa"/>
            <w:tcBorders>
              <w:top w:val="nil"/>
              <w:left w:val="single" w:sz="6" w:space="0" w:color="auto"/>
              <w:bottom w:val="single" w:sz="6" w:space="0" w:color="auto"/>
              <w:right w:val="single" w:sz="6" w:space="0" w:color="auto"/>
            </w:tcBorders>
          </w:tcPr>
          <w:p w14:paraId="1C49919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&amp; network</w:t>
            </w:r>
          </w:p>
        </w:tc>
        <w:tc>
          <w:tcPr>
            <w:tcW w:w="1143" w:type="dxa"/>
            <w:tcBorders>
              <w:top w:val="nil"/>
              <w:left w:val="single" w:sz="6" w:space="0" w:color="auto"/>
              <w:bottom w:val="single" w:sz="6" w:space="0" w:color="auto"/>
              <w:right w:val="single" w:sz="6" w:space="0" w:color="auto"/>
            </w:tcBorders>
          </w:tcPr>
          <w:p w14:paraId="4D6360A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Distances tested every 100 m from 100–1,500 m; </w:t>
            </w:r>
          </w:p>
          <w:p w14:paraId="787F47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key peak at 600 m</w:t>
            </w:r>
          </w:p>
        </w:tc>
        <w:tc>
          <w:tcPr>
            <w:tcW w:w="1253" w:type="dxa"/>
            <w:tcBorders>
              <w:top w:val="nil"/>
              <w:left w:val="single" w:sz="6" w:space="0" w:color="auto"/>
              <w:bottom w:val="single" w:sz="6" w:space="0" w:color="auto"/>
              <w:right w:val="single" w:sz="6" w:space="0" w:color="auto"/>
            </w:tcBorders>
          </w:tcPr>
          <w:p w14:paraId="45D57E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2A642C4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PA </w:t>
            </w:r>
          </w:p>
          <w:p w14:paraId="600295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(MET-min/week; ordinal 8-level)</w:t>
            </w:r>
          </w:p>
        </w:tc>
        <w:tc>
          <w:tcPr>
            <w:tcW w:w="1260" w:type="dxa"/>
            <w:tcBorders>
              <w:top w:val="nil"/>
              <w:left w:val="single" w:sz="6" w:space="0" w:color="auto"/>
              <w:bottom w:val="single" w:sz="6" w:space="0" w:color="auto"/>
              <w:right w:val="single" w:sz="6" w:space="0" w:color="auto"/>
            </w:tcBorders>
          </w:tcPr>
          <w:p w14:paraId="5E27779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7" w:type="dxa"/>
            <w:tcBorders>
              <w:top w:val="nil"/>
              <w:left w:val="single" w:sz="6" w:space="0" w:color="auto"/>
              <w:bottom w:val="single" w:sz="6" w:space="0" w:color="auto"/>
              <w:right w:val="single" w:sz="6" w:space="0" w:color="auto"/>
            </w:tcBorders>
          </w:tcPr>
          <w:p w14:paraId="2B234E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Structural equation models</w:t>
            </w:r>
          </w:p>
        </w:tc>
        <w:tc>
          <w:tcPr>
            <w:tcW w:w="1260" w:type="dxa"/>
            <w:tcBorders>
              <w:top w:val="nil"/>
              <w:left w:val="single" w:sz="6" w:space="0" w:color="auto"/>
              <w:bottom w:val="single" w:sz="6" w:space="0" w:color="auto"/>
              <w:right w:val="single" w:sz="6" w:space="0" w:color="auto"/>
            </w:tcBorders>
          </w:tcPr>
          <w:p w14:paraId="047C91F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39F764A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62DC300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disabilities, </w:t>
            </w:r>
          </w:p>
          <w:p w14:paraId="342C72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282EF5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income</w:t>
            </w:r>
          </w:p>
          <w:p w14:paraId="2C79D1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occupation</w:t>
            </w:r>
          </w:p>
          <w:p w14:paraId="58602C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years in neighborhood</w:t>
            </w:r>
          </w:p>
          <w:p w14:paraId="7C8C92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perceived safety </w:t>
            </w:r>
          </w:p>
          <w:p w14:paraId="37DFB0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satisfaction with shops/leisure/public transport</w:t>
            </w:r>
          </w:p>
          <w:p w14:paraId="1B71A1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population density</w:t>
            </w:r>
          </w:p>
        </w:tc>
        <w:tc>
          <w:tcPr>
            <w:tcW w:w="990" w:type="dxa"/>
            <w:tcBorders>
              <w:top w:val="nil"/>
              <w:left w:val="single" w:sz="6" w:space="0" w:color="auto"/>
              <w:bottom w:val="single" w:sz="6" w:space="0" w:color="auto"/>
              <w:right w:val="single" w:sz="6" w:space="0" w:color="auto"/>
            </w:tcBorders>
          </w:tcPr>
          <w:p w14:paraId="714B20C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Standardized β (SEM)</w:t>
            </w:r>
          </w:p>
        </w:tc>
        <w:tc>
          <w:tcPr>
            <w:tcW w:w="1440" w:type="dxa"/>
            <w:tcBorders>
              <w:top w:val="nil"/>
              <w:left w:val="single" w:sz="6" w:space="0" w:color="auto"/>
              <w:bottom w:val="single" w:sz="6" w:space="0" w:color="auto"/>
              <w:right w:val="single" w:sz="6" w:space="0" w:color="auto"/>
            </w:tcBorders>
          </w:tcPr>
          <w:p w14:paraId="6A362D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 0.765 for accessible total green space at 600 m (network) → PA</w:t>
            </w:r>
          </w:p>
        </w:tc>
        <w:tc>
          <w:tcPr>
            <w:tcW w:w="983" w:type="dxa"/>
            <w:tcBorders>
              <w:top w:val="nil"/>
              <w:left w:val="single" w:sz="6" w:space="0" w:color="auto"/>
              <w:bottom w:val="single" w:sz="6" w:space="0" w:color="auto"/>
              <w:right w:val="single" w:sz="6" w:space="0" w:color="auto"/>
            </w:tcBorders>
          </w:tcPr>
          <w:p w14:paraId="3B7D011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95% CI 0.260–1.355</w:t>
            </w:r>
          </w:p>
        </w:tc>
        <w:tc>
          <w:tcPr>
            <w:tcW w:w="997" w:type="dxa"/>
            <w:tcBorders>
              <w:top w:val="nil"/>
              <w:left w:val="single" w:sz="6" w:space="0" w:color="auto"/>
              <w:bottom w:val="single" w:sz="6" w:space="0" w:color="auto"/>
              <w:right w:val="single" w:sz="6" w:space="0" w:color="auto"/>
            </w:tcBorders>
          </w:tcPr>
          <w:p w14:paraId="459F848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080" w:type="dxa"/>
            <w:tcBorders>
              <w:top w:val="nil"/>
              <w:left w:val="single" w:sz="6" w:space="0" w:color="auto"/>
              <w:bottom w:val="single" w:sz="6" w:space="0" w:color="auto"/>
              <w:right w:val="single" w:sz="6" w:space="0" w:color="auto"/>
            </w:tcBorders>
          </w:tcPr>
          <w:p w14:paraId="13AD14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 (nearby accessible green space → higher PA)</w:t>
            </w:r>
          </w:p>
        </w:tc>
      </w:tr>
      <w:tr w:rsidR="00CF2149" w:rsidRPr="00B01F30" w14:paraId="56327876" w14:textId="77777777" w:rsidTr="00AE5170">
        <w:trPr>
          <w:gridAfter w:val="1"/>
          <w:wAfter w:w="8" w:type="dxa"/>
          <w:trHeight w:val="3216"/>
        </w:trPr>
        <w:tc>
          <w:tcPr>
            <w:tcW w:w="990" w:type="dxa"/>
            <w:tcBorders>
              <w:top w:val="nil"/>
              <w:left w:val="single" w:sz="6" w:space="0" w:color="auto"/>
              <w:bottom w:val="single" w:sz="6" w:space="0" w:color="auto"/>
              <w:right w:val="single" w:sz="6" w:space="0" w:color="auto"/>
            </w:tcBorders>
          </w:tcPr>
          <w:p w14:paraId="6DEB666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Hillsdon</w:t>
            </w:r>
          </w:p>
          <w:p w14:paraId="7AC52B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2006</w:t>
            </w:r>
          </w:p>
        </w:tc>
        <w:tc>
          <w:tcPr>
            <w:tcW w:w="900" w:type="dxa"/>
            <w:tcBorders>
              <w:top w:val="nil"/>
              <w:left w:val="single" w:sz="6" w:space="0" w:color="auto"/>
              <w:bottom w:val="single" w:sz="6" w:space="0" w:color="auto"/>
              <w:right w:val="single" w:sz="6" w:space="0" w:color="auto"/>
            </w:tcBorders>
          </w:tcPr>
          <w:p w14:paraId="791562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UK</w:t>
            </w:r>
          </w:p>
        </w:tc>
        <w:tc>
          <w:tcPr>
            <w:tcW w:w="900" w:type="dxa"/>
            <w:gridSpan w:val="2"/>
            <w:tcBorders>
              <w:top w:val="nil"/>
              <w:left w:val="single" w:sz="6" w:space="0" w:color="auto"/>
              <w:bottom w:val="single" w:sz="6" w:space="0" w:color="auto"/>
              <w:right w:val="single" w:sz="6" w:space="0" w:color="auto"/>
            </w:tcBorders>
          </w:tcPr>
          <w:p w14:paraId="44836C6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00E3C7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4,732</w:t>
            </w:r>
          </w:p>
        </w:tc>
        <w:tc>
          <w:tcPr>
            <w:tcW w:w="1080" w:type="dxa"/>
            <w:tcBorders>
              <w:top w:val="nil"/>
              <w:left w:val="single" w:sz="6" w:space="0" w:color="auto"/>
              <w:bottom w:val="single" w:sz="6" w:space="0" w:color="auto"/>
              <w:right w:val="single" w:sz="6" w:space="0" w:color="auto"/>
            </w:tcBorders>
          </w:tcPr>
          <w:p w14:paraId="3D5BDB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Community-dwelling adults</w:t>
            </w:r>
          </w:p>
          <w:p w14:paraId="07EFE1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40–74</w:t>
            </w:r>
          </w:p>
        </w:tc>
        <w:tc>
          <w:tcPr>
            <w:tcW w:w="1440" w:type="dxa"/>
            <w:gridSpan w:val="2"/>
            <w:tcBorders>
              <w:top w:val="nil"/>
              <w:left w:val="single" w:sz="6" w:space="0" w:color="auto"/>
              <w:bottom w:val="single" w:sz="6" w:space="0" w:color="auto"/>
              <w:right w:val="single" w:sz="6" w:space="0" w:color="auto"/>
            </w:tcBorders>
          </w:tcPr>
          <w:p w14:paraId="18BD587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 Distance-weighted access index; </w:t>
            </w:r>
          </w:p>
          <w:p w14:paraId="32F69D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39F1DA7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 size-adjusted access index; </w:t>
            </w:r>
          </w:p>
          <w:p w14:paraId="0E5632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BD30EE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 quality+size-adjusted access index; </w:t>
            </w:r>
          </w:p>
          <w:p w14:paraId="0AF08B1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914C7E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plus distance to nearest, size of nearest, area/# of spaces within 2 km</w:t>
            </w:r>
          </w:p>
        </w:tc>
        <w:tc>
          <w:tcPr>
            <w:tcW w:w="1080" w:type="dxa"/>
            <w:tcBorders>
              <w:top w:val="nil"/>
              <w:left w:val="single" w:sz="6" w:space="0" w:color="auto"/>
              <w:bottom w:val="single" w:sz="6" w:space="0" w:color="auto"/>
              <w:right w:val="single" w:sz="6" w:space="0" w:color="auto"/>
            </w:tcBorders>
          </w:tcPr>
          <w:p w14:paraId="3D45948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green spaces ≥2 ha</w:t>
            </w:r>
          </w:p>
        </w:tc>
        <w:tc>
          <w:tcPr>
            <w:tcW w:w="1260" w:type="dxa"/>
            <w:tcBorders>
              <w:top w:val="nil"/>
              <w:left w:val="single" w:sz="6" w:space="0" w:color="auto"/>
              <w:bottom w:val="single" w:sz="6" w:space="0" w:color="auto"/>
              <w:right w:val="single" w:sz="6" w:space="0" w:color="auto"/>
            </w:tcBorders>
          </w:tcPr>
          <w:p w14:paraId="315FCDF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On-foot quality audit of 61 spaces (69-item tool) with GPS access points; boundaries digitized</w:t>
            </w:r>
          </w:p>
        </w:tc>
        <w:tc>
          <w:tcPr>
            <w:tcW w:w="1377" w:type="dxa"/>
            <w:tcBorders>
              <w:top w:val="nil"/>
              <w:left w:val="single" w:sz="6" w:space="0" w:color="auto"/>
              <w:bottom w:val="single" w:sz="6" w:space="0" w:color="auto"/>
              <w:right w:val="single" w:sz="6" w:space="0" w:color="auto"/>
            </w:tcBorders>
          </w:tcPr>
          <w:p w14:paraId="436C7AA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Street-network road distance (to access points); </w:t>
            </w:r>
          </w:p>
          <w:p w14:paraId="33AA4C4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73D4A6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distance-decay weighting</w:t>
            </w:r>
          </w:p>
        </w:tc>
        <w:tc>
          <w:tcPr>
            <w:tcW w:w="1143" w:type="dxa"/>
            <w:tcBorders>
              <w:top w:val="nil"/>
              <w:left w:val="single" w:sz="6" w:space="0" w:color="auto"/>
              <w:bottom w:val="single" w:sz="6" w:space="0" w:color="auto"/>
              <w:right w:val="single" w:sz="6" w:space="0" w:color="auto"/>
            </w:tcBorders>
          </w:tcPr>
          <w:p w14:paraId="755C795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Quartiles of access indices; </w:t>
            </w:r>
          </w:p>
          <w:p w14:paraId="77A78DE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1FB3F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 km radius for neighborhood counts/area</w:t>
            </w:r>
          </w:p>
        </w:tc>
        <w:tc>
          <w:tcPr>
            <w:tcW w:w="1253" w:type="dxa"/>
            <w:tcBorders>
              <w:top w:val="nil"/>
              <w:left w:val="single" w:sz="6" w:space="0" w:color="auto"/>
              <w:bottom w:val="single" w:sz="6" w:space="0" w:color="auto"/>
              <w:right w:val="single" w:sz="6" w:space="0" w:color="auto"/>
            </w:tcBorders>
          </w:tcPr>
          <w:p w14:paraId="4ECA173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39EAAC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Recreational PA </w:t>
            </w:r>
          </w:p>
          <w:p w14:paraId="7AD6176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(hours/week)</w:t>
            </w:r>
          </w:p>
        </w:tc>
        <w:tc>
          <w:tcPr>
            <w:tcW w:w="1260" w:type="dxa"/>
            <w:tcBorders>
              <w:top w:val="nil"/>
              <w:left w:val="single" w:sz="6" w:space="0" w:color="auto"/>
              <w:bottom w:val="single" w:sz="6" w:space="0" w:color="auto"/>
              <w:right w:val="single" w:sz="6" w:space="0" w:color="auto"/>
            </w:tcBorders>
          </w:tcPr>
          <w:p w14:paraId="024BBCB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w:t>
            </w:r>
          </w:p>
        </w:tc>
        <w:tc>
          <w:tcPr>
            <w:tcW w:w="1087" w:type="dxa"/>
            <w:tcBorders>
              <w:top w:val="nil"/>
              <w:left w:val="single" w:sz="6" w:space="0" w:color="auto"/>
              <w:bottom w:val="single" w:sz="6" w:space="0" w:color="auto"/>
              <w:right w:val="single" w:sz="6" w:space="0" w:color="auto"/>
            </w:tcBorders>
          </w:tcPr>
          <w:p w14:paraId="2E9419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260" w:type="dxa"/>
            <w:tcBorders>
              <w:top w:val="nil"/>
              <w:left w:val="single" w:sz="6" w:space="0" w:color="auto"/>
              <w:bottom w:val="single" w:sz="6" w:space="0" w:color="auto"/>
              <w:right w:val="single" w:sz="6" w:space="0" w:color="auto"/>
            </w:tcBorders>
          </w:tcPr>
          <w:p w14:paraId="029CFC6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B8C6F3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35942CE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108AD40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ethnicity, </w:t>
            </w:r>
          </w:p>
          <w:p w14:paraId="38F43ED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Townsend deprivation, </w:t>
            </w:r>
          </w:p>
          <w:p w14:paraId="0D1CCB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city boundary</w:t>
            </w:r>
          </w:p>
        </w:tc>
        <w:tc>
          <w:tcPr>
            <w:tcW w:w="990" w:type="dxa"/>
            <w:tcBorders>
              <w:top w:val="nil"/>
              <w:left w:val="single" w:sz="6" w:space="0" w:color="auto"/>
              <w:bottom w:val="single" w:sz="6" w:space="0" w:color="auto"/>
              <w:right w:val="single" w:sz="6" w:space="0" w:color="auto"/>
            </w:tcBorders>
          </w:tcPr>
          <w:p w14:paraId="24B01E1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β coefficient</w:t>
            </w:r>
          </w:p>
        </w:tc>
        <w:tc>
          <w:tcPr>
            <w:tcW w:w="1440" w:type="dxa"/>
            <w:tcBorders>
              <w:top w:val="nil"/>
              <w:left w:val="single" w:sz="6" w:space="0" w:color="auto"/>
              <w:bottom w:val="single" w:sz="6" w:space="0" w:color="auto"/>
              <w:right w:val="single" w:sz="6" w:space="0" w:color="auto"/>
            </w:tcBorders>
          </w:tcPr>
          <w:p w14:paraId="137F3F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Example—# green spaces within 2 km: β = 0.001</w:t>
            </w:r>
          </w:p>
        </w:tc>
        <w:tc>
          <w:tcPr>
            <w:tcW w:w="983" w:type="dxa"/>
            <w:tcBorders>
              <w:top w:val="nil"/>
              <w:left w:val="single" w:sz="6" w:space="0" w:color="auto"/>
              <w:bottom w:val="single" w:sz="6" w:space="0" w:color="auto"/>
              <w:right w:val="single" w:sz="6" w:space="0" w:color="auto"/>
            </w:tcBorders>
          </w:tcPr>
          <w:p w14:paraId="13AF63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 = 0.002 (95% CI NR)</w:t>
            </w:r>
          </w:p>
        </w:tc>
        <w:tc>
          <w:tcPr>
            <w:tcW w:w="997" w:type="dxa"/>
            <w:tcBorders>
              <w:top w:val="nil"/>
              <w:left w:val="single" w:sz="6" w:space="0" w:color="auto"/>
              <w:bottom w:val="single" w:sz="6" w:space="0" w:color="auto"/>
              <w:right w:val="single" w:sz="6" w:space="0" w:color="auto"/>
            </w:tcBorders>
          </w:tcPr>
          <w:p w14:paraId="4A78ACE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0.65 (ns)</w:t>
            </w:r>
          </w:p>
        </w:tc>
        <w:tc>
          <w:tcPr>
            <w:tcW w:w="1080" w:type="dxa"/>
            <w:tcBorders>
              <w:top w:val="nil"/>
              <w:left w:val="single" w:sz="6" w:space="0" w:color="auto"/>
              <w:bottom w:val="single" w:sz="6" w:space="0" w:color="auto"/>
              <w:right w:val="single" w:sz="6" w:space="0" w:color="auto"/>
            </w:tcBorders>
          </w:tcPr>
          <w:p w14:paraId="128D6A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(no clear association across access/quality metrics)</w:t>
            </w:r>
          </w:p>
        </w:tc>
      </w:tr>
      <w:tr w:rsidR="00CF2149" w:rsidRPr="00B01F30" w14:paraId="34D2B8C4" w14:textId="77777777" w:rsidTr="00AE5170">
        <w:trPr>
          <w:gridAfter w:val="1"/>
          <w:wAfter w:w="8" w:type="dxa"/>
          <w:trHeight w:val="2743"/>
        </w:trPr>
        <w:tc>
          <w:tcPr>
            <w:tcW w:w="990" w:type="dxa"/>
            <w:tcBorders>
              <w:top w:val="nil"/>
              <w:left w:val="single" w:sz="6" w:space="0" w:color="auto"/>
              <w:bottom w:val="single" w:sz="6" w:space="0" w:color="auto"/>
              <w:right w:val="single" w:sz="6" w:space="0" w:color="auto"/>
            </w:tcBorders>
          </w:tcPr>
          <w:p w14:paraId="694424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Scott MM et al.</w:t>
            </w:r>
          </w:p>
          <w:p w14:paraId="7645AA4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2007</w:t>
            </w:r>
          </w:p>
        </w:tc>
        <w:tc>
          <w:tcPr>
            <w:tcW w:w="900" w:type="dxa"/>
            <w:tcBorders>
              <w:top w:val="nil"/>
              <w:left w:val="single" w:sz="6" w:space="0" w:color="auto"/>
              <w:bottom w:val="single" w:sz="6" w:space="0" w:color="auto"/>
              <w:right w:val="single" w:sz="6" w:space="0" w:color="auto"/>
            </w:tcBorders>
          </w:tcPr>
          <w:p w14:paraId="69A39BF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44A3824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4FCA1AC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1,556</w:t>
            </w:r>
          </w:p>
        </w:tc>
        <w:tc>
          <w:tcPr>
            <w:tcW w:w="1080" w:type="dxa"/>
            <w:tcBorders>
              <w:top w:val="nil"/>
              <w:left w:val="single" w:sz="6" w:space="0" w:color="auto"/>
              <w:bottom w:val="single" w:sz="6" w:space="0" w:color="auto"/>
              <w:right w:val="single" w:sz="6" w:space="0" w:color="auto"/>
            </w:tcBorders>
          </w:tcPr>
          <w:p w14:paraId="177188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6th-grade girls</w:t>
            </w:r>
          </w:p>
          <w:p w14:paraId="798B926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11–12 y</w:t>
            </w:r>
          </w:p>
        </w:tc>
        <w:tc>
          <w:tcPr>
            <w:tcW w:w="1440" w:type="dxa"/>
            <w:gridSpan w:val="2"/>
            <w:tcBorders>
              <w:top w:val="nil"/>
              <w:left w:val="single" w:sz="6" w:space="0" w:color="auto"/>
              <w:bottom w:val="single" w:sz="6" w:space="0" w:color="auto"/>
              <w:right w:val="single" w:sz="6" w:space="0" w:color="auto"/>
            </w:tcBorders>
          </w:tcPr>
          <w:p w14:paraId="7A7CDE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Within 0.5-mile of home:</w:t>
            </w:r>
          </w:p>
          <w:p w14:paraId="235E6D3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presence/number of schools;</w:t>
            </w:r>
          </w:p>
          <w:p w14:paraId="789093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locked vs unlocked with active amenities;</w:t>
            </w:r>
          </w:p>
          <w:p w14:paraId="5D69ED2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number of parks</w:t>
            </w:r>
          </w:p>
        </w:tc>
        <w:tc>
          <w:tcPr>
            <w:tcW w:w="1080" w:type="dxa"/>
            <w:tcBorders>
              <w:top w:val="nil"/>
              <w:left w:val="single" w:sz="6" w:space="0" w:color="auto"/>
              <w:bottom w:val="single" w:sz="6" w:space="0" w:color="auto"/>
              <w:right w:val="single" w:sz="6" w:space="0" w:color="auto"/>
            </w:tcBorders>
          </w:tcPr>
          <w:p w14:paraId="43BC9F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School grounds with active amenities</w:t>
            </w:r>
          </w:p>
          <w:p w14:paraId="36346F2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498D5C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w:t>
            </w:r>
          </w:p>
        </w:tc>
        <w:tc>
          <w:tcPr>
            <w:tcW w:w="1260" w:type="dxa"/>
            <w:tcBorders>
              <w:top w:val="nil"/>
              <w:left w:val="single" w:sz="6" w:space="0" w:color="auto"/>
              <w:bottom w:val="single" w:sz="6" w:space="0" w:color="auto"/>
              <w:right w:val="single" w:sz="6" w:space="0" w:color="auto"/>
            </w:tcBorders>
          </w:tcPr>
          <w:p w14:paraId="464F00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NCES school lists; </w:t>
            </w:r>
          </w:p>
          <w:p w14:paraId="5FE15E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local/regional park shapefiles/hand-digitized; </w:t>
            </w:r>
          </w:p>
          <w:p w14:paraId="63EC84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direct Saturday site audits</w:t>
            </w:r>
          </w:p>
        </w:tc>
        <w:tc>
          <w:tcPr>
            <w:tcW w:w="1377" w:type="dxa"/>
            <w:tcBorders>
              <w:top w:val="nil"/>
              <w:left w:val="single" w:sz="6" w:space="0" w:color="auto"/>
              <w:bottom w:val="single" w:sz="6" w:space="0" w:color="auto"/>
              <w:right w:val="single" w:sz="6" w:space="0" w:color="auto"/>
            </w:tcBorders>
          </w:tcPr>
          <w:p w14:paraId="03B330D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Euclidean 0.5-mile home buffer; </w:t>
            </w:r>
          </w:p>
          <w:p w14:paraId="0C6668C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FCF442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on-site observation</w:t>
            </w:r>
          </w:p>
        </w:tc>
        <w:tc>
          <w:tcPr>
            <w:tcW w:w="1143" w:type="dxa"/>
            <w:tcBorders>
              <w:top w:val="nil"/>
              <w:left w:val="single" w:sz="6" w:space="0" w:color="auto"/>
              <w:bottom w:val="single" w:sz="6" w:space="0" w:color="auto"/>
              <w:right w:val="single" w:sz="6" w:space="0" w:color="auto"/>
            </w:tcBorders>
          </w:tcPr>
          <w:p w14:paraId="5D75A70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0.5 mile (0.805 km) radius</w:t>
            </w:r>
          </w:p>
        </w:tc>
        <w:tc>
          <w:tcPr>
            <w:tcW w:w="1253" w:type="dxa"/>
            <w:tcBorders>
              <w:top w:val="nil"/>
              <w:left w:val="single" w:sz="6" w:space="0" w:color="auto"/>
              <w:bottom w:val="single" w:sz="6" w:space="0" w:color="auto"/>
              <w:right w:val="single" w:sz="6" w:space="0" w:color="auto"/>
            </w:tcBorders>
          </w:tcPr>
          <w:p w14:paraId="0595160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437BC32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Weekend MET-weighted MVPA</w:t>
            </w:r>
          </w:p>
        </w:tc>
        <w:tc>
          <w:tcPr>
            <w:tcW w:w="1260" w:type="dxa"/>
            <w:tcBorders>
              <w:top w:val="nil"/>
              <w:left w:val="single" w:sz="6" w:space="0" w:color="auto"/>
              <w:bottom w:val="single" w:sz="6" w:space="0" w:color="auto"/>
              <w:right w:val="single" w:sz="6" w:space="0" w:color="auto"/>
            </w:tcBorders>
          </w:tcPr>
          <w:p w14:paraId="7DFA34C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w:t>
            </w:r>
          </w:p>
        </w:tc>
        <w:tc>
          <w:tcPr>
            <w:tcW w:w="1087" w:type="dxa"/>
            <w:tcBorders>
              <w:top w:val="nil"/>
              <w:left w:val="single" w:sz="6" w:space="0" w:color="auto"/>
              <w:bottom w:val="single" w:sz="6" w:space="0" w:color="auto"/>
              <w:right w:val="single" w:sz="6" w:space="0" w:color="auto"/>
            </w:tcBorders>
          </w:tcPr>
          <w:p w14:paraId="02C7F4C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hierarchical linear models</w:t>
            </w:r>
          </w:p>
        </w:tc>
        <w:tc>
          <w:tcPr>
            <w:tcW w:w="1260" w:type="dxa"/>
            <w:tcBorders>
              <w:top w:val="nil"/>
              <w:left w:val="single" w:sz="6" w:space="0" w:color="auto"/>
              <w:bottom w:val="single" w:sz="6" w:space="0" w:color="auto"/>
              <w:right w:val="single" w:sz="6" w:space="0" w:color="auto"/>
            </w:tcBorders>
          </w:tcPr>
          <w:p w14:paraId="4C05AC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Race/ethnicity; </w:t>
            </w:r>
          </w:p>
          <w:p w14:paraId="10B7147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 SES index; </w:t>
            </w:r>
          </w:p>
          <w:p w14:paraId="5A99475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school % free/reduced lunch (plus exposure terms)</w:t>
            </w:r>
          </w:p>
        </w:tc>
        <w:tc>
          <w:tcPr>
            <w:tcW w:w="990" w:type="dxa"/>
            <w:tcBorders>
              <w:top w:val="nil"/>
              <w:left w:val="single" w:sz="6" w:space="0" w:color="auto"/>
              <w:bottom w:val="single" w:sz="6" w:space="0" w:color="auto"/>
              <w:right w:val="single" w:sz="6" w:space="0" w:color="auto"/>
            </w:tcBorders>
          </w:tcPr>
          <w:p w14:paraId="455399B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Percent difference</w:t>
            </w:r>
          </w:p>
        </w:tc>
        <w:tc>
          <w:tcPr>
            <w:tcW w:w="1440" w:type="dxa"/>
            <w:tcBorders>
              <w:top w:val="nil"/>
              <w:left w:val="single" w:sz="6" w:space="0" w:color="auto"/>
              <w:bottom w:val="single" w:sz="6" w:space="0" w:color="auto"/>
              <w:right w:val="single" w:sz="6" w:space="0" w:color="auto"/>
            </w:tcBorders>
          </w:tcPr>
          <w:p w14:paraId="333D070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 school within 0.5 mile: −9.6% weekend MVPA (p=0.08)</w:t>
            </w:r>
          </w:p>
          <w:p w14:paraId="47427F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D1170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Each additional park (0.5 mile): +2.8% weekend MVPA (p=0.06)</w:t>
            </w:r>
          </w:p>
        </w:tc>
        <w:tc>
          <w:tcPr>
            <w:tcW w:w="983" w:type="dxa"/>
            <w:tcBorders>
              <w:top w:val="nil"/>
              <w:left w:val="single" w:sz="6" w:space="0" w:color="auto"/>
              <w:bottom w:val="single" w:sz="6" w:space="0" w:color="auto"/>
              <w:right w:val="single" w:sz="6" w:space="0" w:color="auto"/>
            </w:tcBorders>
          </w:tcPr>
          <w:p w14:paraId="01163A6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997" w:type="dxa"/>
            <w:tcBorders>
              <w:top w:val="nil"/>
              <w:left w:val="single" w:sz="6" w:space="0" w:color="auto"/>
              <w:bottom w:val="single" w:sz="6" w:space="0" w:color="auto"/>
              <w:right w:val="single" w:sz="6" w:space="0" w:color="auto"/>
            </w:tcBorders>
          </w:tcPr>
          <w:p w14:paraId="4CCBD2C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6" w:space="0" w:color="auto"/>
              <w:right w:val="single" w:sz="6" w:space="0" w:color="auto"/>
            </w:tcBorders>
          </w:tcPr>
          <w:p w14:paraId="4261966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Weak/mostly null for school accessibility → MVPA; parks show positive trend → MVPA</w:t>
            </w:r>
          </w:p>
        </w:tc>
      </w:tr>
      <w:tr w:rsidR="00CF2149" w:rsidRPr="00B01F30" w14:paraId="42054E3D" w14:textId="77777777" w:rsidTr="00AE5170">
        <w:trPr>
          <w:gridAfter w:val="1"/>
          <w:wAfter w:w="8" w:type="dxa"/>
          <w:trHeight w:val="4845"/>
        </w:trPr>
        <w:tc>
          <w:tcPr>
            <w:tcW w:w="990" w:type="dxa"/>
            <w:tcBorders>
              <w:top w:val="nil"/>
              <w:left w:val="single" w:sz="6" w:space="0" w:color="auto"/>
              <w:bottom w:val="single" w:sz="6" w:space="0" w:color="auto"/>
              <w:right w:val="single" w:sz="6" w:space="0" w:color="auto"/>
            </w:tcBorders>
          </w:tcPr>
          <w:p w14:paraId="1307138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Stewart et al.,</w:t>
            </w:r>
          </w:p>
          <w:p w14:paraId="1184806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2018</w:t>
            </w:r>
          </w:p>
        </w:tc>
        <w:tc>
          <w:tcPr>
            <w:tcW w:w="900" w:type="dxa"/>
            <w:tcBorders>
              <w:top w:val="nil"/>
              <w:left w:val="single" w:sz="6" w:space="0" w:color="auto"/>
              <w:bottom w:val="single" w:sz="6" w:space="0" w:color="auto"/>
              <w:right w:val="single" w:sz="6" w:space="0" w:color="auto"/>
            </w:tcBorders>
          </w:tcPr>
          <w:p w14:paraId="233EB3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37887F8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 panel with repeated measures</w:t>
            </w:r>
          </w:p>
        </w:tc>
        <w:tc>
          <w:tcPr>
            <w:tcW w:w="810" w:type="dxa"/>
            <w:tcBorders>
              <w:top w:val="nil"/>
              <w:left w:val="single" w:sz="6" w:space="0" w:color="auto"/>
              <w:bottom w:val="single" w:sz="6" w:space="0" w:color="auto"/>
              <w:right w:val="single" w:sz="6" w:space="0" w:color="auto"/>
            </w:tcBorders>
          </w:tcPr>
          <w:p w14:paraId="0A9068D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634 adults</w:t>
            </w:r>
          </w:p>
        </w:tc>
        <w:tc>
          <w:tcPr>
            <w:tcW w:w="1080" w:type="dxa"/>
            <w:tcBorders>
              <w:top w:val="nil"/>
              <w:left w:val="single" w:sz="6" w:space="0" w:color="auto"/>
              <w:bottom w:val="single" w:sz="6" w:space="0" w:color="auto"/>
              <w:right w:val="single" w:sz="6" w:space="0" w:color="auto"/>
            </w:tcBorders>
          </w:tcPr>
          <w:p w14:paraId="611370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adults</w:t>
            </w:r>
          </w:p>
          <w:p w14:paraId="41C0676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 y</w:t>
            </w:r>
          </w:p>
        </w:tc>
        <w:tc>
          <w:tcPr>
            <w:tcW w:w="1440" w:type="dxa"/>
            <w:gridSpan w:val="2"/>
            <w:tcBorders>
              <w:top w:val="nil"/>
              <w:left w:val="single" w:sz="6" w:space="0" w:color="auto"/>
              <w:bottom w:val="single" w:sz="6" w:space="0" w:color="auto"/>
              <w:right w:val="single" w:sz="6" w:space="0" w:color="auto"/>
            </w:tcBorders>
          </w:tcPr>
          <w:p w14:paraId="0D4C42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of parks and total park area (acres) within home neighborhood buffer</w:t>
            </w:r>
          </w:p>
        </w:tc>
        <w:tc>
          <w:tcPr>
            <w:tcW w:w="1080" w:type="dxa"/>
            <w:tcBorders>
              <w:top w:val="nil"/>
              <w:left w:val="single" w:sz="6" w:space="0" w:color="auto"/>
              <w:bottom w:val="single" w:sz="6" w:space="0" w:color="auto"/>
              <w:right w:val="single" w:sz="6" w:space="0" w:color="auto"/>
            </w:tcBorders>
          </w:tcPr>
          <w:p w14:paraId="41AA63A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Publicly owned, freely accessible outdoor parks</w:t>
            </w:r>
          </w:p>
        </w:tc>
        <w:tc>
          <w:tcPr>
            <w:tcW w:w="1260" w:type="dxa"/>
            <w:tcBorders>
              <w:top w:val="nil"/>
              <w:left w:val="single" w:sz="6" w:space="0" w:color="auto"/>
              <w:bottom w:val="single" w:sz="6" w:space="0" w:color="auto"/>
              <w:right w:val="single" w:sz="6" w:space="0" w:color="auto"/>
            </w:tcBorders>
          </w:tcPr>
          <w:p w14:paraId="40BE8AB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King County + 39 municipalities’ park GIS</w:t>
            </w:r>
          </w:p>
        </w:tc>
        <w:tc>
          <w:tcPr>
            <w:tcW w:w="1377" w:type="dxa"/>
            <w:tcBorders>
              <w:top w:val="nil"/>
              <w:left w:val="single" w:sz="6" w:space="0" w:color="auto"/>
              <w:bottom w:val="single" w:sz="6" w:space="0" w:color="auto"/>
              <w:right w:val="single" w:sz="6" w:space="0" w:color="auto"/>
            </w:tcBorders>
          </w:tcPr>
          <w:p w14:paraId="68DD328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Street-network “sausage” buffer</w:t>
            </w:r>
          </w:p>
        </w:tc>
        <w:tc>
          <w:tcPr>
            <w:tcW w:w="1143" w:type="dxa"/>
            <w:tcBorders>
              <w:top w:val="nil"/>
              <w:left w:val="single" w:sz="6" w:space="0" w:color="auto"/>
              <w:bottom w:val="single" w:sz="6" w:space="0" w:color="auto"/>
              <w:right w:val="single" w:sz="6" w:space="0" w:color="auto"/>
            </w:tcBorders>
          </w:tcPr>
          <w:p w14:paraId="08E9266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833 m network buffer</w:t>
            </w:r>
          </w:p>
        </w:tc>
        <w:tc>
          <w:tcPr>
            <w:tcW w:w="1253" w:type="dxa"/>
            <w:tcBorders>
              <w:top w:val="nil"/>
              <w:left w:val="single" w:sz="6" w:space="0" w:color="auto"/>
              <w:bottom w:val="single" w:sz="6" w:space="0" w:color="auto"/>
              <w:right w:val="single" w:sz="6" w:space="0" w:color="auto"/>
            </w:tcBorders>
          </w:tcPr>
          <w:p w14:paraId="737366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2D22E87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PA (bout minutes/day) and subtypes: </w:t>
            </w:r>
          </w:p>
          <w:p w14:paraId="2F3D18A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home-park PA, </w:t>
            </w:r>
          </w:p>
          <w:p w14:paraId="55E7054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non-home-park PA, </w:t>
            </w:r>
          </w:p>
          <w:p w14:paraId="1AC223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other PA</w:t>
            </w:r>
          </w:p>
        </w:tc>
        <w:tc>
          <w:tcPr>
            <w:tcW w:w="1260" w:type="dxa"/>
            <w:tcBorders>
              <w:top w:val="nil"/>
              <w:left w:val="single" w:sz="6" w:space="0" w:color="auto"/>
              <w:bottom w:val="single" w:sz="6" w:space="0" w:color="auto"/>
              <w:right w:val="single" w:sz="6" w:space="0" w:color="auto"/>
            </w:tcBorders>
          </w:tcPr>
          <w:p w14:paraId="24C679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w:t>
            </w:r>
          </w:p>
        </w:tc>
        <w:tc>
          <w:tcPr>
            <w:tcW w:w="1087" w:type="dxa"/>
            <w:tcBorders>
              <w:top w:val="nil"/>
              <w:left w:val="single" w:sz="6" w:space="0" w:color="auto"/>
              <w:bottom w:val="single" w:sz="6" w:space="0" w:color="auto"/>
              <w:right w:val="single" w:sz="6" w:space="0" w:color="auto"/>
            </w:tcBorders>
          </w:tcPr>
          <w:p w14:paraId="6D3B27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Mixed-effects negative binomial regression (IRR)</w:t>
            </w:r>
          </w:p>
        </w:tc>
        <w:tc>
          <w:tcPr>
            <w:tcW w:w="1260" w:type="dxa"/>
            <w:tcBorders>
              <w:top w:val="nil"/>
              <w:left w:val="single" w:sz="6" w:space="0" w:color="auto"/>
              <w:bottom w:val="single" w:sz="6" w:space="0" w:color="auto"/>
              <w:right w:val="single" w:sz="6" w:space="0" w:color="auto"/>
            </w:tcBorders>
          </w:tcPr>
          <w:p w14:paraId="116EFE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6A300E5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50A35D2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race/ethnicity, </w:t>
            </w:r>
          </w:p>
          <w:p w14:paraId="263A4F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261A1DD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income</w:t>
            </w:r>
          </w:p>
          <w:p w14:paraId="52F828B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 in household</w:t>
            </w:r>
          </w:p>
          <w:p w14:paraId="153E92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p w14:paraId="1C9678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 ratio</w:t>
            </w:r>
          </w:p>
          <w:p w14:paraId="538711F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BE covariates </w:t>
            </w:r>
          </w:p>
          <w:p w14:paraId="7FC8E268" w14:textId="77777777" w:rsidR="00CF2149"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single-family home</w:t>
            </w:r>
          </w:p>
          <w:p w14:paraId="58A29A07" w14:textId="77777777" w:rsidR="00CF2149"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residential units employment restaurant count</w:t>
            </w:r>
          </w:p>
          <w:p w14:paraId="70FBEE42" w14:textId="77777777" w:rsidR="00CF2149"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intersection count</w:t>
            </w:r>
          </w:p>
          <w:p w14:paraId="0BF05384" w14:textId="77777777" w:rsidR="00CF2149"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sidewalk length</w:t>
            </w:r>
          </w:p>
          <w:p w14:paraId="1DC0940C" w14:textId="77777777" w:rsidR="00CF2149"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buffer area</w:t>
            </w:r>
          </w:p>
          <w:p w14:paraId="7FFC40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wealth</w:t>
            </w:r>
          </w:p>
        </w:tc>
        <w:tc>
          <w:tcPr>
            <w:tcW w:w="990" w:type="dxa"/>
            <w:tcBorders>
              <w:top w:val="single" w:sz="6" w:space="0" w:color="auto"/>
              <w:left w:val="single" w:sz="6" w:space="0" w:color="auto"/>
              <w:bottom w:val="single" w:sz="6" w:space="0" w:color="auto"/>
              <w:right w:val="single" w:sz="6" w:space="0" w:color="auto"/>
            </w:tcBorders>
          </w:tcPr>
          <w:p w14:paraId="0B41E03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IRR</w:t>
            </w:r>
          </w:p>
        </w:tc>
        <w:tc>
          <w:tcPr>
            <w:tcW w:w="3420" w:type="dxa"/>
            <w:gridSpan w:val="3"/>
            <w:tcBorders>
              <w:top w:val="single" w:sz="6" w:space="0" w:color="auto"/>
              <w:left w:val="single" w:sz="6" w:space="0" w:color="auto"/>
              <w:bottom w:val="single" w:sz="6" w:space="0" w:color="auto"/>
              <w:right w:val="single" w:sz="6" w:space="0" w:color="auto"/>
            </w:tcBorders>
          </w:tcPr>
          <w:p w14:paraId="794430E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IRRTotal PA vs park count: </w:t>
            </w:r>
          </w:p>
          <w:p w14:paraId="4814858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IRR 1.01 (95% CI 0.99–1.03), p=0.348 → null</w:t>
            </w:r>
          </w:p>
          <w:p w14:paraId="565358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67E77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PA vs park area (log): </w:t>
            </w:r>
          </w:p>
          <w:p w14:paraId="4CBC989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IRR 0.99 (95% CI 0.96–1.03), p=0.614 → null</w:t>
            </w:r>
          </w:p>
          <w:p w14:paraId="7A35A5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714594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Home-park PA vs park count: </w:t>
            </w:r>
          </w:p>
          <w:p w14:paraId="62B13F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IRR 1.09 (95% CI 1.00–1.18), p=0.039 → positive</w:t>
            </w:r>
          </w:p>
          <w:p w14:paraId="44E8601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1BAAE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Home-park PA vs park area (log): </w:t>
            </w:r>
          </w:p>
          <w:p w14:paraId="11BB453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IRR 1.54 (95% CI 1.34–1.77), p&lt;0.001 → positive</w:t>
            </w:r>
          </w:p>
        </w:tc>
        <w:tc>
          <w:tcPr>
            <w:tcW w:w="1080" w:type="dxa"/>
            <w:tcBorders>
              <w:top w:val="nil"/>
              <w:left w:val="single" w:sz="6" w:space="0" w:color="auto"/>
              <w:bottom w:val="single" w:sz="6" w:space="0" w:color="auto"/>
              <w:right w:val="single" w:sz="6" w:space="0" w:color="auto"/>
            </w:tcBorders>
          </w:tcPr>
          <w:p w14:paraId="585BD7E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for proximity → total PA;</w:t>
            </w:r>
          </w:p>
          <w:p w14:paraId="567783B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positive for proximity → park-based PA.</w:t>
            </w:r>
          </w:p>
        </w:tc>
      </w:tr>
      <w:tr w:rsidR="00CF2149" w:rsidRPr="00B01F30" w14:paraId="077FB263" w14:textId="77777777" w:rsidTr="00AE5170">
        <w:trPr>
          <w:gridAfter w:val="1"/>
          <w:wAfter w:w="8" w:type="dxa"/>
          <w:trHeight w:val="1829"/>
        </w:trPr>
        <w:tc>
          <w:tcPr>
            <w:tcW w:w="990" w:type="dxa"/>
            <w:tcBorders>
              <w:top w:val="nil"/>
              <w:left w:val="single" w:sz="6" w:space="0" w:color="auto"/>
              <w:bottom w:val="single" w:sz="6" w:space="0" w:color="auto"/>
              <w:right w:val="single" w:sz="6" w:space="0" w:color="auto"/>
            </w:tcBorders>
          </w:tcPr>
          <w:p w14:paraId="609741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Picavet et al.,</w:t>
            </w:r>
          </w:p>
          <w:p w14:paraId="25BB35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2016</w:t>
            </w:r>
          </w:p>
        </w:tc>
        <w:tc>
          <w:tcPr>
            <w:tcW w:w="900" w:type="dxa"/>
            <w:tcBorders>
              <w:top w:val="nil"/>
              <w:left w:val="single" w:sz="6" w:space="0" w:color="auto"/>
              <w:bottom w:val="single" w:sz="6" w:space="0" w:color="auto"/>
              <w:right w:val="single" w:sz="6" w:space="0" w:color="auto"/>
            </w:tcBorders>
          </w:tcPr>
          <w:p w14:paraId="19FFBFC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Netherlands</w:t>
            </w:r>
          </w:p>
        </w:tc>
        <w:tc>
          <w:tcPr>
            <w:tcW w:w="900" w:type="dxa"/>
            <w:gridSpan w:val="2"/>
            <w:tcBorders>
              <w:top w:val="nil"/>
              <w:left w:val="single" w:sz="6" w:space="0" w:color="auto"/>
              <w:bottom w:val="single" w:sz="6" w:space="0" w:color="auto"/>
              <w:right w:val="single" w:sz="6" w:space="0" w:color="auto"/>
            </w:tcBorders>
          </w:tcPr>
          <w:p w14:paraId="036CCDB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 cohort with repeated measures</w:t>
            </w:r>
          </w:p>
        </w:tc>
        <w:tc>
          <w:tcPr>
            <w:tcW w:w="810" w:type="dxa"/>
            <w:tcBorders>
              <w:top w:val="nil"/>
              <w:left w:val="single" w:sz="6" w:space="0" w:color="auto"/>
              <w:bottom w:val="single" w:sz="6" w:space="0" w:color="auto"/>
              <w:right w:val="single" w:sz="6" w:space="0" w:color="auto"/>
            </w:tcBorders>
          </w:tcPr>
          <w:p w14:paraId="001CEDE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R3 n=4,796; </w:t>
            </w:r>
          </w:p>
          <w:p w14:paraId="70E06E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R4 n=4,092; </w:t>
            </w:r>
          </w:p>
          <w:p w14:paraId="6CE9964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R5 n=3,658</w:t>
            </w:r>
          </w:p>
        </w:tc>
        <w:tc>
          <w:tcPr>
            <w:tcW w:w="1080" w:type="dxa"/>
            <w:tcBorders>
              <w:top w:val="nil"/>
              <w:left w:val="single" w:sz="6" w:space="0" w:color="auto"/>
              <w:bottom w:val="single" w:sz="6" w:space="0" w:color="auto"/>
              <w:right w:val="single" w:sz="6" w:space="0" w:color="auto"/>
            </w:tcBorders>
          </w:tcPr>
          <w:p w14:paraId="5835F4C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General adult residents of Doetinchem (urban–rural town)</w:t>
            </w:r>
          </w:p>
          <w:p w14:paraId="28FC8D4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20–59</w:t>
            </w:r>
          </w:p>
        </w:tc>
        <w:tc>
          <w:tcPr>
            <w:tcW w:w="1440" w:type="dxa"/>
            <w:gridSpan w:val="2"/>
            <w:tcBorders>
              <w:top w:val="nil"/>
              <w:left w:val="single" w:sz="6" w:space="0" w:color="auto"/>
              <w:bottom w:val="single" w:sz="6" w:space="0" w:color="auto"/>
              <w:right w:val="single" w:sz="6" w:space="0" w:color="auto"/>
            </w:tcBorders>
          </w:tcPr>
          <w:p w14:paraId="7BC4907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green space within 125 m and 1 km of home address</w:t>
            </w:r>
          </w:p>
        </w:tc>
        <w:tc>
          <w:tcPr>
            <w:tcW w:w="1080" w:type="dxa"/>
            <w:tcBorders>
              <w:top w:val="nil"/>
              <w:left w:val="single" w:sz="6" w:space="0" w:color="auto"/>
              <w:bottom w:val="single" w:sz="6" w:space="0" w:color="auto"/>
              <w:right w:val="single" w:sz="6" w:space="0" w:color="auto"/>
            </w:tcBorders>
          </w:tcPr>
          <w:p w14:paraId="3EE8185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 green and agricultural green</w:t>
            </w:r>
          </w:p>
        </w:tc>
        <w:tc>
          <w:tcPr>
            <w:tcW w:w="1260" w:type="dxa"/>
            <w:tcBorders>
              <w:top w:val="nil"/>
              <w:left w:val="single" w:sz="6" w:space="0" w:color="auto"/>
              <w:bottom w:val="single" w:sz="6" w:space="0" w:color="auto"/>
              <w:right w:val="single" w:sz="6" w:space="0" w:color="auto"/>
            </w:tcBorders>
          </w:tcPr>
          <w:p w14:paraId="68FB01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National Land Cover Classification (LGN; 25×25 m grid)</w:t>
            </w:r>
          </w:p>
        </w:tc>
        <w:tc>
          <w:tcPr>
            <w:tcW w:w="1377" w:type="dxa"/>
            <w:tcBorders>
              <w:top w:val="nil"/>
              <w:left w:val="single" w:sz="6" w:space="0" w:color="auto"/>
              <w:bottom w:val="single" w:sz="6" w:space="0" w:color="auto"/>
              <w:right w:val="single" w:sz="6" w:space="0" w:color="auto"/>
            </w:tcBorders>
          </w:tcPr>
          <w:p w14:paraId="0080C5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buffers around geocoded home address</w:t>
            </w:r>
          </w:p>
        </w:tc>
        <w:tc>
          <w:tcPr>
            <w:tcW w:w="1143" w:type="dxa"/>
            <w:tcBorders>
              <w:top w:val="nil"/>
              <w:left w:val="single" w:sz="6" w:space="0" w:color="auto"/>
              <w:bottom w:val="single" w:sz="6" w:space="0" w:color="auto"/>
              <w:right w:val="single" w:sz="6" w:space="0" w:color="auto"/>
            </w:tcBorders>
          </w:tcPr>
          <w:p w14:paraId="6722CA0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None</w:t>
            </w:r>
          </w:p>
        </w:tc>
        <w:tc>
          <w:tcPr>
            <w:tcW w:w="1253" w:type="dxa"/>
            <w:tcBorders>
              <w:top w:val="nil"/>
              <w:left w:val="single" w:sz="6" w:space="0" w:color="auto"/>
              <w:bottom w:val="single" w:sz="6" w:space="0" w:color="auto"/>
              <w:right w:val="single" w:sz="6" w:space="0" w:color="auto"/>
            </w:tcBorders>
          </w:tcPr>
          <w:p w14:paraId="3CAD49C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5EF5524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Guideline adherence (≥3.5 h/wk MVPA) and hours/week in bicycling, sports, gardening, odd jobs</w:t>
            </w:r>
          </w:p>
        </w:tc>
        <w:tc>
          <w:tcPr>
            <w:tcW w:w="1260" w:type="dxa"/>
            <w:tcBorders>
              <w:top w:val="nil"/>
              <w:left w:val="single" w:sz="6" w:space="0" w:color="auto"/>
              <w:bottom w:val="single" w:sz="6" w:space="0" w:color="auto"/>
              <w:right w:val="single" w:sz="6" w:space="0" w:color="auto"/>
            </w:tcBorders>
          </w:tcPr>
          <w:p w14:paraId="046263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Validated questionnaire</w:t>
            </w:r>
          </w:p>
        </w:tc>
        <w:tc>
          <w:tcPr>
            <w:tcW w:w="1087" w:type="dxa"/>
            <w:tcBorders>
              <w:top w:val="nil"/>
              <w:left w:val="single" w:sz="6" w:space="0" w:color="auto"/>
              <w:bottom w:val="single" w:sz="6" w:space="0" w:color="auto"/>
              <w:right w:val="single" w:sz="6" w:space="0" w:color="auto"/>
            </w:tcBorders>
          </w:tcPr>
          <w:p w14:paraId="4DA172A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Generalized Estimating Equations</w:t>
            </w:r>
          </w:p>
        </w:tc>
        <w:tc>
          <w:tcPr>
            <w:tcW w:w="1260" w:type="dxa"/>
            <w:tcBorders>
              <w:top w:val="nil"/>
              <w:left w:val="single" w:sz="6" w:space="0" w:color="auto"/>
              <w:bottom w:val="single" w:sz="6" w:space="0" w:color="auto"/>
              <w:right w:val="single" w:sz="6" w:space="0" w:color="auto"/>
            </w:tcBorders>
          </w:tcPr>
          <w:p w14:paraId="45B7BFB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35439E6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7E20F96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educational level (SES)</w:t>
            </w:r>
          </w:p>
        </w:tc>
        <w:tc>
          <w:tcPr>
            <w:tcW w:w="990" w:type="dxa"/>
            <w:tcBorders>
              <w:top w:val="nil"/>
              <w:left w:val="single" w:sz="6" w:space="0" w:color="auto"/>
              <w:bottom w:val="single" w:sz="6" w:space="0" w:color="auto"/>
              <w:right w:val="single" w:sz="6" w:space="0" w:color="auto"/>
            </w:tcBorders>
          </w:tcPr>
          <w:p w14:paraId="520E089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440" w:type="dxa"/>
            <w:tcBorders>
              <w:top w:val="nil"/>
              <w:left w:val="single" w:sz="6" w:space="0" w:color="auto"/>
              <w:bottom w:val="single" w:sz="6" w:space="0" w:color="auto"/>
              <w:right w:val="single" w:sz="6" w:space="0" w:color="auto"/>
            </w:tcBorders>
          </w:tcPr>
          <w:p w14:paraId="7F6D617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green (1 km) vs PA guideline adherence OR = 1.01 (95% CI 0.97–1.05)</w:t>
            </w:r>
          </w:p>
        </w:tc>
        <w:tc>
          <w:tcPr>
            <w:tcW w:w="983" w:type="dxa"/>
            <w:tcBorders>
              <w:top w:val="nil"/>
              <w:left w:val="single" w:sz="6" w:space="0" w:color="auto"/>
              <w:bottom w:val="single" w:sz="6" w:space="0" w:color="auto"/>
              <w:right w:val="single" w:sz="6" w:space="0" w:color="auto"/>
            </w:tcBorders>
          </w:tcPr>
          <w:p w14:paraId="224060A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0.97–1.05</w:t>
            </w:r>
          </w:p>
        </w:tc>
        <w:tc>
          <w:tcPr>
            <w:tcW w:w="997" w:type="dxa"/>
            <w:tcBorders>
              <w:top w:val="nil"/>
              <w:left w:val="single" w:sz="6" w:space="0" w:color="auto"/>
              <w:bottom w:val="single" w:sz="6" w:space="0" w:color="auto"/>
              <w:right w:val="single" w:sz="6" w:space="0" w:color="auto"/>
            </w:tcBorders>
          </w:tcPr>
          <w:p w14:paraId="1AC7D10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1080" w:type="dxa"/>
            <w:tcBorders>
              <w:top w:val="nil"/>
              <w:left w:val="single" w:sz="6" w:space="0" w:color="auto"/>
              <w:bottom w:val="single" w:sz="6" w:space="0" w:color="auto"/>
              <w:right w:val="single" w:sz="6" w:space="0" w:color="auto"/>
            </w:tcBorders>
          </w:tcPr>
          <w:p w14:paraId="7EAB2A3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Null for guideline adherence; activity-type specific patterns for hours</w:t>
            </w:r>
          </w:p>
        </w:tc>
      </w:tr>
      <w:tr w:rsidR="00CF2149" w:rsidRPr="00B01F30" w14:paraId="35D1841C" w14:textId="77777777" w:rsidTr="00AE5170">
        <w:trPr>
          <w:gridAfter w:val="1"/>
          <w:wAfter w:w="8" w:type="dxa"/>
          <w:trHeight w:val="3962"/>
        </w:trPr>
        <w:tc>
          <w:tcPr>
            <w:tcW w:w="990" w:type="dxa"/>
            <w:tcBorders>
              <w:top w:val="nil"/>
              <w:left w:val="single" w:sz="6" w:space="0" w:color="auto"/>
              <w:bottom w:val="single" w:sz="6" w:space="0" w:color="auto"/>
              <w:right w:val="single" w:sz="6" w:space="0" w:color="auto"/>
            </w:tcBorders>
          </w:tcPr>
          <w:p w14:paraId="48EB462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Rodriguez-Villamizar et al.,</w:t>
            </w:r>
          </w:p>
          <w:p w14:paraId="04EFE76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900" w:type="dxa"/>
            <w:tcBorders>
              <w:top w:val="nil"/>
              <w:left w:val="single" w:sz="6" w:space="0" w:color="auto"/>
              <w:bottom w:val="single" w:sz="6" w:space="0" w:color="auto"/>
              <w:right w:val="single" w:sz="6" w:space="0" w:color="auto"/>
            </w:tcBorders>
          </w:tcPr>
          <w:p w14:paraId="028CC6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6D9ED77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01BE173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49,649.00</w:t>
            </w:r>
          </w:p>
        </w:tc>
        <w:tc>
          <w:tcPr>
            <w:tcW w:w="1080" w:type="dxa"/>
            <w:tcBorders>
              <w:top w:val="nil"/>
              <w:left w:val="single" w:sz="6" w:space="0" w:color="auto"/>
              <w:bottom w:val="single" w:sz="6" w:space="0" w:color="auto"/>
              <w:right w:val="single" w:sz="6" w:space="0" w:color="auto"/>
            </w:tcBorders>
          </w:tcPr>
          <w:p w14:paraId="748CFE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 women in the Sister Study</w:t>
            </w:r>
          </w:p>
          <w:p w14:paraId="6001FD3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35–74 years at enrollment</w:t>
            </w:r>
          </w:p>
        </w:tc>
        <w:tc>
          <w:tcPr>
            <w:tcW w:w="1440" w:type="dxa"/>
            <w:gridSpan w:val="2"/>
            <w:tcBorders>
              <w:top w:val="nil"/>
              <w:left w:val="single" w:sz="6" w:space="0" w:color="auto"/>
              <w:bottom w:val="single" w:sz="6" w:space="0" w:color="auto"/>
              <w:right w:val="single" w:sz="6" w:space="0" w:color="auto"/>
            </w:tcBorders>
          </w:tcPr>
          <w:p w14:paraId="475B36F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greenness within 250 m and 500 m of residence.</w:t>
            </w:r>
          </w:p>
        </w:tc>
        <w:tc>
          <w:tcPr>
            <w:tcW w:w="1080" w:type="dxa"/>
            <w:tcBorders>
              <w:top w:val="nil"/>
              <w:left w:val="single" w:sz="6" w:space="0" w:color="auto"/>
              <w:bottom w:val="single" w:sz="6" w:space="0" w:color="auto"/>
              <w:right w:val="single" w:sz="6" w:space="0" w:color="auto"/>
            </w:tcBorders>
          </w:tcPr>
          <w:p w14:paraId="1158665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G1 = forest/shrub/herbaceous; </w:t>
            </w:r>
          </w:p>
          <w:p w14:paraId="075BE65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G2 = G1 + developed open space</w:t>
            </w:r>
          </w:p>
        </w:tc>
        <w:tc>
          <w:tcPr>
            <w:tcW w:w="1260" w:type="dxa"/>
            <w:tcBorders>
              <w:top w:val="nil"/>
              <w:left w:val="single" w:sz="6" w:space="0" w:color="auto"/>
              <w:bottom w:val="single" w:sz="6" w:space="0" w:color="auto"/>
              <w:right w:val="single" w:sz="6" w:space="0" w:color="auto"/>
            </w:tcBorders>
          </w:tcPr>
          <w:p w14:paraId="6B9F4D7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NLCD (30 m), 2006/2011.</w:t>
            </w:r>
          </w:p>
        </w:tc>
        <w:tc>
          <w:tcPr>
            <w:tcW w:w="1377" w:type="dxa"/>
            <w:tcBorders>
              <w:top w:val="nil"/>
              <w:left w:val="single" w:sz="6" w:space="0" w:color="auto"/>
              <w:bottom w:val="single" w:sz="6" w:space="0" w:color="auto"/>
              <w:right w:val="single" w:sz="6" w:space="0" w:color="auto"/>
            </w:tcBorders>
          </w:tcPr>
          <w:p w14:paraId="596B0C1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Circular buffers around geocoded residential address (250 m, 500 m).</w:t>
            </w:r>
          </w:p>
        </w:tc>
        <w:tc>
          <w:tcPr>
            <w:tcW w:w="1143" w:type="dxa"/>
            <w:tcBorders>
              <w:top w:val="nil"/>
              <w:left w:val="single" w:sz="6" w:space="0" w:color="auto"/>
              <w:bottom w:val="single" w:sz="6" w:space="0" w:color="auto"/>
              <w:right w:val="single" w:sz="6" w:space="0" w:color="auto"/>
            </w:tcBorders>
          </w:tcPr>
          <w:p w14:paraId="7ABAD9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Tertiles </w:t>
            </w:r>
          </w:p>
          <w:p w14:paraId="6D387C8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(e.g., 500 m G2 cut-points 19.5%, 46.9%).</w:t>
            </w:r>
          </w:p>
        </w:tc>
        <w:tc>
          <w:tcPr>
            <w:tcW w:w="1253" w:type="dxa"/>
            <w:tcBorders>
              <w:top w:val="nil"/>
              <w:left w:val="single" w:sz="6" w:space="0" w:color="auto"/>
              <w:bottom w:val="single" w:sz="6" w:space="0" w:color="auto"/>
              <w:right w:val="single" w:sz="6" w:space="0" w:color="auto"/>
            </w:tcBorders>
          </w:tcPr>
          <w:p w14:paraId="2B0DB7A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484C856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Participation (yes/no) in specific recreational activities (walking, conditioning exercises, sports, running, gardening, bicycling)</w:t>
            </w:r>
          </w:p>
        </w:tc>
        <w:tc>
          <w:tcPr>
            <w:tcW w:w="1260" w:type="dxa"/>
            <w:tcBorders>
              <w:top w:val="nil"/>
              <w:left w:val="single" w:sz="6" w:space="0" w:color="auto"/>
              <w:bottom w:val="single" w:sz="6" w:space="0" w:color="auto"/>
              <w:right w:val="single" w:sz="6" w:space="0" w:color="auto"/>
            </w:tcBorders>
          </w:tcPr>
          <w:p w14:paraId="3AA759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Self-reported</w:t>
            </w:r>
          </w:p>
        </w:tc>
        <w:tc>
          <w:tcPr>
            <w:tcW w:w="1087" w:type="dxa"/>
            <w:tcBorders>
              <w:top w:val="nil"/>
              <w:left w:val="single" w:sz="6" w:space="0" w:color="auto"/>
              <w:bottom w:val="single" w:sz="6" w:space="0" w:color="auto"/>
              <w:right w:val="single" w:sz="6" w:space="0" w:color="auto"/>
            </w:tcBorders>
          </w:tcPr>
          <w:p w14:paraId="4128FD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Multivariable logistic regression.</w:t>
            </w:r>
          </w:p>
        </w:tc>
        <w:tc>
          <w:tcPr>
            <w:tcW w:w="1260" w:type="dxa"/>
            <w:tcBorders>
              <w:top w:val="nil"/>
              <w:left w:val="single" w:sz="6" w:space="0" w:color="auto"/>
              <w:bottom w:val="single" w:sz="6" w:space="0" w:color="auto"/>
              <w:right w:val="single" w:sz="6" w:space="0" w:color="auto"/>
            </w:tcBorders>
          </w:tcPr>
          <w:p w14:paraId="5C873B5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4AFC44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ethnicity, </w:t>
            </w:r>
          </w:p>
          <w:p w14:paraId="4AEE485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household income per capita,</w:t>
            </w:r>
          </w:p>
          <w:p w14:paraId="325AFE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marital status;</w:t>
            </w:r>
          </w:p>
          <w:p w14:paraId="67D1835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plus census division.</w:t>
            </w:r>
          </w:p>
        </w:tc>
        <w:tc>
          <w:tcPr>
            <w:tcW w:w="990" w:type="dxa"/>
            <w:tcBorders>
              <w:top w:val="nil"/>
              <w:left w:val="single" w:sz="6" w:space="0" w:color="auto"/>
              <w:bottom w:val="single" w:sz="6" w:space="0" w:color="auto"/>
              <w:right w:val="single" w:sz="6" w:space="0" w:color="auto"/>
            </w:tcBorders>
          </w:tcPr>
          <w:p w14:paraId="6BA80D5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440" w:type="dxa"/>
            <w:tcBorders>
              <w:top w:val="nil"/>
              <w:left w:val="single" w:sz="6" w:space="0" w:color="auto"/>
              <w:bottom w:val="single" w:sz="6" w:space="0" w:color="auto"/>
              <w:right w:val="single" w:sz="6" w:space="0" w:color="auto"/>
            </w:tcBorders>
          </w:tcPr>
          <w:p w14:paraId="2914F5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m, G2, upper vs lowest) </w:t>
            </w:r>
          </w:p>
          <w:p w14:paraId="241699B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Walking 1.11; </w:t>
            </w:r>
          </w:p>
          <w:p w14:paraId="121448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F280E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Conditioning 1.10; </w:t>
            </w:r>
          </w:p>
          <w:p w14:paraId="2EB9212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F3A6B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Sports 1.28; </w:t>
            </w:r>
          </w:p>
          <w:p w14:paraId="4F306C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FC07C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Running 1.15; </w:t>
            </w:r>
          </w:p>
          <w:p w14:paraId="668033F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F574C3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Gardening 1.46; </w:t>
            </w:r>
          </w:p>
          <w:p w14:paraId="3314F6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64E43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Bicycling 0.79.</w:t>
            </w:r>
          </w:p>
        </w:tc>
        <w:tc>
          <w:tcPr>
            <w:tcW w:w="983" w:type="dxa"/>
            <w:tcBorders>
              <w:top w:val="nil"/>
              <w:left w:val="single" w:sz="6" w:space="0" w:color="auto"/>
              <w:bottom w:val="single" w:sz="6" w:space="0" w:color="auto"/>
              <w:right w:val="single" w:sz="6" w:space="0" w:color="auto"/>
            </w:tcBorders>
          </w:tcPr>
          <w:p w14:paraId="437DF5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Walking 1.06–1.16; </w:t>
            </w:r>
          </w:p>
          <w:p w14:paraId="523C68D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28E62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Conditioning 1.05–1.16; </w:t>
            </w:r>
          </w:p>
          <w:p w14:paraId="5B74581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96411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Sports 1.19–1.38; </w:t>
            </w:r>
          </w:p>
          <w:p w14:paraId="2F079B0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1D237D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Running 1.04–1.27; </w:t>
            </w:r>
          </w:p>
          <w:p w14:paraId="08B477E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E6912D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Gardening 1.25–1.69; </w:t>
            </w:r>
          </w:p>
          <w:p w14:paraId="7003A85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75E690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Bicycling 0.73–0.87</w:t>
            </w:r>
          </w:p>
        </w:tc>
        <w:tc>
          <w:tcPr>
            <w:tcW w:w="997" w:type="dxa"/>
            <w:tcBorders>
              <w:top w:val="nil"/>
              <w:left w:val="single" w:sz="6" w:space="0" w:color="auto"/>
              <w:bottom w:val="single" w:sz="6" w:space="0" w:color="auto"/>
              <w:right w:val="single" w:sz="6" w:space="0" w:color="auto"/>
            </w:tcBorders>
          </w:tcPr>
          <w:p w14:paraId="5BEFED6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NR</w:t>
            </w:r>
          </w:p>
        </w:tc>
        <w:tc>
          <w:tcPr>
            <w:tcW w:w="1080" w:type="dxa"/>
            <w:tcBorders>
              <w:top w:val="nil"/>
              <w:left w:val="single" w:sz="6" w:space="0" w:color="auto"/>
              <w:bottom w:val="single" w:sz="6" w:space="0" w:color="auto"/>
              <w:right w:val="single" w:sz="6" w:space="0" w:color="auto"/>
            </w:tcBorders>
          </w:tcPr>
          <w:p w14:paraId="1E73B40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Positive for walking, conditioning, sports, running, gardening; </w:t>
            </w:r>
          </w:p>
          <w:p w14:paraId="57CD628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D4AB36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for bicycling.</w:t>
            </w:r>
          </w:p>
        </w:tc>
      </w:tr>
      <w:tr w:rsidR="00CF2149" w:rsidRPr="00B01F30" w14:paraId="07044280" w14:textId="77777777" w:rsidTr="00AE5170">
        <w:trPr>
          <w:gridAfter w:val="1"/>
          <w:wAfter w:w="8" w:type="dxa"/>
          <w:trHeight w:val="3315"/>
        </w:trPr>
        <w:tc>
          <w:tcPr>
            <w:tcW w:w="990" w:type="dxa"/>
            <w:tcBorders>
              <w:top w:val="nil"/>
              <w:left w:val="single" w:sz="6" w:space="0" w:color="auto"/>
              <w:bottom w:val="single" w:sz="6" w:space="0" w:color="auto"/>
              <w:right w:val="single" w:sz="6" w:space="0" w:color="auto"/>
            </w:tcBorders>
          </w:tcPr>
          <w:p w14:paraId="41C5EC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Chong et al.,</w:t>
            </w:r>
          </w:p>
          <w:p w14:paraId="610466E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2019</w:t>
            </w:r>
          </w:p>
        </w:tc>
        <w:tc>
          <w:tcPr>
            <w:tcW w:w="900" w:type="dxa"/>
            <w:tcBorders>
              <w:top w:val="nil"/>
              <w:left w:val="single" w:sz="6" w:space="0" w:color="auto"/>
              <w:bottom w:val="single" w:sz="6" w:space="0" w:color="auto"/>
              <w:right w:val="single" w:sz="6" w:space="0" w:color="auto"/>
            </w:tcBorders>
          </w:tcPr>
          <w:p w14:paraId="00EC931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Australia</w:t>
            </w:r>
          </w:p>
        </w:tc>
        <w:tc>
          <w:tcPr>
            <w:tcW w:w="900" w:type="dxa"/>
            <w:gridSpan w:val="2"/>
            <w:tcBorders>
              <w:top w:val="nil"/>
              <w:left w:val="single" w:sz="6" w:space="0" w:color="auto"/>
              <w:bottom w:val="single" w:sz="6" w:space="0" w:color="auto"/>
              <w:right w:val="single" w:sz="6" w:space="0" w:color="auto"/>
            </w:tcBorders>
          </w:tcPr>
          <w:p w14:paraId="0ED3DE2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Prospective cohort</w:t>
            </w:r>
          </w:p>
        </w:tc>
        <w:tc>
          <w:tcPr>
            <w:tcW w:w="810" w:type="dxa"/>
            <w:tcBorders>
              <w:top w:val="nil"/>
              <w:left w:val="single" w:sz="6" w:space="0" w:color="auto"/>
              <w:bottom w:val="single" w:sz="6" w:space="0" w:color="auto"/>
              <w:right w:val="single" w:sz="6" w:space="0" w:color="auto"/>
            </w:tcBorders>
          </w:tcPr>
          <w:p w14:paraId="70FD6C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18,094</w:t>
            </w:r>
          </w:p>
        </w:tc>
        <w:tc>
          <w:tcPr>
            <w:tcW w:w="1080" w:type="dxa"/>
            <w:tcBorders>
              <w:top w:val="nil"/>
              <w:left w:val="single" w:sz="6" w:space="0" w:color="auto"/>
              <w:bottom w:val="single" w:sz="6" w:space="0" w:color="auto"/>
              <w:right w:val="single" w:sz="6" w:space="0" w:color="auto"/>
            </w:tcBorders>
          </w:tcPr>
          <w:p w14:paraId="454137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from the 45 and Up Study living in Sydney SD</w:t>
            </w:r>
          </w:p>
          <w:p w14:paraId="720D8BF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≥45 years</w:t>
            </w:r>
          </w:p>
        </w:tc>
        <w:tc>
          <w:tcPr>
            <w:tcW w:w="1440" w:type="dxa"/>
            <w:gridSpan w:val="2"/>
            <w:tcBorders>
              <w:top w:val="nil"/>
              <w:left w:val="single" w:sz="6" w:space="0" w:color="auto"/>
              <w:bottom w:val="single" w:sz="6" w:space="0" w:color="auto"/>
              <w:right w:val="single" w:sz="6" w:space="0" w:color="auto"/>
            </w:tcBorders>
          </w:tcPr>
          <w:p w14:paraId="0CBEB51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greenspace within </w:t>
            </w:r>
          </w:p>
          <w:p w14:paraId="0B369F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500 m, </w:t>
            </w:r>
          </w:p>
          <w:p w14:paraId="499B8B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km, </w:t>
            </w:r>
          </w:p>
          <w:p w14:paraId="6F51E5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km </w:t>
            </w:r>
          </w:p>
          <w:p w14:paraId="33D55A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network buffers (home address)</w:t>
            </w:r>
          </w:p>
        </w:tc>
        <w:tc>
          <w:tcPr>
            <w:tcW w:w="1080" w:type="dxa"/>
            <w:tcBorders>
              <w:top w:val="nil"/>
              <w:left w:val="single" w:sz="6" w:space="0" w:color="auto"/>
              <w:bottom w:val="single" w:sz="6" w:space="0" w:color="auto"/>
              <w:right w:val="single" w:sz="6" w:space="0" w:color="auto"/>
            </w:tcBorders>
          </w:tcPr>
          <w:p w14:paraId="1AF1C04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Parks/reserves, forests, protected/recreation areas, other urban greenspaces</w:t>
            </w:r>
          </w:p>
        </w:tc>
        <w:tc>
          <w:tcPr>
            <w:tcW w:w="1260" w:type="dxa"/>
            <w:tcBorders>
              <w:top w:val="nil"/>
              <w:left w:val="single" w:sz="6" w:space="0" w:color="auto"/>
              <w:bottom w:val="single" w:sz="6" w:space="0" w:color="auto"/>
              <w:right w:val="single" w:sz="6" w:space="0" w:color="auto"/>
            </w:tcBorders>
          </w:tcPr>
          <w:p w14:paraId="476A19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StreetPro (Pitney Bowes)</w:t>
            </w:r>
          </w:p>
        </w:tc>
        <w:tc>
          <w:tcPr>
            <w:tcW w:w="1377" w:type="dxa"/>
            <w:tcBorders>
              <w:top w:val="nil"/>
              <w:left w:val="single" w:sz="6" w:space="0" w:color="auto"/>
              <w:bottom w:val="single" w:sz="6" w:space="0" w:color="auto"/>
              <w:right w:val="single" w:sz="6" w:space="0" w:color="auto"/>
            </w:tcBorders>
          </w:tcPr>
          <w:p w14:paraId="4C59203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Polygon-based road-network buffers (ArcGIS Network Analyst)</w:t>
            </w:r>
          </w:p>
        </w:tc>
        <w:tc>
          <w:tcPr>
            <w:tcW w:w="1143" w:type="dxa"/>
            <w:tcBorders>
              <w:top w:val="nil"/>
              <w:left w:val="single" w:sz="6" w:space="0" w:color="auto"/>
              <w:bottom w:val="single" w:sz="6" w:space="0" w:color="auto"/>
              <w:right w:val="single" w:sz="6" w:space="0" w:color="auto"/>
            </w:tcBorders>
          </w:tcPr>
          <w:p w14:paraId="1236EE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Categories:</w:t>
            </w:r>
          </w:p>
          <w:p w14:paraId="60590D6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0–5%, </w:t>
            </w:r>
          </w:p>
          <w:p w14:paraId="5364C7F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&gt;5–10%,</w:t>
            </w:r>
          </w:p>
          <w:p w14:paraId="5C593A5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&gt;10–15%,</w:t>
            </w:r>
          </w:p>
          <w:p w14:paraId="6620A22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&gt;15–20%,</w:t>
            </w:r>
          </w:p>
          <w:p w14:paraId="0CF99DF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&gt;20%</w:t>
            </w:r>
          </w:p>
          <w:p w14:paraId="5F2EDB5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(500 m top two combined)</w:t>
            </w:r>
          </w:p>
        </w:tc>
        <w:tc>
          <w:tcPr>
            <w:tcW w:w="1253" w:type="dxa"/>
            <w:tcBorders>
              <w:top w:val="nil"/>
              <w:left w:val="single" w:sz="6" w:space="0" w:color="auto"/>
              <w:bottom w:val="single" w:sz="6" w:space="0" w:color="auto"/>
              <w:right w:val="single" w:sz="6" w:space="0" w:color="auto"/>
            </w:tcBorders>
          </w:tcPr>
          <w:p w14:paraId="23A23A3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w:t>
            </w:r>
          </w:p>
        </w:tc>
        <w:tc>
          <w:tcPr>
            <w:tcW w:w="1260" w:type="dxa"/>
            <w:tcBorders>
              <w:top w:val="nil"/>
              <w:left w:val="single" w:sz="6" w:space="0" w:color="auto"/>
              <w:bottom w:val="single" w:sz="6" w:space="0" w:color="auto"/>
              <w:right w:val="single" w:sz="6" w:space="0" w:color="auto"/>
            </w:tcBorders>
          </w:tcPr>
          <w:p w14:paraId="219FB84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Change in walking (h/wk), total MVPA (weighted h/wk), sitting (h/wk)</w:t>
            </w:r>
          </w:p>
        </w:tc>
        <w:tc>
          <w:tcPr>
            <w:tcW w:w="1260" w:type="dxa"/>
            <w:tcBorders>
              <w:top w:val="nil"/>
              <w:left w:val="single" w:sz="6" w:space="0" w:color="auto"/>
              <w:bottom w:val="single" w:sz="6" w:space="0" w:color="auto"/>
              <w:right w:val="single" w:sz="6" w:space="0" w:color="auto"/>
            </w:tcBorders>
          </w:tcPr>
          <w:p w14:paraId="076E52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Active Australia Survey (PA); IPAQ-based sitting; self-report at both waves</w:t>
            </w:r>
          </w:p>
        </w:tc>
        <w:tc>
          <w:tcPr>
            <w:tcW w:w="1087" w:type="dxa"/>
            <w:tcBorders>
              <w:top w:val="nil"/>
              <w:left w:val="single" w:sz="6" w:space="0" w:color="auto"/>
              <w:bottom w:val="single" w:sz="6" w:space="0" w:color="auto"/>
              <w:right w:val="single" w:sz="6" w:space="0" w:color="auto"/>
            </w:tcBorders>
          </w:tcPr>
          <w:p w14:paraId="2E6EC46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GEE with compound symmetry</w:t>
            </w:r>
          </w:p>
        </w:tc>
        <w:tc>
          <w:tcPr>
            <w:tcW w:w="1260" w:type="dxa"/>
            <w:tcBorders>
              <w:top w:val="nil"/>
              <w:left w:val="single" w:sz="6" w:space="0" w:color="auto"/>
              <w:bottom w:val="single" w:sz="6" w:space="0" w:color="auto"/>
              <w:right w:val="single" w:sz="6" w:space="0" w:color="auto"/>
            </w:tcBorders>
          </w:tcPr>
          <w:p w14:paraId="6A71798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1E4F65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sex, </w:t>
            </w:r>
          </w:p>
          <w:p w14:paraId="66E6F12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44BE93C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physical functioning, </w:t>
            </w:r>
          </w:p>
          <w:p w14:paraId="5E370F2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area deprivation (IRSED), </w:t>
            </w:r>
          </w:p>
          <w:p w14:paraId="014C51C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67EA5B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follow-up time, </w:t>
            </w:r>
          </w:p>
          <w:p w14:paraId="24D70BA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baseline value of each outcome (plus duration since diagnosis in New T2D)</w:t>
            </w:r>
          </w:p>
        </w:tc>
        <w:tc>
          <w:tcPr>
            <w:tcW w:w="990" w:type="dxa"/>
            <w:tcBorders>
              <w:top w:val="nil"/>
              <w:left w:val="single" w:sz="6" w:space="0" w:color="auto"/>
              <w:bottom w:val="single" w:sz="6" w:space="0" w:color="auto"/>
              <w:right w:val="single" w:sz="6" w:space="0" w:color="auto"/>
            </w:tcBorders>
          </w:tcPr>
          <w:p w14:paraId="68E7648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change</w:t>
            </w:r>
          </w:p>
        </w:tc>
        <w:tc>
          <w:tcPr>
            <w:tcW w:w="4500" w:type="dxa"/>
            <w:gridSpan w:val="4"/>
            <w:tcBorders>
              <w:top w:val="single" w:sz="6" w:space="0" w:color="auto"/>
              <w:left w:val="single" w:sz="6" w:space="0" w:color="auto"/>
              <w:bottom w:val="single" w:sz="6" w:space="0" w:color="auto"/>
              <w:right w:val="single" w:sz="6" w:space="0" w:color="auto"/>
            </w:tcBorders>
          </w:tcPr>
          <w:p w14:paraId="10078A5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xml:space="preserve">MVPA: +0.27 h/wk </w:t>
            </w:r>
            <w:r>
              <w:rPr>
                <w:rFonts w:asciiTheme="majorBidi" w:hAnsiTheme="majorBidi" w:cstheme="majorBidi"/>
                <w:color w:val="000000"/>
                <w:kern w:val="0"/>
                <w:sz w:val="18"/>
                <w:szCs w:val="18"/>
              </w:rPr>
              <w:t xml:space="preserve">(≈95% CI −0.61 to +1.15) — derived from 0–5%: 0.34 (0.21, 0.48) vs ≥15%: 0.61 (−0.26, 1.49). Direction: </w:t>
            </w:r>
            <w:r>
              <w:rPr>
                <w:rFonts w:asciiTheme="majorBidi" w:hAnsiTheme="majorBidi" w:cstheme="majorBidi"/>
                <w:b/>
                <w:bCs/>
                <w:color w:val="000000"/>
                <w:kern w:val="0"/>
                <w:sz w:val="18"/>
                <w:szCs w:val="18"/>
              </w:rPr>
              <w:t xml:space="preserve">positive (ns). </w:t>
            </w:r>
          </w:p>
          <w:p w14:paraId="0C5337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6F93410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F335DCB" w14:textId="77777777" w:rsidR="00CF2149" w:rsidRPr="00B01F30" w:rsidRDefault="00CF2149" w:rsidP="00A136E2">
            <w:pPr>
              <w:autoSpaceDE w:val="0"/>
              <w:autoSpaceDN w:val="0"/>
              <w:adjustRightInd w:val="0"/>
              <w:jc w:val="left"/>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 xml:space="preserve">Walking: +0.09 h/wk </w:t>
            </w:r>
            <w:r>
              <w:rPr>
                <w:rFonts w:asciiTheme="majorBidi" w:hAnsiTheme="majorBidi" w:cstheme="majorBidi"/>
                <w:color w:val="000000"/>
                <w:kern w:val="0"/>
                <w:sz w:val="18"/>
                <w:szCs w:val="18"/>
              </w:rPr>
              <w:t>(≈95% CI −0.30 to +0.48) — 0–5%: 0.19 (0.13, 0.25) vs ≥15%: 0.28 (−0.11, 0.66). Direction:</w:t>
            </w:r>
            <w:r>
              <w:rPr>
                <w:rFonts w:asciiTheme="majorBidi" w:hAnsiTheme="majorBidi" w:cstheme="majorBidi"/>
                <w:b/>
                <w:bCs/>
                <w:color w:val="000000"/>
                <w:kern w:val="0"/>
                <w:sz w:val="18"/>
                <w:szCs w:val="18"/>
              </w:rPr>
              <w:t xml:space="preserve"> positive (ns). </w:t>
            </w:r>
          </w:p>
          <w:p w14:paraId="70A23F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b/>
                <w:bCs/>
                <w:color w:val="000000"/>
                <w:kern w:val="0"/>
                <w:sz w:val="18"/>
                <w:szCs w:val="18"/>
              </w:rPr>
              <w:t xml:space="preserve"> </w:t>
            </w:r>
          </w:p>
          <w:p w14:paraId="1B688DE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15194F4F" w14:textId="77777777" w:rsidR="00CF2149" w:rsidRPr="00B01F30" w:rsidRDefault="00CF2149" w:rsidP="00A136E2">
            <w:pPr>
              <w:autoSpaceDE w:val="0"/>
              <w:autoSpaceDN w:val="0"/>
              <w:adjustRightInd w:val="0"/>
              <w:jc w:val="left"/>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 xml:space="preserve">Sitting: +0.01 h/wk </w:t>
            </w:r>
            <w:r>
              <w:rPr>
                <w:rFonts w:asciiTheme="majorBidi" w:hAnsiTheme="majorBidi" w:cstheme="majorBidi"/>
                <w:color w:val="000000"/>
                <w:kern w:val="0"/>
                <w:sz w:val="18"/>
                <w:szCs w:val="18"/>
              </w:rPr>
              <w:t xml:space="preserve">(≈95% CI −0.33 to +0.34) — 0–5%: −0.51 (−0.56, −0.46) vs ≥15%: −0.50 (−0.83, −0.17). Direction: </w:t>
            </w:r>
            <w:r>
              <w:rPr>
                <w:rFonts w:asciiTheme="majorBidi" w:hAnsiTheme="majorBidi" w:cstheme="majorBidi"/>
                <w:b/>
                <w:bCs/>
                <w:color w:val="000000"/>
                <w:kern w:val="0"/>
                <w:sz w:val="18"/>
                <w:szCs w:val="18"/>
              </w:rPr>
              <w:t>null (ns).</w:t>
            </w:r>
          </w:p>
        </w:tc>
      </w:tr>
      <w:tr w:rsidR="00CF2149" w:rsidRPr="00B01F30" w14:paraId="61B47D68" w14:textId="77777777" w:rsidTr="00AE5170">
        <w:trPr>
          <w:gridAfter w:val="1"/>
          <w:wAfter w:w="8" w:type="dxa"/>
          <w:trHeight w:val="2438"/>
        </w:trPr>
        <w:tc>
          <w:tcPr>
            <w:tcW w:w="990" w:type="dxa"/>
            <w:tcBorders>
              <w:top w:val="nil"/>
              <w:left w:val="single" w:sz="6" w:space="0" w:color="auto"/>
              <w:bottom w:val="single" w:sz="6" w:space="0" w:color="auto"/>
              <w:right w:val="single" w:sz="6" w:space="0" w:color="auto"/>
            </w:tcBorders>
          </w:tcPr>
          <w:p w14:paraId="4977CF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Nigg et al.,</w:t>
            </w:r>
          </w:p>
          <w:p w14:paraId="146D2C7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900" w:type="dxa"/>
            <w:tcBorders>
              <w:top w:val="nil"/>
              <w:left w:val="single" w:sz="6" w:space="0" w:color="auto"/>
              <w:bottom w:val="single" w:sz="6" w:space="0" w:color="auto"/>
              <w:right w:val="single" w:sz="6" w:space="0" w:color="auto"/>
            </w:tcBorders>
          </w:tcPr>
          <w:p w14:paraId="3B4ED3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Germany</w:t>
            </w:r>
          </w:p>
        </w:tc>
        <w:tc>
          <w:tcPr>
            <w:tcW w:w="900" w:type="dxa"/>
            <w:gridSpan w:val="2"/>
            <w:tcBorders>
              <w:top w:val="nil"/>
              <w:left w:val="single" w:sz="6" w:space="0" w:color="auto"/>
              <w:bottom w:val="single" w:sz="6" w:space="0" w:color="auto"/>
              <w:right w:val="single" w:sz="6" w:space="0" w:color="auto"/>
            </w:tcBorders>
          </w:tcPr>
          <w:p w14:paraId="5A2316A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0F28320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923</w:t>
            </w:r>
          </w:p>
        </w:tc>
        <w:tc>
          <w:tcPr>
            <w:tcW w:w="1080" w:type="dxa"/>
            <w:tcBorders>
              <w:top w:val="nil"/>
              <w:left w:val="single" w:sz="6" w:space="0" w:color="auto"/>
              <w:bottom w:val="single" w:sz="6" w:space="0" w:color="auto"/>
              <w:right w:val="single" w:sz="6" w:space="0" w:color="auto"/>
            </w:tcBorders>
          </w:tcPr>
          <w:p w14:paraId="1413DC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Children/adolescents</w:t>
            </w:r>
          </w:p>
          <w:p w14:paraId="59030AA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6–17 y</w:t>
            </w:r>
          </w:p>
        </w:tc>
        <w:tc>
          <w:tcPr>
            <w:tcW w:w="1440" w:type="dxa"/>
            <w:gridSpan w:val="2"/>
            <w:tcBorders>
              <w:top w:val="nil"/>
              <w:left w:val="single" w:sz="6" w:space="0" w:color="auto"/>
              <w:bottom w:val="single" w:sz="6" w:space="0" w:color="auto"/>
              <w:right w:val="single" w:sz="6" w:space="0" w:color="auto"/>
            </w:tcBorders>
          </w:tcPr>
          <w:p w14:paraId="64BBF15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green space within 1000 m street-network buffer</w:t>
            </w:r>
          </w:p>
          <w:p w14:paraId="1927A16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(quartiles; stratified by urbanicity)</w:t>
            </w:r>
          </w:p>
        </w:tc>
        <w:tc>
          <w:tcPr>
            <w:tcW w:w="1080" w:type="dxa"/>
            <w:tcBorders>
              <w:top w:val="nil"/>
              <w:left w:val="single" w:sz="6" w:space="0" w:color="auto"/>
              <w:bottom w:val="single" w:sz="6" w:space="0" w:color="auto"/>
              <w:right w:val="single" w:sz="6" w:space="0" w:color="auto"/>
            </w:tcBorders>
          </w:tcPr>
          <w:p w14:paraId="2067C8B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Vegetated/semi-natural areas (forests, green urban areas, pastures); excludes agriculture and blue space</w:t>
            </w:r>
          </w:p>
        </w:tc>
        <w:tc>
          <w:tcPr>
            <w:tcW w:w="1260" w:type="dxa"/>
            <w:tcBorders>
              <w:top w:val="nil"/>
              <w:left w:val="single" w:sz="6" w:space="0" w:color="auto"/>
              <w:bottom w:val="single" w:sz="6" w:space="0" w:color="auto"/>
              <w:right w:val="single" w:sz="6" w:space="0" w:color="auto"/>
            </w:tcBorders>
          </w:tcPr>
          <w:p w14:paraId="488C7F6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DE-LBM2018 land cover/land use (CORINE-aligned);</w:t>
            </w:r>
          </w:p>
          <w:p w14:paraId="50FF971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street network Basis-DLM; </w:t>
            </w:r>
          </w:p>
          <w:p w14:paraId="7854019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urbanicity DEGURBA</w:t>
            </w:r>
          </w:p>
        </w:tc>
        <w:tc>
          <w:tcPr>
            <w:tcW w:w="1377" w:type="dxa"/>
            <w:tcBorders>
              <w:top w:val="nil"/>
              <w:left w:val="single" w:sz="6" w:space="0" w:color="auto"/>
              <w:bottom w:val="single" w:sz="6" w:space="0" w:color="auto"/>
              <w:right w:val="single" w:sz="6" w:space="0" w:color="auto"/>
            </w:tcBorders>
          </w:tcPr>
          <w:p w14:paraId="49CD7BC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Street-network service-area buffers</w:t>
            </w:r>
          </w:p>
        </w:tc>
        <w:tc>
          <w:tcPr>
            <w:tcW w:w="1143" w:type="dxa"/>
            <w:tcBorders>
              <w:top w:val="nil"/>
              <w:left w:val="single" w:sz="6" w:space="0" w:color="auto"/>
              <w:bottom w:val="single" w:sz="6" w:space="0" w:color="auto"/>
              <w:right w:val="single" w:sz="6" w:space="0" w:color="auto"/>
            </w:tcBorders>
          </w:tcPr>
          <w:p w14:paraId="6B11980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Quartiles of % green within each urbanicity level</w:t>
            </w:r>
          </w:p>
        </w:tc>
        <w:tc>
          <w:tcPr>
            <w:tcW w:w="1253" w:type="dxa"/>
            <w:tcBorders>
              <w:top w:val="nil"/>
              <w:left w:val="single" w:sz="6" w:space="0" w:color="auto"/>
              <w:bottom w:val="single" w:sz="6" w:space="0" w:color="auto"/>
              <w:right w:val="single" w:sz="6" w:space="0" w:color="auto"/>
            </w:tcBorders>
          </w:tcPr>
          <w:p w14:paraId="1D01C9C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residential buffer</w:t>
            </w:r>
          </w:p>
        </w:tc>
        <w:tc>
          <w:tcPr>
            <w:tcW w:w="1260" w:type="dxa"/>
            <w:tcBorders>
              <w:top w:val="nil"/>
              <w:left w:val="single" w:sz="6" w:space="0" w:color="auto"/>
              <w:bottom w:val="single" w:sz="6" w:space="0" w:color="auto"/>
              <w:right w:val="single" w:sz="6" w:space="0" w:color="auto"/>
            </w:tcBorders>
          </w:tcPr>
          <w:p w14:paraId="68A719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(min/day)</w:t>
            </w:r>
          </w:p>
        </w:tc>
        <w:tc>
          <w:tcPr>
            <w:tcW w:w="1260" w:type="dxa"/>
            <w:tcBorders>
              <w:top w:val="nil"/>
              <w:left w:val="single" w:sz="6" w:space="0" w:color="auto"/>
              <w:bottom w:val="single" w:sz="6" w:space="0" w:color="auto"/>
              <w:right w:val="single" w:sz="6" w:space="0" w:color="auto"/>
            </w:tcBorders>
          </w:tcPr>
          <w:p w14:paraId="6D87830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(ActiGraph GT3X+/wGT3X-BT); 15-s epochs; wear-time criteria applied</w:t>
            </w:r>
          </w:p>
        </w:tc>
        <w:tc>
          <w:tcPr>
            <w:tcW w:w="1087" w:type="dxa"/>
            <w:tcBorders>
              <w:top w:val="nil"/>
              <w:left w:val="single" w:sz="6" w:space="0" w:color="auto"/>
              <w:bottom w:val="single" w:sz="6" w:space="0" w:color="auto"/>
              <w:right w:val="single" w:sz="6" w:space="0" w:color="auto"/>
            </w:tcBorders>
          </w:tcPr>
          <w:p w14:paraId="02B9826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260" w:type="dxa"/>
            <w:tcBorders>
              <w:top w:val="nil"/>
              <w:left w:val="single" w:sz="6" w:space="0" w:color="auto"/>
              <w:bottom w:val="single" w:sz="6" w:space="0" w:color="auto"/>
              <w:right w:val="single" w:sz="6" w:space="0" w:color="auto"/>
            </w:tcBorders>
          </w:tcPr>
          <w:p w14:paraId="21CB5B9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 group,</w:t>
            </w:r>
          </w:p>
          <w:p w14:paraId="11858AF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gender, </w:t>
            </w:r>
          </w:p>
          <w:p w14:paraId="4B31382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SES, </w:t>
            </w:r>
          </w:p>
          <w:p w14:paraId="3A43941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category, </w:t>
            </w:r>
          </w:p>
          <w:p w14:paraId="4D944BF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wear time, </w:t>
            </w:r>
          </w:p>
          <w:p w14:paraId="4D32D2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season</w:t>
            </w:r>
          </w:p>
        </w:tc>
        <w:tc>
          <w:tcPr>
            <w:tcW w:w="990" w:type="dxa"/>
            <w:tcBorders>
              <w:top w:val="nil"/>
              <w:left w:val="single" w:sz="6" w:space="0" w:color="auto"/>
              <w:bottom w:val="single" w:sz="6" w:space="0" w:color="auto"/>
              <w:right w:val="single" w:sz="6" w:space="0" w:color="auto"/>
            </w:tcBorders>
          </w:tcPr>
          <w:p w14:paraId="31C3DE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 group, gender, SES, BMI category, accelerometer wear time, season</w:t>
            </w:r>
          </w:p>
        </w:tc>
        <w:tc>
          <w:tcPr>
            <w:tcW w:w="1440" w:type="dxa"/>
            <w:tcBorders>
              <w:top w:val="nil"/>
              <w:left w:val="single" w:sz="6" w:space="0" w:color="auto"/>
              <w:bottom w:val="single" w:sz="6" w:space="0" w:color="auto"/>
              <w:right w:val="single" w:sz="6" w:space="0" w:color="auto"/>
            </w:tcBorders>
          </w:tcPr>
          <w:p w14:paraId="423B19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Rural —</w:t>
            </w:r>
          </w:p>
          <w:p w14:paraId="704F521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Middle: −6.74; </w:t>
            </w:r>
          </w:p>
          <w:p w14:paraId="2E0E2F5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Upper: −6.77</w:t>
            </w:r>
          </w:p>
        </w:tc>
        <w:tc>
          <w:tcPr>
            <w:tcW w:w="983" w:type="dxa"/>
            <w:tcBorders>
              <w:top w:val="nil"/>
              <w:left w:val="single" w:sz="6" w:space="0" w:color="auto"/>
              <w:bottom w:val="single" w:sz="6" w:space="0" w:color="auto"/>
              <w:right w:val="single" w:sz="6" w:space="0" w:color="auto"/>
            </w:tcBorders>
          </w:tcPr>
          <w:p w14:paraId="713A68A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Middle: −13.02 to −0.46; </w:t>
            </w:r>
          </w:p>
          <w:p w14:paraId="68CEB9C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Upper: −13.05 to −0.50</w:t>
            </w:r>
          </w:p>
        </w:tc>
        <w:tc>
          <w:tcPr>
            <w:tcW w:w="997" w:type="dxa"/>
            <w:tcBorders>
              <w:top w:val="nil"/>
              <w:left w:val="single" w:sz="6" w:space="0" w:color="auto"/>
              <w:bottom w:val="single" w:sz="6" w:space="0" w:color="auto"/>
              <w:right w:val="single" w:sz="6" w:space="0" w:color="auto"/>
            </w:tcBorders>
          </w:tcPr>
          <w:p w14:paraId="5DB99D6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Both 0.035</w:t>
            </w:r>
          </w:p>
        </w:tc>
        <w:tc>
          <w:tcPr>
            <w:tcW w:w="1080" w:type="dxa"/>
            <w:tcBorders>
              <w:top w:val="nil"/>
              <w:left w:val="single" w:sz="6" w:space="0" w:color="auto"/>
              <w:bottom w:val="single" w:sz="6" w:space="0" w:color="auto"/>
              <w:right w:val="single" w:sz="6" w:space="0" w:color="auto"/>
            </w:tcBorders>
          </w:tcPr>
          <w:p w14:paraId="34D81BE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Negative in rural (middle/upper vs bottom); null in towns/cities (main effects).</w:t>
            </w:r>
          </w:p>
        </w:tc>
      </w:tr>
      <w:tr w:rsidR="00CF2149" w:rsidRPr="00B01F30" w14:paraId="4AA13404" w14:textId="77777777" w:rsidTr="00AE5170">
        <w:trPr>
          <w:gridAfter w:val="1"/>
          <w:wAfter w:w="8" w:type="dxa"/>
          <w:trHeight w:val="5184"/>
        </w:trPr>
        <w:tc>
          <w:tcPr>
            <w:tcW w:w="990" w:type="dxa"/>
            <w:tcBorders>
              <w:top w:val="nil"/>
              <w:left w:val="single" w:sz="6" w:space="0" w:color="auto"/>
              <w:bottom w:val="single" w:sz="6" w:space="0" w:color="auto"/>
              <w:right w:val="single" w:sz="6" w:space="0" w:color="auto"/>
            </w:tcBorders>
          </w:tcPr>
          <w:p w14:paraId="643BF9F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Lin et al.,</w:t>
            </w:r>
          </w:p>
          <w:p w14:paraId="6BF143E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900" w:type="dxa"/>
            <w:tcBorders>
              <w:top w:val="nil"/>
              <w:left w:val="single" w:sz="6" w:space="0" w:color="auto"/>
              <w:bottom w:val="single" w:sz="6" w:space="0" w:color="auto"/>
              <w:right w:val="single" w:sz="6" w:space="0" w:color="auto"/>
            </w:tcBorders>
          </w:tcPr>
          <w:p w14:paraId="21C6161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Taiwan</w:t>
            </w:r>
          </w:p>
        </w:tc>
        <w:tc>
          <w:tcPr>
            <w:tcW w:w="900" w:type="dxa"/>
            <w:gridSpan w:val="2"/>
            <w:tcBorders>
              <w:top w:val="nil"/>
              <w:left w:val="single" w:sz="6" w:space="0" w:color="auto"/>
              <w:bottom w:val="single" w:sz="6" w:space="0" w:color="auto"/>
              <w:right w:val="single" w:sz="6" w:space="0" w:color="auto"/>
            </w:tcBorders>
          </w:tcPr>
          <w:p w14:paraId="4749191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5A54407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214</w:t>
            </w:r>
          </w:p>
        </w:tc>
        <w:tc>
          <w:tcPr>
            <w:tcW w:w="1080" w:type="dxa"/>
            <w:tcBorders>
              <w:top w:val="nil"/>
              <w:left w:val="single" w:sz="6" w:space="0" w:color="auto"/>
              <w:bottom w:val="single" w:sz="6" w:space="0" w:color="auto"/>
              <w:right w:val="single" w:sz="6" w:space="0" w:color="auto"/>
            </w:tcBorders>
          </w:tcPr>
          <w:p w14:paraId="6D39655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adults</w:t>
            </w:r>
          </w:p>
          <w:p w14:paraId="4DF204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 years</w:t>
            </w:r>
          </w:p>
        </w:tc>
        <w:tc>
          <w:tcPr>
            <w:tcW w:w="1440" w:type="dxa"/>
            <w:gridSpan w:val="2"/>
            <w:tcBorders>
              <w:top w:val="nil"/>
              <w:left w:val="single" w:sz="6" w:space="0" w:color="auto"/>
              <w:bottom w:val="single" w:sz="6" w:space="0" w:color="auto"/>
              <w:right w:val="single" w:sz="6" w:space="0" w:color="auto"/>
            </w:tcBorders>
          </w:tcPr>
          <w:p w14:paraId="58B348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parks within residential buffers</w:t>
            </w:r>
          </w:p>
        </w:tc>
        <w:tc>
          <w:tcPr>
            <w:tcW w:w="1080" w:type="dxa"/>
            <w:tcBorders>
              <w:top w:val="nil"/>
              <w:left w:val="single" w:sz="6" w:space="0" w:color="auto"/>
              <w:bottom w:val="single" w:sz="6" w:space="0" w:color="auto"/>
              <w:right w:val="single" w:sz="6" w:space="0" w:color="auto"/>
            </w:tcBorders>
          </w:tcPr>
          <w:p w14:paraId="7103224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open spaces for recreation, managed by local authorities</w:t>
            </w:r>
          </w:p>
        </w:tc>
        <w:tc>
          <w:tcPr>
            <w:tcW w:w="1260" w:type="dxa"/>
            <w:tcBorders>
              <w:top w:val="nil"/>
              <w:left w:val="single" w:sz="6" w:space="0" w:color="auto"/>
              <w:bottom w:val="single" w:sz="6" w:space="0" w:color="auto"/>
              <w:right w:val="single" w:sz="6" w:space="0" w:color="auto"/>
            </w:tcBorders>
          </w:tcPr>
          <w:p w14:paraId="204672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National Land Surveying &amp; Mapping Center, Ministry of the Interior (Taiwan)</w:t>
            </w:r>
          </w:p>
        </w:tc>
        <w:tc>
          <w:tcPr>
            <w:tcW w:w="1377" w:type="dxa"/>
            <w:tcBorders>
              <w:top w:val="nil"/>
              <w:left w:val="single" w:sz="6" w:space="0" w:color="auto"/>
              <w:bottom w:val="single" w:sz="6" w:space="0" w:color="auto"/>
              <w:right w:val="single" w:sz="6" w:space="0" w:color="auto"/>
            </w:tcBorders>
          </w:tcPr>
          <w:p w14:paraId="499722B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Euclidean residential buffers</w:t>
            </w:r>
          </w:p>
        </w:tc>
        <w:tc>
          <w:tcPr>
            <w:tcW w:w="1143" w:type="dxa"/>
            <w:tcBorders>
              <w:top w:val="nil"/>
              <w:left w:val="single" w:sz="6" w:space="0" w:color="auto"/>
              <w:bottom w:val="single" w:sz="6" w:space="0" w:color="auto"/>
              <w:right w:val="single" w:sz="6" w:space="0" w:color="auto"/>
            </w:tcBorders>
          </w:tcPr>
          <w:p w14:paraId="461B44F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Buffer radii 400 m, 800 m, 1,600 m </w:t>
            </w:r>
          </w:p>
        </w:tc>
        <w:tc>
          <w:tcPr>
            <w:tcW w:w="1253" w:type="dxa"/>
            <w:tcBorders>
              <w:top w:val="nil"/>
              <w:left w:val="single" w:sz="6" w:space="0" w:color="auto"/>
              <w:bottom w:val="single" w:sz="6" w:space="0" w:color="auto"/>
              <w:right w:val="single" w:sz="6" w:space="0" w:color="auto"/>
            </w:tcBorders>
          </w:tcPr>
          <w:p w14:paraId="1F32391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residence buffers</w:t>
            </w:r>
          </w:p>
        </w:tc>
        <w:tc>
          <w:tcPr>
            <w:tcW w:w="1260" w:type="dxa"/>
            <w:tcBorders>
              <w:top w:val="nil"/>
              <w:left w:val="single" w:sz="6" w:space="0" w:color="auto"/>
              <w:bottom w:val="single" w:sz="6" w:space="0" w:color="auto"/>
              <w:right w:val="single" w:sz="6" w:space="0" w:color="auto"/>
            </w:tcBorders>
          </w:tcPr>
          <w:p w14:paraId="64C5BE8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Steps; </w:t>
            </w:r>
          </w:p>
          <w:p w14:paraId="112B86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LPA; </w:t>
            </w:r>
          </w:p>
          <w:p w14:paraId="4DC1A8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MVPA; </w:t>
            </w:r>
          </w:p>
          <w:p w14:paraId="197701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Sedentary time</w:t>
            </w:r>
          </w:p>
        </w:tc>
        <w:tc>
          <w:tcPr>
            <w:tcW w:w="1260" w:type="dxa"/>
            <w:tcBorders>
              <w:top w:val="nil"/>
              <w:left w:val="single" w:sz="6" w:space="0" w:color="auto"/>
              <w:bottom w:val="single" w:sz="6" w:space="0" w:color="auto"/>
              <w:right w:val="single" w:sz="6" w:space="0" w:color="auto"/>
            </w:tcBorders>
          </w:tcPr>
          <w:p w14:paraId="059353F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ActiGraph wGT3X-BT accelerometer</w:t>
            </w:r>
          </w:p>
        </w:tc>
        <w:tc>
          <w:tcPr>
            <w:tcW w:w="1087" w:type="dxa"/>
            <w:tcBorders>
              <w:top w:val="nil"/>
              <w:left w:val="single" w:sz="6" w:space="0" w:color="auto"/>
              <w:bottom w:val="single" w:sz="6" w:space="0" w:color="auto"/>
              <w:right w:val="single" w:sz="6" w:space="0" w:color="auto"/>
            </w:tcBorders>
          </w:tcPr>
          <w:p w14:paraId="000938E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linear regression</w:t>
            </w:r>
          </w:p>
        </w:tc>
        <w:tc>
          <w:tcPr>
            <w:tcW w:w="1260" w:type="dxa"/>
            <w:tcBorders>
              <w:top w:val="nil"/>
              <w:left w:val="single" w:sz="6" w:space="0" w:color="auto"/>
              <w:bottom w:val="single" w:sz="6" w:space="0" w:color="auto"/>
              <w:right w:val="single" w:sz="6" w:space="0" w:color="auto"/>
            </w:tcBorders>
          </w:tcPr>
          <w:p w14:paraId="7CD78C7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7433A5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7C551DB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education,</w:t>
            </w:r>
          </w:p>
          <w:p w14:paraId="686107D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living status, </w:t>
            </w:r>
          </w:p>
          <w:p w14:paraId="6D7766C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18AFA52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hypertension, </w:t>
            </w:r>
          </w:p>
          <w:p w14:paraId="2560C65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hyperlipidaemia</w:t>
            </w:r>
          </w:p>
          <w:p w14:paraId="0CA55E9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diabetes, </w:t>
            </w:r>
          </w:p>
          <w:p w14:paraId="3F2A3A5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cognitive function, </w:t>
            </w:r>
          </w:p>
          <w:p w14:paraId="520D0EF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nutritional status, </w:t>
            </w:r>
          </w:p>
          <w:p w14:paraId="5A051BF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smoking, alcohol, </w:t>
            </w:r>
          </w:p>
          <w:p w14:paraId="110F7A1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wear time</w:t>
            </w:r>
          </w:p>
        </w:tc>
        <w:tc>
          <w:tcPr>
            <w:tcW w:w="990" w:type="dxa"/>
            <w:tcBorders>
              <w:top w:val="nil"/>
              <w:left w:val="single" w:sz="6" w:space="0" w:color="auto"/>
              <w:bottom w:val="single" w:sz="6" w:space="0" w:color="auto"/>
              <w:right w:val="single" w:sz="6" w:space="0" w:color="auto"/>
            </w:tcBorders>
          </w:tcPr>
          <w:p w14:paraId="19CBEBF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coefficient (B)</w:t>
            </w:r>
          </w:p>
        </w:tc>
        <w:tc>
          <w:tcPr>
            <w:tcW w:w="4500" w:type="dxa"/>
            <w:gridSpan w:val="4"/>
            <w:tcBorders>
              <w:top w:val="single" w:sz="6" w:space="0" w:color="auto"/>
              <w:left w:val="single" w:sz="6" w:space="0" w:color="auto"/>
              <w:bottom w:val="single" w:sz="6" w:space="0" w:color="auto"/>
              <w:right w:val="single" w:sz="6" w:space="0" w:color="auto"/>
            </w:tcBorders>
          </w:tcPr>
          <w:p w14:paraId="3F286F9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Steps: B = 0.02 | 0.01–0.04 | 0.003 | Positive</w:t>
            </w:r>
          </w:p>
          <w:p w14:paraId="0D4E06A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56195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LPA (min/day): B = 0.01 | 0.00–0.01 | 0.043 | Positive</w:t>
            </w:r>
          </w:p>
          <w:p w14:paraId="0B9FD48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0DA96A2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(min/day): B = 0.07 | −0.03–0.17 | 0.18 | Null</w:t>
            </w:r>
          </w:p>
          <w:p w14:paraId="375B3B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204BBB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Sedentary time (min/day): B = −2.00 | −3.77–−0.24 | 0.026 | Negative</w:t>
            </w:r>
          </w:p>
        </w:tc>
      </w:tr>
      <w:tr w:rsidR="00CF2149" w:rsidRPr="00B01F30" w14:paraId="45D2B19F" w14:textId="77777777" w:rsidTr="00AE5170">
        <w:trPr>
          <w:gridAfter w:val="1"/>
          <w:wAfter w:w="8" w:type="dxa"/>
          <w:trHeight w:val="3225"/>
        </w:trPr>
        <w:tc>
          <w:tcPr>
            <w:tcW w:w="990" w:type="dxa"/>
            <w:tcBorders>
              <w:top w:val="nil"/>
              <w:left w:val="single" w:sz="6" w:space="0" w:color="auto"/>
              <w:bottom w:val="single" w:sz="6" w:space="0" w:color="auto"/>
              <w:right w:val="single" w:sz="6" w:space="0" w:color="auto"/>
            </w:tcBorders>
          </w:tcPr>
          <w:p w14:paraId="2555589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 xml:space="preserve">Motomura et al.,</w:t>
            </w:r>
          </w:p>
          <w:p w14:paraId="563387B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2024</w:t>
            </w:r>
          </w:p>
        </w:tc>
        <w:tc>
          <w:tcPr>
            <w:tcW w:w="900" w:type="dxa"/>
            <w:tcBorders>
              <w:top w:val="nil"/>
              <w:left w:val="single" w:sz="6" w:space="0" w:color="auto"/>
              <w:bottom w:val="single" w:sz="6" w:space="0" w:color="auto"/>
              <w:right w:val="single" w:sz="6" w:space="0" w:color="auto"/>
            </w:tcBorders>
          </w:tcPr>
          <w:p w14:paraId="11EA7DE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Japan</w:t>
            </w:r>
          </w:p>
        </w:tc>
        <w:tc>
          <w:tcPr>
            <w:tcW w:w="900" w:type="dxa"/>
            <w:gridSpan w:val="2"/>
            <w:tcBorders>
              <w:top w:val="nil"/>
              <w:left w:val="single" w:sz="6" w:space="0" w:color="auto"/>
              <w:bottom w:val="single" w:sz="6" w:space="0" w:color="auto"/>
              <w:right w:val="single" w:sz="6" w:space="0" w:color="auto"/>
            </w:tcBorders>
          </w:tcPr>
          <w:p w14:paraId="6BECDB8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78AE0D3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276</w:t>
            </w:r>
          </w:p>
        </w:tc>
        <w:tc>
          <w:tcPr>
            <w:tcW w:w="1080" w:type="dxa"/>
            <w:tcBorders>
              <w:top w:val="nil"/>
              <w:left w:val="single" w:sz="6" w:space="0" w:color="auto"/>
              <w:bottom w:val="single" w:sz="6" w:space="0" w:color="auto"/>
              <w:right w:val="single" w:sz="6" w:space="0" w:color="auto"/>
            </w:tcBorders>
          </w:tcPr>
          <w:p w14:paraId="483D4AD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Community-dwelling older adults</w:t>
            </w:r>
          </w:p>
          <w:p w14:paraId="726D414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65–84y</w:t>
            </w:r>
          </w:p>
        </w:tc>
        <w:tc>
          <w:tcPr>
            <w:tcW w:w="1440" w:type="dxa"/>
            <w:gridSpan w:val="2"/>
            <w:tcBorders>
              <w:top w:val="nil"/>
              <w:left w:val="single" w:sz="6" w:space="0" w:color="auto"/>
              <w:bottom w:val="single" w:sz="6" w:space="0" w:color="auto"/>
              <w:right w:val="single" w:sz="6" w:space="0" w:color="auto"/>
            </w:tcBorders>
          </w:tcPr>
          <w:p w14:paraId="646DD71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nearest &amp; second-nearest park; count of parks within buffers</w:t>
            </w:r>
          </w:p>
        </w:tc>
        <w:tc>
          <w:tcPr>
            <w:tcW w:w="1080" w:type="dxa"/>
            <w:tcBorders>
              <w:top w:val="nil"/>
              <w:left w:val="single" w:sz="6" w:space="0" w:color="auto"/>
              <w:bottom w:val="single" w:sz="6" w:space="0" w:color="auto"/>
              <w:right w:val="single" w:sz="6" w:space="0" w:color="auto"/>
            </w:tcBorders>
          </w:tcPr>
          <w:p w14:paraId="64E29F3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Public parks/green spaces per Japan’s National Urban Park Law</w:t>
            </w:r>
          </w:p>
        </w:tc>
        <w:tc>
          <w:tcPr>
            <w:tcW w:w="1260" w:type="dxa"/>
            <w:tcBorders>
              <w:top w:val="nil"/>
              <w:left w:val="single" w:sz="6" w:space="0" w:color="auto"/>
              <w:bottom w:val="single" w:sz="6" w:space="0" w:color="auto"/>
              <w:right w:val="single" w:sz="6" w:space="0" w:color="auto"/>
            </w:tcBorders>
          </w:tcPr>
          <w:p w14:paraId="6502205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National Land Numerical Information (Japan)</w:t>
            </w:r>
          </w:p>
        </w:tc>
        <w:tc>
          <w:tcPr>
            <w:tcW w:w="1377" w:type="dxa"/>
            <w:tcBorders>
              <w:top w:val="nil"/>
              <w:left w:val="single" w:sz="6" w:space="0" w:color="auto"/>
              <w:bottom w:val="single" w:sz="6" w:space="0" w:color="auto"/>
              <w:right w:val="single" w:sz="6" w:space="0" w:color="auto"/>
            </w:tcBorders>
          </w:tcPr>
          <w:p w14:paraId="1D9EDDD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GIS, street-network distances &amp; buffers</w:t>
            </w:r>
          </w:p>
        </w:tc>
        <w:tc>
          <w:tcPr>
            <w:tcW w:w="1143" w:type="dxa"/>
            <w:tcBorders>
              <w:top w:val="nil"/>
              <w:left w:val="single" w:sz="6" w:space="0" w:color="auto"/>
              <w:bottom w:val="single" w:sz="6" w:space="0" w:color="auto"/>
              <w:right w:val="single" w:sz="6" w:space="0" w:color="auto"/>
            </w:tcBorders>
          </w:tcPr>
          <w:p w14:paraId="72B1DBE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800 m and 1,600 m network buffers</w:t>
            </w:r>
          </w:p>
        </w:tc>
        <w:tc>
          <w:tcPr>
            <w:tcW w:w="1253" w:type="dxa"/>
            <w:tcBorders>
              <w:top w:val="nil"/>
              <w:left w:val="single" w:sz="6" w:space="0" w:color="auto"/>
              <w:bottom w:val="single" w:sz="6" w:space="0" w:color="auto"/>
              <w:right w:val="single" w:sz="6" w:space="0" w:color="auto"/>
            </w:tcBorders>
          </w:tcPr>
          <w:p w14:paraId="2C4DC90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Individual residence–centered buffers</w:t>
            </w:r>
          </w:p>
        </w:tc>
        <w:tc>
          <w:tcPr>
            <w:tcW w:w="1260" w:type="dxa"/>
            <w:tcBorders>
              <w:top w:val="nil"/>
              <w:left w:val="single" w:sz="6" w:space="0" w:color="auto"/>
              <w:bottom w:val="single" w:sz="6" w:space="0" w:color="auto"/>
              <w:right w:val="single" w:sz="6" w:space="0" w:color="auto"/>
            </w:tcBorders>
          </w:tcPr>
          <w:p w14:paraId="3F257CC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Light PA (min/day); </w:t>
            </w:r>
          </w:p>
          <w:p w14:paraId="1C311F2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(min/day);</w:t>
            </w:r>
          </w:p>
          <w:p w14:paraId="2385303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Sedentary time (min/day); </w:t>
            </w:r>
          </w:p>
          <w:p w14:paraId="4796F9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Breaks in sedentary behavior (times per sedentary hour)</w:t>
            </w:r>
          </w:p>
        </w:tc>
        <w:tc>
          <w:tcPr>
            <w:tcW w:w="1260" w:type="dxa"/>
            <w:tcBorders>
              <w:top w:val="nil"/>
              <w:left w:val="single" w:sz="6" w:space="0" w:color="auto"/>
              <w:bottom w:val="single" w:sz="6" w:space="0" w:color="auto"/>
              <w:right w:val="single" w:sz="6" w:space="0" w:color="auto"/>
            </w:tcBorders>
          </w:tcPr>
          <w:p w14:paraId="05E42B1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Accelerometer </w:t>
            </w:r>
          </w:p>
          <w:p w14:paraId="1D5514D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(Omron Active Style Pro HJA-350IT)</w:t>
            </w:r>
          </w:p>
        </w:tc>
        <w:tc>
          <w:tcPr>
            <w:tcW w:w="1087" w:type="dxa"/>
            <w:tcBorders>
              <w:top w:val="nil"/>
              <w:left w:val="single" w:sz="6" w:space="0" w:color="auto"/>
              <w:bottom w:val="single" w:sz="6" w:space="0" w:color="auto"/>
              <w:right w:val="single" w:sz="6" w:space="0" w:color="auto"/>
            </w:tcBorders>
          </w:tcPr>
          <w:p w14:paraId="640CC0D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Multiple linear regression</w:t>
            </w:r>
          </w:p>
        </w:tc>
        <w:tc>
          <w:tcPr>
            <w:tcW w:w="1260" w:type="dxa"/>
            <w:tcBorders>
              <w:top w:val="nil"/>
              <w:left w:val="single" w:sz="6" w:space="0" w:color="auto"/>
              <w:bottom w:val="single" w:sz="6" w:space="0" w:color="auto"/>
              <w:right w:val="single" w:sz="6" w:space="0" w:color="auto"/>
            </w:tcBorders>
          </w:tcPr>
          <w:p w14:paraId="584EB7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EF38F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40D385D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economic status, </w:t>
            </w:r>
          </w:p>
          <w:p w14:paraId="0DC1AEF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education, </w:t>
            </w:r>
          </w:p>
          <w:p w14:paraId="5A62263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living/marital/working status, </w:t>
            </w:r>
          </w:p>
          <w:p w14:paraId="0261598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length of residence, </w:t>
            </w:r>
          </w:p>
          <w:p w14:paraId="6BB3B34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number of chronic diseases, </w:t>
            </w:r>
          </w:p>
          <w:p w14:paraId="67F1AFF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depression, </w:t>
            </w:r>
          </w:p>
          <w:p w14:paraId="3DF798C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accelerometer wear time</w:t>
            </w:r>
          </w:p>
        </w:tc>
        <w:tc>
          <w:tcPr>
            <w:tcW w:w="990" w:type="dxa"/>
            <w:tcBorders>
              <w:top w:val="nil"/>
              <w:left w:val="single" w:sz="6" w:space="0" w:color="auto"/>
              <w:bottom w:val="single" w:sz="6" w:space="0" w:color="auto"/>
              <w:right w:val="single" w:sz="6" w:space="0" w:color="auto"/>
            </w:tcBorders>
          </w:tcPr>
          <w:p w14:paraId="5EACD72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Unstandardized coefficient (B)</w:t>
            </w:r>
          </w:p>
        </w:tc>
        <w:tc>
          <w:tcPr>
            <w:tcW w:w="4500" w:type="dxa"/>
            <w:gridSpan w:val="4"/>
            <w:tcBorders>
              <w:top w:val="nil"/>
              <w:left w:val="single" w:sz="6" w:space="0" w:color="auto"/>
              <w:bottom w:val="single" w:sz="6" w:space="0" w:color="auto"/>
              <w:right w:val="single" w:sz="6" w:space="0" w:color="auto"/>
            </w:tcBorders>
          </w:tcPr>
          <w:p w14:paraId="27C7746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Count of parks within 1,600 m → Breaks per sedentary hour: B = 0.31, 95% CI 0.02–0.59, p&lt;0.05, positive</w:t>
            </w:r>
          </w:p>
          <w:p w14:paraId="29C9367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73C0D3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All other park–outcome associations (LPA, MVPA, sedentary time; other park metrics): NS (null)</w:t>
            </w:r>
          </w:p>
        </w:tc>
      </w:tr>
      <w:tr w:rsidR="00CF2149" w:rsidRPr="00B01F30" w14:paraId="0BCE0B3A" w14:textId="77777777" w:rsidTr="00AE5170">
        <w:trPr>
          <w:gridAfter w:val="1"/>
          <w:wAfter w:w="8" w:type="dxa"/>
          <w:trHeight w:val="1083"/>
        </w:trPr>
        <w:tc>
          <w:tcPr>
            <w:tcW w:w="990" w:type="dxa"/>
            <w:tcBorders>
              <w:top w:val="nil"/>
              <w:left w:val="single" w:sz="6" w:space="0" w:color="auto"/>
              <w:bottom w:val="single" w:sz="6" w:space="0" w:color="auto"/>
              <w:right w:val="single" w:sz="6" w:space="0" w:color="auto"/>
            </w:tcBorders>
          </w:tcPr>
          <w:p w14:paraId="3EF4E9A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Kaczynski AT et al.</w:t>
            </w:r>
          </w:p>
          <w:p w14:paraId="54B514D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2014</w:t>
            </w:r>
          </w:p>
        </w:tc>
        <w:tc>
          <w:tcPr>
            <w:tcW w:w="900" w:type="dxa"/>
            <w:tcBorders>
              <w:top w:val="nil"/>
              <w:left w:val="single" w:sz="6" w:space="0" w:color="auto"/>
              <w:bottom w:val="single" w:sz="6" w:space="0" w:color="auto"/>
              <w:right w:val="single" w:sz="6" w:space="0" w:color="auto"/>
            </w:tcBorders>
          </w:tcPr>
          <w:p w14:paraId="41ED868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USA</w:t>
            </w:r>
          </w:p>
        </w:tc>
        <w:tc>
          <w:tcPr>
            <w:tcW w:w="900" w:type="dxa"/>
            <w:gridSpan w:val="2"/>
            <w:tcBorders>
              <w:top w:val="nil"/>
              <w:left w:val="single" w:sz="6" w:space="0" w:color="auto"/>
              <w:bottom w:val="single" w:sz="6" w:space="0" w:color="auto"/>
              <w:right w:val="single" w:sz="6" w:space="0" w:color="auto"/>
            </w:tcBorders>
          </w:tcPr>
          <w:p w14:paraId="504DA2C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4D6ABB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893</w:t>
            </w:r>
          </w:p>
        </w:tc>
        <w:tc>
          <w:tcPr>
            <w:tcW w:w="1080" w:type="dxa"/>
            <w:tcBorders>
              <w:top w:val="nil"/>
              <w:left w:val="single" w:sz="6" w:space="0" w:color="auto"/>
              <w:bottom w:val="single" w:sz="6" w:space="0" w:color="auto"/>
              <w:right w:val="single" w:sz="6" w:space="0" w:color="auto"/>
            </w:tcBorders>
          </w:tcPr>
          <w:p w14:paraId="1295FCB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Adults from randomly-selected households.</w:t>
            </w:r>
          </w:p>
          <w:p w14:paraId="1F0CFE6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18–98 years</w:t>
            </w:r>
          </w:p>
        </w:tc>
        <w:tc>
          <w:tcPr>
            <w:tcW w:w="1440" w:type="dxa"/>
            <w:gridSpan w:val="2"/>
            <w:tcBorders>
              <w:top w:val="nil"/>
              <w:left w:val="single" w:sz="6" w:space="0" w:color="auto"/>
              <w:bottom w:val="single" w:sz="6" w:space="0" w:color="auto"/>
              <w:right w:val="single" w:sz="6" w:space="0" w:color="auto"/>
            </w:tcBorders>
          </w:tcPr>
          <w:p w14:paraId="5087996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Distance to closest park; </w:t>
            </w:r>
          </w:p>
          <w:p w14:paraId="7D1570F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number of parks within 1 mile; </w:t>
            </w:r>
          </w:p>
          <w:p w14:paraId="3A9B9E6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total park acreage within 1 mile.</w:t>
            </w:r>
          </w:p>
        </w:tc>
        <w:tc>
          <w:tcPr>
            <w:tcW w:w="1080" w:type="dxa"/>
            <w:tcBorders>
              <w:top w:val="nil"/>
              <w:left w:val="single" w:sz="6" w:space="0" w:color="auto"/>
              <w:bottom w:val="single" w:sz="6" w:space="0" w:color="auto"/>
              <w:right w:val="single" w:sz="6" w:space="0" w:color="auto"/>
            </w:tcBorders>
          </w:tcPr>
          <w:p w14:paraId="7F19AE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park</w:t>
            </w:r>
          </w:p>
        </w:tc>
        <w:tc>
          <w:tcPr>
            <w:tcW w:w="1260" w:type="dxa"/>
            <w:tcBorders>
              <w:top w:val="nil"/>
              <w:left w:val="single" w:sz="6" w:space="0" w:color="auto"/>
              <w:bottom w:val="single" w:sz="6" w:space="0" w:color="auto"/>
              <w:right w:val="single" w:sz="6" w:space="0" w:color="auto"/>
            </w:tcBorders>
          </w:tcPr>
          <w:p w14:paraId="174C8FE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City of KCMO parks directory + on-site audits (n=146).</w:t>
            </w:r>
          </w:p>
        </w:tc>
        <w:tc>
          <w:tcPr>
            <w:tcW w:w="1377" w:type="dxa"/>
            <w:tcBorders>
              <w:top w:val="nil"/>
              <w:left w:val="single" w:sz="6" w:space="0" w:color="auto"/>
              <w:bottom w:val="single" w:sz="6" w:space="0" w:color="auto"/>
              <w:right w:val="single" w:sz="6" w:space="0" w:color="auto"/>
            </w:tcBorders>
          </w:tcPr>
          <w:p w14:paraId="6F398D3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Street-network distance; </w:t>
            </w:r>
          </w:p>
          <w:p w14:paraId="0DEBAAA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1-mile network buffer;</w:t>
            </w:r>
          </w:p>
          <w:p w14:paraId="24FEDF0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nearest park via park centroid.</w:t>
            </w:r>
          </w:p>
        </w:tc>
        <w:tc>
          <w:tcPr>
            <w:tcW w:w="1143" w:type="dxa"/>
            <w:tcBorders>
              <w:top w:val="nil"/>
              <w:left w:val="single" w:sz="6" w:space="0" w:color="auto"/>
              <w:bottom w:val="single" w:sz="6" w:space="0" w:color="auto"/>
              <w:right w:val="single" w:sz="6" w:space="0" w:color="auto"/>
            </w:tcBorders>
          </w:tcPr>
          <w:p w14:paraId="60BFBE6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number of parks within 1 mile</w:t>
            </w:r>
          </w:p>
        </w:tc>
        <w:tc>
          <w:tcPr>
            <w:tcW w:w="1253" w:type="dxa"/>
            <w:tcBorders>
              <w:top w:val="nil"/>
              <w:left w:val="single" w:sz="6" w:space="0" w:color="auto"/>
              <w:bottom w:val="single" w:sz="6" w:space="0" w:color="auto"/>
              <w:right w:val="single" w:sz="6" w:space="0" w:color="auto"/>
            </w:tcBorders>
          </w:tcPr>
          <w:p w14:paraId="36F8569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Individual; </w:t>
            </w:r>
          </w:p>
          <w:p w14:paraId="701F1BF9"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multilevel with census tract as level-2.</w:t>
            </w:r>
          </w:p>
        </w:tc>
        <w:tc>
          <w:tcPr>
            <w:tcW w:w="1260" w:type="dxa"/>
            <w:tcBorders>
              <w:top w:val="nil"/>
              <w:left w:val="single" w:sz="6" w:space="0" w:color="auto"/>
              <w:bottom w:val="single" w:sz="6" w:space="0" w:color="auto"/>
              <w:right w:val="single" w:sz="6" w:space="0" w:color="auto"/>
            </w:tcBorders>
          </w:tcPr>
          <w:p w14:paraId="74810AF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Any park-based PA in a usual week.</w:t>
            </w:r>
          </w:p>
        </w:tc>
        <w:tc>
          <w:tcPr>
            <w:tcW w:w="1260" w:type="dxa"/>
            <w:tcBorders>
              <w:top w:val="nil"/>
              <w:left w:val="single" w:sz="6" w:space="0" w:color="auto"/>
              <w:bottom w:val="single" w:sz="6" w:space="0" w:color="auto"/>
              <w:right w:val="single" w:sz="6" w:space="0" w:color="auto"/>
            </w:tcBorders>
          </w:tcPr>
          <w:p w14:paraId="158F0BD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Self-report </w:t>
            </w:r>
          </w:p>
          <w:p w14:paraId="2BC5E3B0" w14:textId="65A752A9"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(PA-PS questionnaire)</w:t>
            </w:r>
          </w:p>
        </w:tc>
        <w:tc>
          <w:tcPr>
            <w:tcW w:w="1087" w:type="dxa"/>
            <w:tcBorders>
              <w:top w:val="nil"/>
              <w:left w:val="single" w:sz="6" w:space="0" w:color="auto"/>
              <w:bottom w:val="single" w:sz="6" w:space="0" w:color="auto"/>
              <w:right w:val="single" w:sz="6" w:space="0" w:color="auto"/>
            </w:tcBorders>
          </w:tcPr>
          <w:p w14:paraId="61BCB3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Multilevel logistic regression</w:t>
            </w:r>
          </w:p>
        </w:tc>
        <w:tc>
          <w:tcPr>
            <w:tcW w:w="1260" w:type="dxa"/>
            <w:tcBorders>
              <w:top w:val="nil"/>
              <w:left w:val="single" w:sz="6" w:space="0" w:color="auto"/>
              <w:bottom w:val="single" w:sz="6" w:space="0" w:color="auto"/>
              <w:right w:val="single" w:sz="6" w:space="0" w:color="auto"/>
            </w:tcBorders>
          </w:tcPr>
          <w:p w14:paraId="1F46AEE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Gender, </w:t>
            </w:r>
          </w:p>
          <w:p w14:paraId="75B165D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age,</w:t>
            </w:r>
          </w:p>
          <w:p w14:paraId="319D5F6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race, </w:t>
            </w:r>
          </w:p>
          <w:p w14:paraId="7D6181A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income, </w:t>
            </w:r>
          </w:p>
          <w:p w14:paraId="20B6D27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BMI.</w:t>
            </w:r>
          </w:p>
        </w:tc>
        <w:tc>
          <w:tcPr>
            <w:tcW w:w="990" w:type="dxa"/>
            <w:tcBorders>
              <w:top w:val="nil"/>
              <w:left w:val="single" w:sz="6" w:space="0" w:color="auto"/>
              <w:bottom w:val="single" w:sz="6" w:space="0" w:color="auto"/>
              <w:right w:val="single" w:sz="6" w:space="0" w:color="auto"/>
            </w:tcBorders>
          </w:tcPr>
          <w:p w14:paraId="20B4ABB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w:t>
            </w:r>
          </w:p>
        </w:tc>
        <w:tc>
          <w:tcPr>
            <w:tcW w:w="1440" w:type="dxa"/>
            <w:tcBorders>
              <w:top w:val="nil"/>
              <w:left w:val="single" w:sz="6" w:space="0" w:color="auto"/>
              <w:bottom w:val="single" w:sz="6" w:space="0" w:color="auto"/>
              <w:right w:val="single" w:sz="6" w:space="0" w:color="auto"/>
            </w:tcBorders>
          </w:tcPr>
          <w:p w14:paraId="4E2D7EA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 2.53 for park-based PA (3+ parks within 1 mile vs 0).</w:t>
            </w:r>
          </w:p>
        </w:tc>
        <w:tc>
          <w:tcPr>
            <w:tcW w:w="983" w:type="dxa"/>
            <w:tcBorders>
              <w:top w:val="nil"/>
              <w:left w:val="single" w:sz="6" w:space="0" w:color="auto"/>
              <w:bottom w:val="single" w:sz="6" w:space="0" w:color="auto"/>
              <w:right w:val="single" w:sz="6" w:space="0" w:color="auto"/>
            </w:tcBorders>
          </w:tcPr>
          <w:p w14:paraId="426186D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1.21–5.31.</w:t>
            </w:r>
          </w:p>
        </w:tc>
        <w:tc>
          <w:tcPr>
            <w:tcW w:w="997" w:type="dxa"/>
            <w:tcBorders>
              <w:top w:val="nil"/>
              <w:left w:val="single" w:sz="6" w:space="0" w:color="auto"/>
              <w:bottom w:val="single" w:sz="6" w:space="0" w:color="auto"/>
              <w:right w:val="single" w:sz="6" w:space="0" w:color="auto"/>
            </w:tcBorders>
          </w:tcPr>
          <w:p w14:paraId="327ED7B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&lt;0.05</w:t>
            </w:r>
          </w:p>
        </w:tc>
        <w:tc>
          <w:tcPr>
            <w:tcW w:w="1080" w:type="dxa"/>
            <w:tcBorders>
              <w:top w:val="nil"/>
              <w:left w:val="single" w:sz="6" w:space="0" w:color="auto"/>
              <w:bottom w:val="single" w:sz="6" w:space="0" w:color="auto"/>
              <w:right w:val="single" w:sz="6" w:space="0" w:color="auto"/>
            </w:tcBorders>
          </w:tcPr>
          <w:p w14:paraId="4725AF9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Positive</w:t>
            </w:r>
          </w:p>
        </w:tc>
      </w:tr>
      <w:tr w:rsidR="00CF2149" w:rsidRPr="00B01F30" w14:paraId="6B6B0892" w14:textId="77777777" w:rsidTr="00AE5170">
        <w:trPr>
          <w:gridAfter w:val="1"/>
          <w:wAfter w:w="8" w:type="dxa"/>
          <w:trHeight w:val="1767"/>
        </w:trPr>
        <w:tc>
          <w:tcPr>
            <w:tcW w:w="990" w:type="dxa"/>
            <w:tcBorders>
              <w:top w:val="nil"/>
              <w:left w:val="single" w:sz="6" w:space="0" w:color="auto"/>
              <w:bottom w:val="single" w:sz="6" w:space="0" w:color="auto"/>
              <w:right w:val="single" w:sz="6" w:space="0" w:color="auto"/>
            </w:tcBorders>
          </w:tcPr>
          <w:p w14:paraId="7A915B9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Kaczynski et al.,</w:t>
            </w:r>
          </w:p>
          <w:p w14:paraId="3574113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2009</w:t>
            </w:r>
          </w:p>
        </w:tc>
        <w:tc>
          <w:tcPr>
            <w:tcW w:w="900" w:type="dxa"/>
            <w:tcBorders>
              <w:top w:val="nil"/>
              <w:left w:val="single" w:sz="6" w:space="0" w:color="auto"/>
              <w:bottom w:val="single" w:sz="6" w:space="0" w:color="auto"/>
              <w:right w:val="single" w:sz="6" w:space="0" w:color="auto"/>
            </w:tcBorders>
          </w:tcPr>
          <w:p w14:paraId="40C6396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Canada</w:t>
            </w:r>
          </w:p>
        </w:tc>
        <w:tc>
          <w:tcPr>
            <w:tcW w:w="900" w:type="dxa"/>
            <w:gridSpan w:val="2"/>
            <w:tcBorders>
              <w:top w:val="nil"/>
              <w:left w:val="single" w:sz="6" w:space="0" w:color="auto"/>
              <w:bottom w:val="single" w:sz="6" w:space="0" w:color="auto"/>
              <w:right w:val="single" w:sz="6" w:space="0" w:color="auto"/>
            </w:tcBorders>
          </w:tcPr>
          <w:p w14:paraId="0F9457D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Cross-sectional</w:t>
            </w:r>
          </w:p>
        </w:tc>
        <w:tc>
          <w:tcPr>
            <w:tcW w:w="810" w:type="dxa"/>
            <w:tcBorders>
              <w:top w:val="nil"/>
              <w:left w:val="single" w:sz="6" w:space="0" w:color="auto"/>
              <w:bottom w:val="single" w:sz="6" w:space="0" w:color="auto"/>
              <w:right w:val="single" w:sz="6" w:space="0" w:color="auto"/>
            </w:tcBorders>
          </w:tcPr>
          <w:p w14:paraId="48FABAE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384</w:t>
            </w:r>
          </w:p>
        </w:tc>
        <w:tc>
          <w:tcPr>
            <w:tcW w:w="1080" w:type="dxa"/>
            <w:tcBorders>
              <w:top w:val="nil"/>
              <w:left w:val="single" w:sz="6" w:space="0" w:color="auto"/>
              <w:bottom w:val="single" w:sz="6" w:space="0" w:color="auto"/>
              <w:right w:val="single" w:sz="6" w:space="0" w:color="auto"/>
            </w:tcBorders>
          </w:tcPr>
          <w:p w14:paraId="55E0398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 neighborhood residents</w:t>
            </w:r>
          </w:p>
          <w:p w14:paraId="160BF08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18–89</w:t>
            </w:r>
          </w:p>
        </w:tc>
        <w:tc>
          <w:tcPr>
            <w:tcW w:w="1440" w:type="dxa"/>
            <w:gridSpan w:val="2"/>
            <w:tcBorders>
              <w:top w:val="nil"/>
              <w:left w:val="single" w:sz="6" w:space="0" w:color="auto"/>
              <w:bottom w:val="single" w:sz="6" w:space="0" w:color="auto"/>
              <w:right w:val="single" w:sz="6" w:space="0" w:color="auto"/>
            </w:tcBorders>
          </w:tcPr>
          <w:p w14:paraId="6317F20A"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(1) Number of parks within 1 km; </w:t>
            </w:r>
          </w:p>
          <w:p w14:paraId="28AD58E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(2) Total park area within 1 km; </w:t>
            </w:r>
          </w:p>
          <w:p w14:paraId="1D3865A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(3) Distance to closest park.</w:t>
            </w:r>
          </w:p>
        </w:tc>
        <w:tc>
          <w:tcPr>
            <w:tcW w:w="1080" w:type="dxa"/>
            <w:tcBorders>
              <w:top w:val="nil"/>
              <w:left w:val="single" w:sz="6" w:space="0" w:color="auto"/>
              <w:bottom w:val="single" w:sz="6" w:space="0" w:color="auto"/>
              <w:right w:val="single" w:sz="6" w:space="0" w:color="auto"/>
            </w:tcBorders>
          </w:tcPr>
          <w:p w14:paraId="17A0289C"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Municipal neighborhood parks</w:t>
            </w:r>
          </w:p>
        </w:tc>
        <w:tc>
          <w:tcPr>
            <w:tcW w:w="1260" w:type="dxa"/>
            <w:tcBorders>
              <w:top w:val="nil"/>
              <w:left w:val="single" w:sz="6" w:space="0" w:color="auto"/>
              <w:bottom w:val="single" w:sz="6" w:space="0" w:color="auto"/>
              <w:right w:val="single" w:sz="6" w:space="0" w:color="auto"/>
            </w:tcBorders>
          </w:tcPr>
          <w:p w14:paraId="7642AEF4"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Municipal planning/GIS maps and municipality database. </w:t>
            </w:r>
          </w:p>
        </w:tc>
        <w:tc>
          <w:tcPr>
            <w:tcW w:w="1377" w:type="dxa"/>
            <w:tcBorders>
              <w:top w:val="nil"/>
              <w:left w:val="single" w:sz="6" w:space="0" w:color="auto"/>
              <w:bottom w:val="single" w:sz="6" w:space="0" w:color="auto"/>
              <w:right w:val="single" w:sz="6" w:space="0" w:color="auto"/>
            </w:tcBorders>
          </w:tcPr>
          <w:p w14:paraId="773EAF0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Euclidean distance using park/home centroids</w:t>
            </w:r>
          </w:p>
        </w:tc>
        <w:tc>
          <w:tcPr>
            <w:tcW w:w="1143" w:type="dxa"/>
            <w:tcBorders>
              <w:top w:val="nil"/>
              <w:left w:val="single" w:sz="6" w:space="0" w:color="auto"/>
              <w:bottom w:val="single" w:sz="6" w:space="0" w:color="auto"/>
              <w:right w:val="single" w:sz="6" w:space="0" w:color="auto"/>
            </w:tcBorders>
          </w:tcPr>
          <w:p w14:paraId="3ACD07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1-km buffer for exposure</w:t>
            </w:r>
          </w:p>
        </w:tc>
        <w:tc>
          <w:tcPr>
            <w:tcW w:w="1253" w:type="dxa"/>
            <w:tcBorders>
              <w:top w:val="nil"/>
              <w:left w:val="single" w:sz="6" w:space="0" w:color="auto"/>
              <w:bottom w:val="single" w:sz="6" w:space="0" w:color="auto"/>
              <w:right w:val="single" w:sz="6" w:space="0" w:color="auto"/>
            </w:tcBorders>
          </w:tcPr>
          <w:p w14:paraId="669F7B2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Individual </w:t>
            </w:r>
          </w:p>
          <w:p w14:paraId="0F45871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(participant home).</w:t>
            </w:r>
          </w:p>
        </w:tc>
        <w:tc>
          <w:tcPr>
            <w:tcW w:w="1260" w:type="dxa"/>
            <w:tcBorders>
              <w:top w:val="nil"/>
              <w:left w:val="single" w:sz="6" w:space="0" w:color="auto"/>
              <w:bottom w:val="single" w:sz="6" w:space="0" w:color="auto"/>
              <w:right w:val="single" w:sz="6" w:space="0" w:color="auto"/>
            </w:tcBorders>
          </w:tcPr>
          <w:p w14:paraId="795CBFC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Moderate-to-strenuous PA (MSPA): </w:t>
            </w:r>
          </w:p>
          <w:p w14:paraId="7636B6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total; </w:t>
            </w:r>
          </w:p>
          <w:p w14:paraId="2BFC5CA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neighborhood-based; </w:t>
            </w:r>
          </w:p>
          <w:p w14:paraId="0B7B1A75"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park-based.</w:t>
            </w:r>
          </w:p>
        </w:tc>
        <w:tc>
          <w:tcPr>
            <w:tcW w:w="1260" w:type="dxa"/>
            <w:tcBorders>
              <w:top w:val="nil"/>
              <w:left w:val="single" w:sz="6" w:space="0" w:color="auto"/>
              <w:bottom w:val="single" w:sz="6" w:space="0" w:color="auto"/>
              <w:right w:val="single" w:sz="6" w:space="0" w:color="auto"/>
            </w:tcBorders>
          </w:tcPr>
          <w:p w14:paraId="0CB2BF4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7-day self-reported PA log</w:t>
            </w:r>
          </w:p>
        </w:tc>
        <w:tc>
          <w:tcPr>
            <w:tcW w:w="1087" w:type="dxa"/>
            <w:tcBorders>
              <w:top w:val="nil"/>
              <w:left w:val="single" w:sz="6" w:space="0" w:color="auto"/>
              <w:bottom w:val="single" w:sz="6" w:space="0" w:color="auto"/>
              <w:right w:val="single" w:sz="6" w:space="0" w:color="auto"/>
            </w:tcBorders>
          </w:tcPr>
          <w:p w14:paraId="406149F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Binary logistic regression</w:t>
            </w:r>
          </w:p>
        </w:tc>
        <w:tc>
          <w:tcPr>
            <w:tcW w:w="1260" w:type="dxa"/>
            <w:tcBorders>
              <w:top w:val="nil"/>
              <w:left w:val="single" w:sz="6" w:space="0" w:color="auto"/>
              <w:bottom w:val="single" w:sz="6" w:space="0" w:color="auto"/>
              <w:right w:val="single" w:sz="6" w:space="0" w:color="auto"/>
            </w:tcBorders>
          </w:tcPr>
          <w:p w14:paraId="6F6002B0"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Age, </w:t>
            </w:r>
          </w:p>
          <w:p w14:paraId="51541857"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sex, </w:t>
            </w:r>
          </w:p>
          <w:p w14:paraId="2236ABEE"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BMI, </w:t>
            </w:r>
          </w:p>
          <w:p w14:paraId="266E99A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temporary injury.</w:t>
            </w:r>
          </w:p>
        </w:tc>
        <w:tc>
          <w:tcPr>
            <w:tcW w:w="990" w:type="dxa"/>
            <w:tcBorders>
              <w:top w:val="nil"/>
              <w:left w:val="single" w:sz="6" w:space="0" w:color="auto"/>
              <w:bottom w:val="single" w:sz="6" w:space="0" w:color="auto"/>
              <w:right w:val="single" w:sz="6" w:space="0" w:color="auto"/>
            </w:tcBorders>
          </w:tcPr>
          <w:p w14:paraId="7C08C35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Odds ratio (OR)</w:t>
            </w:r>
          </w:p>
        </w:tc>
        <w:tc>
          <w:tcPr>
            <w:tcW w:w="3420" w:type="dxa"/>
            <w:gridSpan w:val="3"/>
            <w:tcBorders>
              <w:top w:val="nil"/>
              <w:left w:val="single" w:sz="6" w:space="0" w:color="auto"/>
              <w:bottom w:val="single" w:sz="6" w:space="0" w:color="auto"/>
              <w:right w:val="single" w:sz="6" w:space="0" w:color="auto"/>
            </w:tcBorders>
          </w:tcPr>
          <w:p w14:paraId="773A416F"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10ED29F3"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756F1508"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parks within 1 km → park-based MSPA (some vs none): OR 1.15 (1.01–1.28); p&lt;0.05; positive. </w:t>
            </w:r>
          </w:p>
          <w:p w14:paraId="4186D8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6D2220E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5154429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288B4F3B"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 </w:t>
            </w:r>
          </w:p>
          <w:p w14:paraId="036B6301"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p w14:paraId="49C1C54D"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p>
        </w:tc>
        <w:tc>
          <w:tcPr>
            <w:tcW w:w="1080" w:type="dxa"/>
            <w:tcBorders>
              <w:top w:val="nil"/>
              <w:left w:val="single" w:sz="6" w:space="0" w:color="auto"/>
              <w:bottom w:val="single" w:sz="6" w:space="0" w:color="auto"/>
              <w:right w:val="single" w:sz="6" w:space="0" w:color="auto"/>
            </w:tcBorders>
          </w:tcPr>
          <w:p w14:paraId="29BAEDB2"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More parks/park area = higher MSPA; </w:t>
            </w:r>
          </w:p>
          <w:p w14:paraId="033D8D86" w14:textId="77777777" w:rsidR="00CF2149" w:rsidRPr="00B01F30" w:rsidRDefault="00CF2149" w:rsidP="00A136E2">
            <w:pPr>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distance to nearest park = null.</w:t>
            </w:r>
          </w:p>
        </w:tc>
      </w:tr>
    </w:tbl>
    <w:p w14:paraId="068A6004" w14:textId="77777777" w:rsidR="00CF2149" w:rsidRDefault="00CF2149" w:rsidP="00CF2149">
      <w:pPr>
        <w:rPr>
          <w:rFonts w:asciiTheme="majorBidi" w:hAnsiTheme="majorBidi" w:cstheme="majorBidi"/>
          <w:szCs w:val="21"/>
        </w:rPr>
      </w:pPr>
    </w:p>
    <w:p w14:paraId="53AFF9AF" w14:textId="77777777" w:rsidR="00CF2149" w:rsidRDefault="00CF2149" w:rsidP="00CF2149">
      <w:pPr>
        <w:rPr>
          <w:rFonts w:asciiTheme="majorBidi" w:hAnsiTheme="majorBidi" w:cstheme="majorBidi"/>
          <w:szCs w:val="21"/>
        </w:rPr>
      </w:pPr>
    </w:p>
    <w:p w14:paraId="7F9DD931" w14:textId="77777777" w:rsidR="00CF2149" w:rsidRDefault="00CF2149" w:rsidP="00CF2149">
      <w:pPr>
        <w:rPr>
          <w:rFonts w:asciiTheme="majorBidi" w:hAnsiTheme="majorBidi" w:cstheme="majorBidi"/>
          <w:szCs w:val="21"/>
        </w:rPr>
      </w:pPr>
    </w:p>
    <w:p w14:paraId="17C546A3" w14:textId="77777777" w:rsidR="00AE5170" w:rsidRDefault="00AE5170" w:rsidP="00CF2149">
      <w:pPr>
        <w:rPr>
          <w:rFonts w:asciiTheme="majorBidi" w:hAnsiTheme="majorBidi" w:cstheme="majorBidi"/>
          <w:szCs w:val="21"/>
        </w:rPr>
      </w:pPr>
    </w:p>
    <w:p w14:paraId="028B92C3" w14:textId="77777777" w:rsidR="00AE5170" w:rsidRDefault="00AE5170" w:rsidP="00CF2149">
      <w:pPr>
        <w:rPr>
          <w:rFonts w:asciiTheme="majorBidi" w:hAnsiTheme="majorBidi" w:cstheme="majorBidi"/>
          <w:szCs w:val="21"/>
        </w:rPr>
      </w:pPr>
    </w:p>
    <w:p w14:paraId="2A84B58F" w14:textId="77777777" w:rsidR="00AE5170" w:rsidRDefault="00AE5170" w:rsidP="00CF2149">
      <w:pPr>
        <w:rPr>
          <w:rFonts w:asciiTheme="majorBidi" w:hAnsiTheme="majorBidi" w:cstheme="majorBidi"/>
          <w:szCs w:val="21"/>
        </w:rPr>
      </w:pPr>
    </w:p>
    <w:p w14:paraId="40662F28" w14:textId="7724C1A5" w:rsidR="00033844" w:rsidRPr="00033844" w:rsidRDefault="00033844" w:rsidP="00033844">
      <w:pPr>
        <w:pStyle w:val="Caption"/>
        <w:keepNext/>
        <w:rPr>
          <w:rFonts w:asciiTheme="majorBidi" w:hAnsiTheme="majorBidi" w:cstheme="majorBidi"/>
          <w:b/>
          <w:bCs/>
          <w:color w:val="auto"/>
          <w:sz w:val="24"/>
          <w:szCs w:val="24"/>
        </w:rPr>
      </w:pPr>
      <w:r>
        <w:rPr>
          <w:rFonts w:asciiTheme="majorBidi" w:hAnsiTheme="majorBidi" w:cstheme="majorBidi"/>
          <w:b/>
          <w:bCs/>
          <w:color w:val="auto"/>
          <w:sz w:val="24"/>
          <w:szCs w:val="24"/>
        </w:rPr>
        <w:t>Table D</w:t>
        <w:fldChar w:fldCharType="begin"/>
        <w:instrText xml:space="preserve"> SEQ Table \* ARABIC </w:instrText>
        <w:fldChar w:fldCharType="separate"/>
      </w:r>
      <w:r>
        <w:rPr>
          <w:rFonts w:asciiTheme="majorBidi" w:hAnsiTheme="majorBidi" w:cstheme="majorBidi"/>
          <w:b/>
          <w:bCs/>
          <w:noProof/>
          <w:color w:val="auto"/>
          <w:sz w:val="24"/>
          <w:szCs w:val="24"/>
        </w:rPr>
        <w:t>4</w:t>
      </w:r>
      <w:r>
        <w:rPr>
          <w:rFonts w:asciiTheme="majorBidi" w:hAnsiTheme="majorBidi" w:cstheme="majorBidi"/>
          <w:b/>
          <w:bCs/>
          <w:color w:val="auto"/>
          <w:sz w:val="24"/>
          <w:szCs w:val="24"/>
        </w:rPr>
        <w:fldChar w:fldCharType="end"/>
        <w:t>. Morphology studies (n = 10)</w:t>
      </w:r>
    </w:p>
    <w:tbl>
      <w:tblPr>
        <w:tblStyle w:val="TableGrid"/>
        <w:tblW w:w="19350" w:type="dxa"/>
        <w:tblInd w:w="-5" w:type="dxa"/>
        <w:tblLayout w:type="fixed"/>
        <w:tblLook w:val="04A0" w:firstRow="1" w:lastRow="0" w:firstColumn="1" w:lastColumn="0" w:noHBand="0" w:noVBand="1"/>
      </w:tblPr>
      <w:tblGrid>
        <w:gridCol w:w="1260"/>
        <w:gridCol w:w="1350"/>
        <w:gridCol w:w="1710"/>
        <w:gridCol w:w="1530"/>
        <w:gridCol w:w="1710"/>
        <w:gridCol w:w="1350"/>
        <w:gridCol w:w="2070"/>
        <w:gridCol w:w="1710"/>
        <w:gridCol w:w="2250"/>
        <w:gridCol w:w="2700"/>
        <w:gridCol w:w="1710"/>
      </w:tblGrid>
      <w:tr w:rsidR="00033844" w:rsidRPr="00033844" w14:paraId="144F681D" w14:textId="77777777" w:rsidTr="00033844">
        <w:trPr>
          <w:trHeight w:val="405"/>
        </w:trPr>
        <w:tc>
          <w:tcPr>
            <w:tcW w:w="1260" w:type="dxa"/>
            <w:vAlign w:val="center"/>
          </w:tcPr>
          <w:p w14:paraId="46BDF40A" w14:textId="59FA7232" w:rsidR="00033844" w:rsidRPr="00033844" w:rsidRDefault="00033844" w:rsidP="00033844">
            <w:pPr>
              <w:jc w:val="left"/>
              <w:rPr>
                <w:rFonts w:asciiTheme="majorBidi" w:hAnsiTheme="majorBidi" w:cstheme="majorBidi"/>
                <w:b/>
                <w:bCs/>
                <w:szCs w:val="21"/>
              </w:rPr>
            </w:pPr>
            <w:bookmarkStart w:id="1" w:name="_Hlk161611657"/>
            <w:r>
              <w:rPr>
                <w:rFonts w:asciiTheme="majorBidi" w:hAnsiTheme="majorBidi" w:cstheme="majorBidi"/>
                <w:b/>
                <w:bCs/>
                <w:szCs w:val="21"/>
              </w:rPr>
              <w:t>Study</w:t>
            </w:r>
          </w:p>
        </w:tc>
        <w:tc>
          <w:tcPr>
            <w:tcW w:w="1350" w:type="dxa"/>
            <w:vAlign w:val="center"/>
          </w:tcPr>
          <w:p w14:paraId="00480F02" w14:textId="77777777"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Country</w:t>
            </w:r>
          </w:p>
        </w:tc>
        <w:tc>
          <w:tcPr>
            <w:tcW w:w="1710" w:type="dxa"/>
            <w:vAlign w:val="center"/>
          </w:tcPr>
          <w:p w14:paraId="67747E5D" w14:textId="77FBBBC8"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Sample Size (No. of analytical units)</w:t>
            </w:r>
          </w:p>
        </w:tc>
        <w:tc>
          <w:tcPr>
            <w:tcW w:w="1530" w:type="dxa"/>
            <w:vAlign w:val="center"/>
          </w:tcPr>
          <w:p w14:paraId="7B20B04B" w14:textId="77777777"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Analytical unit of greenspace metrics</w:t>
            </w:r>
          </w:p>
        </w:tc>
        <w:tc>
          <w:tcPr>
            <w:tcW w:w="1710" w:type="dxa"/>
            <w:vAlign w:val="center"/>
          </w:tcPr>
          <w:p w14:paraId="301814CC" w14:textId="77777777"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The map source for greenspace morphology measures</w:t>
            </w:r>
          </w:p>
        </w:tc>
        <w:tc>
          <w:tcPr>
            <w:tcW w:w="1350" w:type="dxa"/>
            <w:vAlign w:val="center"/>
          </w:tcPr>
          <w:p w14:paraId="26E2B126" w14:textId="77777777"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Study design</w:t>
            </w:r>
          </w:p>
        </w:tc>
        <w:tc>
          <w:tcPr>
            <w:tcW w:w="2070" w:type="dxa"/>
            <w:vAlign w:val="center"/>
          </w:tcPr>
          <w:p w14:paraId="236AB7EB" w14:textId="0F5FDCC6"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Specific metrics used (direction of effect) *</w:t>
            </w:r>
          </w:p>
        </w:tc>
        <w:tc>
          <w:tcPr>
            <w:tcW w:w="1710" w:type="dxa"/>
            <w:vAlign w:val="center"/>
          </w:tcPr>
          <w:p w14:paraId="501E8697" w14:textId="6BA547CE"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Physical Activity Type</w:t>
              <w:br/>
            </w:r>
          </w:p>
        </w:tc>
        <w:tc>
          <w:tcPr>
            <w:tcW w:w="2250" w:type="dxa"/>
            <w:vAlign w:val="center"/>
          </w:tcPr>
          <w:p w14:paraId="3E1E2EFD" w14:textId="77777777"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Data Source</w:t>
            </w:r>
          </w:p>
        </w:tc>
        <w:tc>
          <w:tcPr>
            <w:tcW w:w="2700" w:type="dxa"/>
            <w:vAlign w:val="center"/>
          </w:tcPr>
          <w:p w14:paraId="26FD7B79" w14:textId="77777777"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Physical Activity Measurement Method</w:t>
            </w:r>
          </w:p>
        </w:tc>
        <w:tc>
          <w:tcPr>
            <w:tcW w:w="1710" w:type="dxa"/>
            <w:vAlign w:val="center"/>
          </w:tcPr>
          <w:p w14:paraId="6576A972" w14:textId="77777777" w:rsidR="00033844" w:rsidRPr="00033844" w:rsidRDefault="00033844" w:rsidP="00033844">
            <w:pPr>
              <w:jc w:val="left"/>
              <w:rPr>
                <w:rFonts w:asciiTheme="majorBidi" w:hAnsiTheme="majorBidi" w:cstheme="majorBidi"/>
                <w:b/>
                <w:bCs/>
                <w:szCs w:val="21"/>
              </w:rPr>
            </w:pPr>
            <w:r>
              <w:rPr>
                <w:rFonts w:asciiTheme="majorBidi" w:hAnsiTheme="majorBidi" w:cstheme="majorBidi"/>
                <w:b/>
                <w:bCs/>
                <w:szCs w:val="21"/>
              </w:rPr>
              <w:t>Participants</w:t>
            </w:r>
          </w:p>
        </w:tc>
      </w:tr>
      <w:tr w:rsidR="00033844" w:rsidRPr="00033844" w14:paraId="72F07FE4" w14:textId="77777777" w:rsidTr="00033844">
        <w:trPr>
          <w:trHeight w:val="256"/>
        </w:trPr>
        <w:tc>
          <w:tcPr>
            <w:tcW w:w="1260" w:type="dxa"/>
            <w:noWrap/>
            <w:hideMark/>
          </w:tcPr>
          <w:p w14:paraId="4559D10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Zhang et al.</w:t>
            </w:r>
          </w:p>
          <w:p w14:paraId="21B44DF0"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(2020)</w:t>
            </w:r>
          </w:p>
        </w:tc>
        <w:tc>
          <w:tcPr>
            <w:tcW w:w="1350" w:type="dxa"/>
          </w:tcPr>
          <w:p w14:paraId="1D1EAE9B"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UK</w:t>
            </w:r>
          </w:p>
        </w:tc>
        <w:tc>
          <w:tcPr>
            <w:tcW w:w="1710" w:type="dxa"/>
          </w:tcPr>
          <w:p w14:paraId="3D1D2F8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54,910</w:t>
            </w:r>
          </w:p>
        </w:tc>
        <w:tc>
          <w:tcPr>
            <w:tcW w:w="1530" w:type="dxa"/>
          </w:tcPr>
          <w:p w14:paraId="23B5F36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catchment (service area or influence area) around a park.</w:t>
            </w:r>
          </w:p>
        </w:tc>
        <w:tc>
          <w:tcPr>
            <w:tcW w:w="1710" w:type="dxa"/>
          </w:tcPr>
          <w:p w14:paraId="1646FB8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Land cover/use map: UKMap</w:t>
            </w:r>
          </w:p>
          <w:p w14:paraId="3C2C265C" w14:textId="77777777" w:rsidR="00033844" w:rsidRPr="00033844" w:rsidRDefault="00033844" w:rsidP="00033844">
            <w:pPr>
              <w:jc w:val="left"/>
              <w:rPr>
                <w:rFonts w:asciiTheme="majorBidi" w:hAnsiTheme="majorBidi" w:cstheme="majorBidi"/>
                <w:szCs w:val="21"/>
              </w:rPr>
            </w:pPr>
          </w:p>
        </w:tc>
        <w:tc>
          <w:tcPr>
            <w:tcW w:w="1350" w:type="dxa"/>
          </w:tcPr>
          <w:p w14:paraId="04C879BB"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cross-sectional </w:t>
            </w:r>
          </w:p>
        </w:tc>
        <w:tc>
          <w:tcPr>
            <w:tcW w:w="2070" w:type="dxa"/>
          </w:tcPr>
          <w:p w14:paraId="0FE5AF2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Relative Circumscribing Circle (-)</w:t>
            </w:r>
          </w:p>
          <w:p w14:paraId="797C30D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Number of Parks (ns)</w:t>
            </w:r>
          </w:p>
        </w:tc>
        <w:tc>
          <w:tcPr>
            <w:tcW w:w="1710" w:type="dxa"/>
          </w:tcPr>
          <w:p w14:paraId="2C69CC1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Walking Density</w:t>
            </w:r>
          </w:p>
        </w:tc>
        <w:tc>
          <w:tcPr>
            <w:tcW w:w="2250" w:type="dxa"/>
          </w:tcPr>
          <w:p w14:paraId="71C78C7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London Travel Demand Survey (LTDS)</w:t>
            </w:r>
          </w:p>
        </w:tc>
        <w:tc>
          <w:tcPr>
            <w:tcW w:w="2700" w:type="dxa"/>
          </w:tcPr>
          <w:p w14:paraId="0F64593F"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Walking density:</w:t>
            </w:r>
          </w:p>
          <w:p w14:paraId="17C0795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The sum of all walking trip distances within a park's catchment area are divided by the total length of the streets surrounding the park.</w:t>
            </w:r>
          </w:p>
        </w:tc>
        <w:tc>
          <w:tcPr>
            <w:tcW w:w="1710" w:type="dxa"/>
          </w:tcPr>
          <w:p w14:paraId="4DFCB67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Adults</w:t>
              <w:br/>
              <w:t>(aged 45–65 years)</w:t>
            </w:r>
          </w:p>
        </w:tc>
      </w:tr>
      <w:tr w:rsidR="00033844" w:rsidRPr="00033844" w14:paraId="40157BD0" w14:textId="77777777" w:rsidTr="00033844">
        <w:trPr>
          <w:trHeight w:val="256"/>
        </w:trPr>
        <w:tc>
          <w:tcPr>
            <w:tcW w:w="1260" w:type="dxa"/>
            <w:noWrap/>
            <w:hideMark/>
          </w:tcPr>
          <w:p w14:paraId="0F67426B"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Kim et al.</w:t>
            </w:r>
          </w:p>
          <w:p w14:paraId="076BCEA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(2020)</w:t>
            </w:r>
          </w:p>
        </w:tc>
        <w:tc>
          <w:tcPr>
            <w:tcW w:w="1350" w:type="dxa"/>
          </w:tcPr>
          <w:p w14:paraId="4DE29C1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Korea</w:t>
            </w:r>
          </w:p>
        </w:tc>
        <w:tc>
          <w:tcPr>
            <w:tcW w:w="1710" w:type="dxa"/>
          </w:tcPr>
          <w:p w14:paraId="098B725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148754</w:t>
            </w:r>
          </w:p>
        </w:tc>
        <w:tc>
          <w:tcPr>
            <w:tcW w:w="1530" w:type="dxa"/>
          </w:tcPr>
          <w:p w14:paraId="45ADD509"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Administrative </w:t>
              <w:lastRenderedPageBreak/>
              <w:t>boundaries</w:t>
            </w:r>
          </w:p>
        </w:tc>
        <w:tc>
          <w:tcPr>
            <w:tcW w:w="1710" w:type="dxa"/>
          </w:tcPr>
          <w:p w14:paraId="38D28FE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 xml:space="preserve">Land use land </w:t>
              <w:lastRenderedPageBreak/>
              <w:t>cover map from National Environmental Information Network System</w:t>
            </w:r>
          </w:p>
        </w:tc>
        <w:tc>
          <w:tcPr>
            <w:tcW w:w="1350" w:type="dxa"/>
          </w:tcPr>
          <w:p w14:paraId="00E7CF1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cross-</w:t>
              <w:lastRenderedPageBreak/>
              <w:t xml:space="preserve">sectional </w:t>
            </w:r>
          </w:p>
        </w:tc>
        <w:tc>
          <w:tcPr>
            <w:tcW w:w="2070" w:type="dxa"/>
          </w:tcPr>
          <w:p w14:paraId="0F74CC6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Class Area (-)</w:t>
            </w:r>
          </w:p>
          <w:p w14:paraId="0ED17FA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Largest Patch Index (+)</w:t>
            </w:r>
          </w:p>
          <w:p w14:paraId="161BF2E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Shape Index (+)</w:t>
            </w:r>
          </w:p>
          <w:p w14:paraId="494266B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Edge Density (-)</w:t>
            </w:r>
          </w:p>
          <w:p w14:paraId="136AD89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Number of Patches (+)</w:t>
            </w:r>
          </w:p>
          <w:p w14:paraId="0504D4FB" w14:textId="77777777" w:rsidR="00033844" w:rsidRPr="00033844" w:rsidRDefault="00033844" w:rsidP="00033844">
            <w:pPr>
              <w:jc w:val="left"/>
              <w:rPr>
                <w:rFonts w:asciiTheme="majorBidi" w:hAnsiTheme="majorBidi" w:cstheme="majorBidi"/>
                <w:szCs w:val="21"/>
              </w:rPr>
            </w:pPr>
          </w:p>
        </w:tc>
        <w:tc>
          <w:tcPr>
            <w:tcW w:w="1710" w:type="dxa"/>
          </w:tcPr>
          <w:p w14:paraId="256B61C6" w14:textId="77777777" w:rsidR="00033844" w:rsidRPr="00033844" w:rsidRDefault="00033844" w:rsidP="00033844">
            <w:pPr>
              <w:jc w:val="left"/>
              <w:rPr>
                <w:rFonts w:asciiTheme="majorBidi" w:hAnsiTheme="majorBidi" w:cstheme="majorBidi"/>
                <w:szCs w:val="21"/>
              </w:rPr>
            </w:pPr>
            <w:bookmarkStart w:id="2" w:name="_Hlk189828295"/>
            <w:r>
              <w:rPr>
                <w:rFonts w:asciiTheme="majorBidi" w:hAnsiTheme="majorBidi" w:cstheme="majorBidi"/>
                <w:szCs w:val="21"/>
              </w:rPr>
              <w:lastRenderedPageBreak/>
              <w:t xml:space="preserve">Duration and </w:t>
              <w:lastRenderedPageBreak/>
              <w:t>Frequency of Physical Activity</w:t>
            </w:r>
            <w:bookmarkEnd w:id="2"/>
          </w:p>
        </w:tc>
        <w:tc>
          <w:tcPr>
            <w:tcW w:w="2250" w:type="dxa"/>
          </w:tcPr>
          <w:p w14:paraId="2392B270"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 xml:space="preserve">Korea Community </w:t>
              <w:lastRenderedPageBreak/>
              <w:t>Health Survey (KCHS)</w:t>
            </w:r>
          </w:p>
        </w:tc>
        <w:tc>
          <w:tcPr>
            <w:tcW w:w="2700" w:type="dxa"/>
          </w:tcPr>
          <w:p w14:paraId="4DD42D6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 xml:space="preserve">Frequency of vigorous </w:t>
              <w:lastRenderedPageBreak/>
              <w:t>physical activities.</w:t>
            </w:r>
          </w:p>
          <w:p w14:paraId="5FDFBE6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Frequency of walking exercises. </w:t>
            </w:r>
          </w:p>
          <w:p w14:paraId="2597A53F"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The duration of these activities.</w:t>
            </w:r>
          </w:p>
        </w:tc>
        <w:tc>
          <w:tcPr>
            <w:tcW w:w="1710" w:type="dxa"/>
          </w:tcPr>
          <w:p w14:paraId="45AB2E1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Adult</w:t>
            </w:r>
          </w:p>
          <w:p w14:paraId="5313F7C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(over 19 years old)</w:t>
            </w:r>
          </w:p>
        </w:tc>
      </w:tr>
      <w:tr w:rsidR="00033844" w:rsidRPr="00033844" w14:paraId="14909A43" w14:textId="77777777" w:rsidTr="00033844">
        <w:trPr>
          <w:trHeight w:val="256"/>
        </w:trPr>
        <w:tc>
          <w:tcPr>
            <w:tcW w:w="1260" w:type="dxa"/>
            <w:noWrap/>
            <w:hideMark/>
          </w:tcPr>
          <w:p w14:paraId="133BB15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Wang et al.</w:t>
            </w:r>
          </w:p>
          <w:p w14:paraId="740ECA6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(2021)</w:t>
            </w:r>
          </w:p>
        </w:tc>
        <w:tc>
          <w:tcPr>
            <w:tcW w:w="1350" w:type="dxa"/>
          </w:tcPr>
          <w:p w14:paraId="7677473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China</w:t>
            </w:r>
          </w:p>
        </w:tc>
        <w:tc>
          <w:tcPr>
            <w:tcW w:w="1710" w:type="dxa"/>
          </w:tcPr>
          <w:p w14:paraId="58F4614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101 sites in five urban parks</w:t>
            </w:r>
          </w:p>
        </w:tc>
        <w:tc>
          <w:tcPr>
            <w:tcW w:w="1530" w:type="dxa"/>
          </w:tcPr>
          <w:p w14:paraId="324589B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Sites within parks</w:t>
            </w:r>
          </w:p>
        </w:tc>
        <w:tc>
          <w:tcPr>
            <w:tcW w:w="1710" w:type="dxa"/>
          </w:tcPr>
          <w:p w14:paraId="30C1C51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Unknown</w:t>
            </w:r>
          </w:p>
        </w:tc>
        <w:tc>
          <w:tcPr>
            <w:tcW w:w="1350" w:type="dxa"/>
          </w:tcPr>
          <w:p w14:paraId="14B1F9DD"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cross-sectional </w:t>
            </w:r>
          </w:p>
        </w:tc>
        <w:tc>
          <w:tcPr>
            <w:tcW w:w="2070" w:type="dxa"/>
          </w:tcPr>
          <w:p w14:paraId="375D2AD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Shannon diversity index (-)</w:t>
            </w:r>
          </w:p>
        </w:tc>
        <w:tc>
          <w:tcPr>
            <w:tcW w:w="1710" w:type="dxa"/>
          </w:tcPr>
          <w:p w14:paraId="0C42166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Physical Activity Diversity</w:t>
              <w:br/>
              <w:t>(How many types of PA can occur in a space simultaneously)</w:t>
            </w:r>
          </w:p>
        </w:tc>
        <w:tc>
          <w:tcPr>
            <w:tcW w:w="2250" w:type="dxa"/>
          </w:tcPr>
          <w:p w14:paraId="5E618CF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Behavioral mapping</w:t>
            </w:r>
          </w:p>
          <w:p w14:paraId="5F6A8227" w14:textId="77777777" w:rsidR="00033844" w:rsidRPr="00033844" w:rsidRDefault="00033844" w:rsidP="00033844">
            <w:pPr>
              <w:jc w:val="left"/>
              <w:rPr>
                <w:rFonts w:asciiTheme="majorBidi" w:hAnsiTheme="majorBidi" w:cstheme="majorBidi"/>
                <w:szCs w:val="21"/>
              </w:rPr>
            </w:pPr>
          </w:p>
        </w:tc>
        <w:tc>
          <w:tcPr>
            <w:tcW w:w="2700" w:type="dxa"/>
          </w:tcPr>
          <w:p w14:paraId="140FED8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Carrying out observations on park user’s PA in the greenspace.</w:t>
            </w:r>
          </w:p>
        </w:tc>
        <w:tc>
          <w:tcPr>
            <w:tcW w:w="1710" w:type="dxa"/>
          </w:tcPr>
          <w:p w14:paraId="421757D0"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Unknown</w:t>
            </w:r>
          </w:p>
        </w:tc>
      </w:tr>
      <w:tr w:rsidR="00033844" w:rsidRPr="00033844" w14:paraId="542CFF85" w14:textId="77777777" w:rsidTr="00033844">
        <w:trPr>
          <w:trHeight w:val="256"/>
        </w:trPr>
        <w:tc>
          <w:tcPr>
            <w:tcW w:w="1260" w:type="dxa"/>
            <w:noWrap/>
            <w:hideMark/>
          </w:tcPr>
          <w:p w14:paraId="0A7AABB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Tsai et al.</w:t>
            </w:r>
          </w:p>
          <w:p w14:paraId="1F199DB6"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(2016)</w:t>
            </w:r>
          </w:p>
        </w:tc>
        <w:tc>
          <w:tcPr>
            <w:tcW w:w="1350" w:type="dxa"/>
          </w:tcPr>
          <w:p w14:paraId="34C424F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USA</w:t>
            </w:r>
          </w:p>
        </w:tc>
        <w:tc>
          <w:tcPr>
            <w:tcW w:w="1710" w:type="dxa"/>
          </w:tcPr>
          <w:p w14:paraId="63CBB78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135 counties within the U.S. metropolitan statistical areas (MSAs) with populations greater than 1 million</w:t>
            </w:r>
          </w:p>
        </w:tc>
        <w:tc>
          <w:tcPr>
            <w:tcW w:w="1530" w:type="dxa"/>
          </w:tcPr>
          <w:p w14:paraId="194CAA09"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County </w:t>
            </w:r>
          </w:p>
        </w:tc>
        <w:tc>
          <w:tcPr>
            <w:tcW w:w="1710" w:type="dxa"/>
          </w:tcPr>
          <w:p w14:paraId="2D23D5A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National Land Cover Database (NLCD) </w:t>
            </w:r>
          </w:p>
        </w:tc>
        <w:tc>
          <w:tcPr>
            <w:tcW w:w="1350" w:type="dxa"/>
          </w:tcPr>
          <w:p w14:paraId="52C7BB29"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cross-sectional </w:t>
            </w:r>
          </w:p>
        </w:tc>
        <w:tc>
          <w:tcPr>
            <w:tcW w:w="2070" w:type="dxa"/>
          </w:tcPr>
          <w:p w14:paraId="4ACD67D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Patch Area (+)</w:t>
            </w:r>
          </w:p>
          <w:p w14:paraId="4514959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Edge Density (+)</w:t>
            </w:r>
          </w:p>
          <w:p w14:paraId="41BAB0F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Edge Contrast Index (ns)</w:t>
            </w:r>
          </w:p>
          <w:p w14:paraId="3223028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Euclidean Distance (ns)</w:t>
            </w:r>
          </w:p>
          <w:p w14:paraId="04244A30"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Cohesion Index (ns)</w:t>
            </w:r>
          </w:p>
          <w:p w14:paraId="7F3ECAC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Patch Density (+)</w:t>
            </w:r>
          </w:p>
          <w:p w14:paraId="26F749F5" w14:textId="77777777" w:rsidR="00033844" w:rsidRPr="00033844" w:rsidRDefault="00033844" w:rsidP="00033844">
            <w:pPr>
              <w:jc w:val="left"/>
              <w:rPr>
                <w:rFonts w:asciiTheme="majorBidi" w:hAnsiTheme="majorBidi" w:cstheme="majorBidi"/>
                <w:szCs w:val="21"/>
              </w:rPr>
            </w:pPr>
          </w:p>
        </w:tc>
        <w:tc>
          <w:tcPr>
            <w:tcW w:w="1710" w:type="dxa"/>
          </w:tcPr>
          <w:p w14:paraId="77DCFF10" w14:textId="77777777" w:rsidR="00033844" w:rsidRPr="00033844" w:rsidRDefault="00033844" w:rsidP="00033844">
            <w:pPr>
              <w:jc w:val="left"/>
              <w:rPr>
                <w:rFonts w:asciiTheme="majorBidi" w:hAnsiTheme="majorBidi" w:cstheme="majorBidi"/>
                <w:szCs w:val="21"/>
              </w:rPr>
            </w:pPr>
            <w:bookmarkStart w:id="3" w:name="_Hlk189832042"/>
            <w:r>
              <w:rPr>
                <w:rFonts w:asciiTheme="majorBidi" w:hAnsiTheme="majorBidi" w:cstheme="majorBidi"/>
                <w:szCs w:val="21"/>
              </w:rPr>
              <w:t>Participating in Physical Activity</w:t>
            </w:r>
            <w:bookmarkEnd w:id="3"/>
          </w:p>
        </w:tc>
        <w:tc>
          <w:tcPr>
            <w:tcW w:w="2250" w:type="dxa"/>
          </w:tcPr>
          <w:p w14:paraId="7431F87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The Behavioral Risk Factor Surveillance System (2008)</w:t>
            </w:r>
          </w:p>
        </w:tc>
        <w:tc>
          <w:tcPr>
            <w:tcW w:w="2700" w:type="dxa"/>
          </w:tcPr>
          <w:p w14:paraId="3C156CDB"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Self-reported participation in any physical activity other than regular work in the past month, including any duration and intensity.</w:t>
            </w:r>
          </w:p>
        </w:tc>
        <w:tc>
          <w:tcPr>
            <w:tcW w:w="1710" w:type="dxa"/>
          </w:tcPr>
          <w:p w14:paraId="1CFDEAFF"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Unknown</w:t>
            </w:r>
          </w:p>
        </w:tc>
      </w:tr>
      <w:tr w:rsidR="00033844" w:rsidRPr="00033844" w14:paraId="6572169A" w14:textId="77777777" w:rsidTr="00033844">
        <w:trPr>
          <w:trHeight w:val="256"/>
        </w:trPr>
        <w:tc>
          <w:tcPr>
            <w:tcW w:w="1260" w:type="dxa"/>
            <w:noWrap/>
          </w:tcPr>
          <w:p w14:paraId="5D5364B6"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Huang et al.</w:t>
            </w:r>
          </w:p>
          <w:p w14:paraId="634B7A5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(2023)</w:t>
            </w:r>
          </w:p>
        </w:tc>
        <w:tc>
          <w:tcPr>
            <w:tcW w:w="1350" w:type="dxa"/>
          </w:tcPr>
          <w:p w14:paraId="61A0A4A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China</w:t>
            </w:r>
          </w:p>
        </w:tc>
        <w:tc>
          <w:tcPr>
            <w:tcW w:w="1710" w:type="dxa"/>
          </w:tcPr>
          <w:p w14:paraId="6ADAA1F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129 parks with diverse running intensity</w:t>
            </w:r>
          </w:p>
        </w:tc>
        <w:tc>
          <w:tcPr>
            <w:tcW w:w="1530" w:type="dxa"/>
          </w:tcPr>
          <w:p w14:paraId="6083889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Parks </w:t>
            </w:r>
          </w:p>
        </w:tc>
        <w:tc>
          <w:tcPr>
            <w:tcW w:w="1710" w:type="dxa"/>
          </w:tcPr>
          <w:p w14:paraId="311D0F2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OpenStreetMap data of 2021 Shenzhen</w:t>
            </w:r>
          </w:p>
        </w:tc>
        <w:tc>
          <w:tcPr>
            <w:tcW w:w="1350" w:type="dxa"/>
          </w:tcPr>
          <w:p w14:paraId="42DB51BD"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cross-sectional</w:t>
            </w:r>
          </w:p>
        </w:tc>
        <w:tc>
          <w:tcPr>
            <w:tcW w:w="2070" w:type="dxa"/>
          </w:tcPr>
          <w:p w14:paraId="6EEA062B"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Shape Index (ns)</w:t>
            </w:r>
          </w:p>
        </w:tc>
        <w:tc>
          <w:tcPr>
            <w:tcW w:w="1710" w:type="dxa"/>
          </w:tcPr>
          <w:p w14:paraId="22FB8DD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Running intensity</w:t>
            </w:r>
          </w:p>
        </w:tc>
        <w:tc>
          <w:tcPr>
            <w:tcW w:w="2250" w:type="dxa"/>
          </w:tcPr>
          <w:p w14:paraId="277D5270"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Strava</w:t>
            </w:r>
          </w:p>
        </w:tc>
        <w:tc>
          <w:tcPr>
            <w:tcW w:w="2700" w:type="dxa"/>
          </w:tcPr>
          <w:p w14:paraId="0DD06AA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The running intensity was calculated by dividing the total length of running routes by the respective buffer area</w:t>
            </w:r>
          </w:p>
        </w:tc>
        <w:tc>
          <w:tcPr>
            <w:tcW w:w="1710" w:type="dxa"/>
          </w:tcPr>
          <w:p w14:paraId="0F986BF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Unknown</w:t>
            </w:r>
          </w:p>
        </w:tc>
      </w:tr>
      <w:tr w:rsidR="00033844" w:rsidRPr="00033844" w14:paraId="41FFF1F1" w14:textId="77777777" w:rsidTr="00033844">
        <w:trPr>
          <w:trHeight w:val="256"/>
        </w:trPr>
        <w:tc>
          <w:tcPr>
            <w:tcW w:w="1260" w:type="dxa"/>
            <w:noWrap/>
          </w:tcPr>
          <w:p w14:paraId="64D9FD2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Liu et al.</w:t>
            </w:r>
          </w:p>
          <w:p w14:paraId="19D231B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(2023)</w:t>
            </w:r>
          </w:p>
        </w:tc>
        <w:tc>
          <w:tcPr>
            <w:tcW w:w="1350" w:type="dxa"/>
          </w:tcPr>
          <w:p w14:paraId="2FC9095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China</w:t>
            </w:r>
          </w:p>
        </w:tc>
        <w:tc>
          <w:tcPr>
            <w:tcW w:w="1710" w:type="dxa"/>
          </w:tcPr>
          <w:p w14:paraId="4E778D9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147 urban parks in the core urban districts of Chongqing</w:t>
            </w:r>
          </w:p>
        </w:tc>
        <w:tc>
          <w:tcPr>
            <w:tcW w:w="1530" w:type="dxa"/>
          </w:tcPr>
          <w:p w14:paraId="5B7EDA6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Parks</w:t>
            </w:r>
          </w:p>
        </w:tc>
        <w:tc>
          <w:tcPr>
            <w:tcW w:w="1710" w:type="dxa"/>
          </w:tcPr>
          <w:p w14:paraId="2C8D7C6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Online Maps:</w:t>
            </w:r>
          </w:p>
          <w:p w14:paraId="4AE982B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Baidu Map and Amap</w:t>
            </w:r>
          </w:p>
        </w:tc>
        <w:tc>
          <w:tcPr>
            <w:tcW w:w="1350" w:type="dxa"/>
          </w:tcPr>
          <w:p w14:paraId="7B48420D"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cross-sectional</w:t>
            </w:r>
          </w:p>
        </w:tc>
        <w:tc>
          <w:tcPr>
            <w:tcW w:w="2070" w:type="dxa"/>
          </w:tcPr>
          <w:p w14:paraId="091A1C3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Shape Index (-)</w:t>
            </w:r>
          </w:p>
        </w:tc>
        <w:tc>
          <w:tcPr>
            <w:tcW w:w="1710" w:type="dxa"/>
          </w:tcPr>
          <w:p w14:paraId="49B8549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Jogging flow</w:t>
            </w:r>
          </w:p>
        </w:tc>
        <w:tc>
          <w:tcPr>
            <w:tcW w:w="2250" w:type="dxa"/>
          </w:tcPr>
          <w:p w14:paraId="3F915DE6"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Edooon mobile app</w:t>
            </w:r>
          </w:p>
        </w:tc>
        <w:tc>
          <w:tcPr>
            <w:tcW w:w="2700" w:type="dxa"/>
          </w:tcPr>
          <w:p w14:paraId="46CC19D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Jogging flow was measured using GPS trajectory data collected via the Edooon mobile app. A 100-meter buffer was applied around each park boundary to account for potential GPS inaccuracies. The number of jogging trajectories within each buffer zone was used as the metric for jogging activity.</w:t>
            </w:r>
          </w:p>
        </w:tc>
        <w:tc>
          <w:tcPr>
            <w:tcW w:w="1710" w:type="dxa"/>
          </w:tcPr>
          <w:p w14:paraId="1F09474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Unknown</w:t>
            </w:r>
          </w:p>
        </w:tc>
      </w:tr>
      <w:tr w:rsidR="00033844" w:rsidRPr="00033844" w14:paraId="15140F3A" w14:textId="77777777" w:rsidTr="00033844">
        <w:trPr>
          <w:trHeight w:val="256"/>
        </w:trPr>
        <w:tc>
          <w:tcPr>
            <w:tcW w:w="1260" w:type="dxa"/>
            <w:noWrap/>
          </w:tcPr>
          <w:p w14:paraId="12F1762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Wang et al.</w:t>
            </w:r>
          </w:p>
          <w:p w14:paraId="544E9A9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(2024)</w:t>
            </w:r>
          </w:p>
        </w:tc>
        <w:tc>
          <w:tcPr>
            <w:tcW w:w="1350" w:type="dxa"/>
          </w:tcPr>
          <w:p w14:paraId="668CBC29"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USA</w:t>
            </w:r>
          </w:p>
        </w:tc>
        <w:tc>
          <w:tcPr>
            <w:tcW w:w="1710" w:type="dxa"/>
          </w:tcPr>
          <w:p w14:paraId="401B6B0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4080 census tracts across five U.S. metropolitan areas (Los Angeles, New York City, San Antonio, Seattle, Miami)</w:t>
            </w:r>
          </w:p>
        </w:tc>
        <w:tc>
          <w:tcPr>
            <w:tcW w:w="1530" w:type="dxa"/>
          </w:tcPr>
          <w:p w14:paraId="76E5C83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Census tracts</w:t>
            </w:r>
          </w:p>
        </w:tc>
        <w:tc>
          <w:tcPr>
            <w:tcW w:w="1710" w:type="dxa"/>
          </w:tcPr>
          <w:p w14:paraId="683F4D5B"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Satellite imagery: National Agriculture Imagery Program</w:t>
            </w:r>
          </w:p>
        </w:tc>
        <w:tc>
          <w:tcPr>
            <w:tcW w:w="1350" w:type="dxa"/>
          </w:tcPr>
          <w:p w14:paraId="5F8798A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Cross-sectional</w:t>
            </w:r>
          </w:p>
        </w:tc>
        <w:tc>
          <w:tcPr>
            <w:tcW w:w="2070" w:type="dxa"/>
          </w:tcPr>
          <w:p w14:paraId="313F039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Mean Area Size (AREA_MN) (-)</w:t>
            </w:r>
          </w:p>
          <w:p w14:paraId="5979171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Patch Density (+)</w:t>
            </w:r>
          </w:p>
          <w:p w14:paraId="15787EE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Patch Cohesion Index (-)</w:t>
            </w:r>
          </w:p>
          <w:p w14:paraId="4AA9A68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Aggregation Index (-)</w:t>
            </w:r>
          </w:p>
          <w:p w14:paraId="69659859" w14:textId="77777777" w:rsidR="00033844" w:rsidRPr="00033844" w:rsidDel="009002C9" w:rsidRDefault="00033844" w:rsidP="00033844">
            <w:pPr>
              <w:jc w:val="left"/>
              <w:rPr>
                <w:rFonts w:asciiTheme="majorBidi" w:hAnsiTheme="majorBidi" w:cstheme="majorBidi"/>
                <w:szCs w:val="21"/>
              </w:rPr>
            </w:pPr>
            <w:r>
              <w:rPr>
                <w:rFonts w:asciiTheme="majorBidi" w:hAnsiTheme="majorBidi" w:cstheme="majorBidi"/>
                <w:szCs w:val="21"/>
              </w:rPr>
              <w:t>Shape Index (-)</w:t>
            </w:r>
          </w:p>
        </w:tc>
        <w:tc>
          <w:tcPr>
            <w:tcW w:w="1710" w:type="dxa"/>
          </w:tcPr>
          <w:p w14:paraId="7992875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Leisure-time physical activity (e.g., walking, running, calisthenics, golf, gardening)</w:t>
            </w:r>
          </w:p>
        </w:tc>
        <w:tc>
          <w:tcPr>
            <w:tcW w:w="2250" w:type="dxa"/>
          </w:tcPr>
          <w:p w14:paraId="055EFBD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PLACES: Local Data for Better Health project provided by the Centers for Disease Control and Prevention</w:t>
            </w:r>
          </w:p>
        </w:tc>
        <w:tc>
          <w:tcPr>
            <w:tcW w:w="2700" w:type="dxa"/>
          </w:tcPr>
          <w:p w14:paraId="27F0E61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Percentage of residents who answered “no” to the question: “During the past month, other than your regular job, did you participate in any physical activities or exercises such as running, calisthenics, golf, gardening, or walking for exercise?”</w:t>
            </w:r>
          </w:p>
        </w:tc>
        <w:tc>
          <w:tcPr>
            <w:tcW w:w="1710" w:type="dxa"/>
          </w:tcPr>
          <w:p w14:paraId="5FB7B88D"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Adult</w:t>
            </w:r>
          </w:p>
          <w:p w14:paraId="262FDBE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(over 18 years old)</w:t>
            </w:r>
          </w:p>
        </w:tc>
      </w:tr>
      <w:tr w:rsidR="00033844" w:rsidRPr="00033844" w14:paraId="2FDFE431" w14:textId="77777777" w:rsidTr="00033844">
        <w:trPr>
          <w:trHeight w:val="256"/>
        </w:trPr>
        <w:tc>
          <w:tcPr>
            <w:tcW w:w="1260" w:type="dxa"/>
            <w:noWrap/>
          </w:tcPr>
          <w:p w14:paraId="3D98E389"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Li et al.,</w:t>
            </w:r>
          </w:p>
          <w:p w14:paraId="2D5DD2D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(2023)</w:t>
            </w:r>
          </w:p>
        </w:tc>
        <w:tc>
          <w:tcPr>
            <w:tcW w:w="1350" w:type="dxa"/>
          </w:tcPr>
          <w:p w14:paraId="036E544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China</w:t>
            </w:r>
          </w:p>
        </w:tc>
        <w:tc>
          <w:tcPr>
            <w:tcW w:w="1710" w:type="dxa"/>
          </w:tcPr>
          <w:p w14:paraId="3AA4F1C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1,436 grid cells containing GI; </w:t>
            </w:r>
          </w:p>
          <w:p w14:paraId="64DC370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3,785 app users.</w:t>
            </w:r>
          </w:p>
        </w:tc>
        <w:tc>
          <w:tcPr>
            <w:tcW w:w="1530" w:type="dxa"/>
          </w:tcPr>
          <w:p w14:paraId="6F3822A4" w14:textId="77777777" w:rsidR="00033844" w:rsidRPr="00033844" w:rsidRDefault="00033844" w:rsidP="00033844">
            <w:pPr>
              <w:jc w:val="left"/>
              <w:rPr>
                <w:rFonts w:asciiTheme="majorBidi" w:hAnsiTheme="majorBidi" w:cstheme="majorBidi"/>
                <w:szCs w:val="21"/>
              </w:rPr>
            </w:pPr>
          </w:p>
        </w:tc>
        <w:tc>
          <w:tcPr>
            <w:tcW w:w="1710" w:type="dxa"/>
          </w:tcPr>
          <w:p w14:paraId="5795EDA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City land-use planning maps</w:t>
            </w:r>
          </w:p>
        </w:tc>
        <w:tc>
          <w:tcPr>
            <w:tcW w:w="1350" w:type="dxa"/>
          </w:tcPr>
          <w:p w14:paraId="2DCA23A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Cross-sectional</w:t>
            </w:r>
          </w:p>
        </w:tc>
        <w:tc>
          <w:tcPr>
            <w:tcW w:w="2070" w:type="dxa"/>
          </w:tcPr>
          <w:p w14:paraId="7B1FA0E6"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Large patch Index(-)</w:t>
            </w:r>
          </w:p>
          <w:p w14:paraId="076C90F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Patch Density(ns)</w:t>
            </w:r>
          </w:p>
          <w:p w14:paraId="6B012AE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Shape Index(ns)</w:t>
            </w:r>
          </w:p>
          <w:p w14:paraId="26D84A2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Edge Density(ns)</w:t>
            </w:r>
          </w:p>
          <w:p w14:paraId="52A14016"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Aggregation Index(+)</w:t>
            </w:r>
          </w:p>
          <w:p w14:paraId="0F24733F"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Division Index (</w:t>
            </w:r>
            <w:r>
              <w:rPr>
                <w:rFonts w:asciiTheme="majorBidi" w:hAnsiTheme="majorBidi" w:cstheme="majorBidi"/>
                <w:b/>
                <w:bCs/>
                <w:szCs w:val="21"/>
              </w:rPr>
              <w:t>Excluded</w:t>
            </w:r>
            <w:r>
              <w:rPr>
                <w:rFonts w:asciiTheme="majorBidi" w:hAnsiTheme="majorBidi" w:cstheme="majorBidi"/>
                <w:szCs w:val="21"/>
              </w:rPr>
              <w:t xml:space="preserve"> for multicollinearity)</w:t>
            </w:r>
          </w:p>
          <w:p w14:paraId="0465F6E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Contagion Index (</w:t>
            </w:r>
            <w:r>
              <w:rPr>
                <w:rFonts w:asciiTheme="majorBidi" w:hAnsiTheme="majorBidi" w:cstheme="majorBidi"/>
                <w:b/>
                <w:bCs/>
                <w:szCs w:val="21"/>
              </w:rPr>
              <w:t>Excluded</w:t>
            </w:r>
            <w:r>
              <w:rPr>
                <w:rFonts w:asciiTheme="majorBidi" w:hAnsiTheme="majorBidi" w:cstheme="majorBidi"/>
                <w:szCs w:val="21"/>
              </w:rPr>
              <w:t xml:space="preserve"> for multicollinearity)</w:t>
            </w:r>
          </w:p>
        </w:tc>
        <w:tc>
          <w:tcPr>
            <w:tcW w:w="1710" w:type="dxa"/>
          </w:tcPr>
          <w:p w14:paraId="56BDCC8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 xml:space="preserve">(1) Frequency of walking physical </w:t>
              <w:lastRenderedPageBreak/>
              <w:t xml:space="preserve">activity </w:t>
            </w:r>
          </w:p>
          <w:p w14:paraId="4A5CB50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(count of walking trajectories per grid); </w:t>
            </w:r>
          </w:p>
          <w:p w14:paraId="619ABBA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(2) Intensity of walking physical activity </w:t>
            </w:r>
          </w:p>
          <w:p w14:paraId="081D6F7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(total length of walking trajectories per grid, km).</w:t>
            </w:r>
          </w:p>
        </w:tc>
        <w:tc>
          <w:tcPr>
            <w:tcW w:w="2250" w:type="dxa"/>
          </w:tcPr>
          <w:p w14:paraId="6C4965B1"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 xml:space="preserve">DuoRui app walking trajectories (2016–</w:t>
              <w:lastRenderedPageBreak/>
              <w:t>2019)</w:t>
            </w:r>
          </w:p>
        </w:tc>
        <w:tc>
          <w:tcPr>
            <w:tcW w:w="2700" w:type="dxa"/>
          </w:tcPr>
          <w:p w14:paraId="56CF2C1D"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 xml:space="preserve">GPS trajectories aggregated to grid; frequency = count of </w:t>
              <w:lastRenderedPageBreak/>
              <w:t xml:space="preserve">walking trajectories per grid; intensity = total trajectory length (km) per grid. </w:t>
            </w:r>
          </w:p>
          <w:p w14:paraId="64DC3544" w14:textId="77777777" w:rsidR="00033844" w:rsidRPr="00033844" w:rsidRDefault="00033844" w:rsidP="00033844">
            <w:pPr>
              <w:jc w:val="left"/>
              <w:rPr>
                <w:rFonts w:asciiTheme="majorBidi" w:hAnsiTheme="majorBidi" w:cstheme="majorBidi"/>
                <w:szCs w:val="21"/>
              </w:rPr>
            </w:pPr>
          </w:p>
        </w:tc>
        <w:tc>
          <w:tcPr>
            <w:tcW w:w="1710" w:type="dxa"/>
          </w:tcPr>
          <w:p w14:paraId="6EF45EA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lastRenderedPageBreak/>
              <w:t>NR</w:t>
            </w:r>
          </w:p>
        </w:tc>
      </w:tr>
      <w:tr w:rsidR="00033844" w:rsidRPr="00033844" w14:paraId="0E3950B4" w14:textId="77777777" w:rsidTr="00033844">
        <w:trPr>
          <w:trHeight w:val="256"/>
        </w:trPr>
        <w:tc>
          <w:tcPr>
            <w:tcW w:w="1260" w:type="dxa"/>
            <w:noWrap/>
          </w:tcPr>
          <w:p w14:paraId="3B41F635"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ab/>
              <w:t>Ma et al.,</w:t>
            </w:r>
          </w:p>
          <w:p w14:paraId="6C8F10E4"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(2025)</w:t>
            </w:r>
          </w:p>
        </w:tc>
        <w:tc>
          <w:tcPr>
            <w:tcW w:w="1350" w:type="dxa"/>
          </w:tcPr>
          <w:p w14:paraId="4787D92A"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China</w:t>
            </w:r>
          </w:p>
        </w:tc>
        <w:tc>
          <w:tcPr>
            <w:tcW w:w="1710" w:type="dxa"/>
          </w:tcPr>
          <w:p w14:paraId="41A2EE1C"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78 activity sites across 10 urban parks.</w:t>
            </w:r>
          </w:p>
        </w:tc>
        <w:tc>
          <w:tcPr>
            <w:tcW w:w="1530" w:type="dxa"/>
          </w:tcPr>
          <w:p w14:paraId="2295777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Activity site (well-bounded sub-areas within parks). </w:t>
            </w:r>
          </w:p>
        </w:tc>
        <w:tc>
          <w:tcPr>
            <w:tcW w:w="1710" w:type="dxa"/>
          </w:tcPr>
          <w:p w14:paraId="5B1430FF"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Park management authority maps, Google imagery, and in-situ measurements/mapping. </w:t>
            </w:r>
          </w:p>
        </w:tc>
        <w:tc>
          <w:tcPr>
            <w:tcW w:w="1350" w:type="dxa"/>
          </w:tcPr>
          <w:p w14:paraId="30A885A6"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Cross-sectional</w:t>
            </w:r>
          </w:p>
        </w:tc>
        <w:tc>
          <w:tcPr>
            <w:tcW w:w="2070" w:type="dxa"/>
          </w:tcPr>
          <w:p w14:paraId="66FC091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Enclosure index (Higher E </w:t>
            </w:r>
            <w:r>
              <w:rPr>
                <w:rFonts w:ascii="Cambria Math" w:hAnsi="Cambria Math" w:cs="Cambria Math"/>
                <w:szCs w:val="21"/>
              </w:rPr>
              <w:t>⇒</w:t>
            </w:r>
            <w:r>
              <w:rPr>
                <w:rFonts w:asciiTheme="majorBidi" w:hAnsiTheme="majorBidi" w:cstheme="majorBidi"/>
                <w:szCs w:val="21"/>
              </w:rPr>
              <w:t xml:space="preserve"> stronger sense of enclosure; lower E </w:t>
            </w:r>
            <w:r>
              <w:rPr>
                <w:rFonts w:ascii="Cambria Math" w:hAnsi="Cambria Math" w:cs="Cambria Math"/>
                <w:szCs w:val="21"/>
              </w:rPr>
              <w:t>⇒</w:t>
            </w:r>
            <w:r>
              <w:rPr>
                <w:rFonts w:asciiTheme="majorBidi" w:hAnsiTheme="majorBidi" w:cstheme="majorBidi"/>
                <w:szCs w:val="21"/>
              </w:rPr>
              <w:t xml:space="preserve"> more open space. )</w:t>
            </w:r>
          </w:p>
          <w:p w14:paraId="6DF6ABF9"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Fragment index</w:t>
            </w:r>
          </w:p>
          <w:p w14:paraId="2B3054C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Shape index</w:t>
            </w:r>
          </w:p>
        </w:tc>
        <w:tc>
          <w:tcPr>
            <w:tcW w:w="1710" w:type="dxa"/>
          </w:tcPr>
          <w:p w14:paraId="7830867E" w14:textId="77777777" w:rsidR="00033844" w:rsidRPr="00033844" w:rsidRDefault="00033844" w:rsidP="00033844">
            <w:pPr>
              <w:jc w:val="left"/>
              <w:rPr>
                <w:rFonts w:asciiTheme="majorBidi" w:hAnsiTheme="majorBidi" w:cstheme="majorBidi"/>
                <w:szCs w:val="21"/>
              </w:rPr>
            </w:pPr>
          </w:p>
        </w:tc>
        <w:tc>
          <w:tcPr>
            <w:tcW w:w="2250" w:type="dxa"/>
          </w:tcPr>
          <w:p w14:paraId="78A47ED0" w14:textId="77777777" w:rsidR="00033844" w:rsidRPr="00033844" w:rsidRDefault="00033844" w:rsidP="00033844">
            <w:pPr>
              <w:jc w:val="left"/>
              <w:rPr>
                <w:rFonts w:asciiTheme="majorBidi" w:hAnsiTheme="majorBidi" w:cstheme="majorBidi"/>
                <w:szCs w:val="21"/>
              </w:rPr>
            </w:pPr>
          </w:p>
        </w:tc>
        <w:tc>
          <w:tcPr>
            <w:tcW w:w="2700" w:type="dxa"/>
          </w:tcPr>
          <w:p w14:paraId="59A1F94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On-site observations and map annotations conducted on fair-weather weekends, at four time periods </w:t>
            </w:r>
          </w:p>
        </w:tc>
        <w:tc>
          <w:tcPr>
            <w:tcW w:w="1710" w:type="dxa"/>
          </w:tcPr>
          <w:p w14:paraId="35E43105" w14:textId="77777777" w:rsidR="00033844" w:rsidRPr="00033844" w:rsidRDefault="00033844" w:rsidP="00033844">
            <w:pPr>
              <w:jc w:val="left"/>
              <w:rPr>
                <w:rFonts w:asciiTheme="majorBidi" w:hAnsiTheme="majorBidi" w:cstheme="majorBidi"/>
                <w:szCs w:val="21"/>
              </w:rPr>
            </w:pPr>
          </w:p>
        </w:tc>
      </w:tr>
      <w:tr w:rsidR="00033844" w:rsidRPr="00033844" w14:paraId="46CE3CC6" w14:textId="77777777" w:rsidTr="00033844">
        <w:trPr>
          <w:trHeight w:val="256"/>
        </w:trPr>
        <w:tc>
          <w:tcPr>
            <w:tcW w:w="1260" w:type="dxa"/>
            <w:noWrap/>
          </w:tcPr>
          <w:p w14:paraId="47D9D298"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Xu &amp; Wang</w:t>
            </w:r>
          </w:p>
          <w:p w14:paraId="0A70FCD2"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2025</w:t>
            </w:r>
          </w:p>
          <w:p w14:paraId="2B9FB179" w14:textId="77777777" w:rsidR="00033844" w:rsidRPr="00033844" w:rsidRDefault="00033844" w:rsidP="00033844">
            <w:pPr>
              <w:jc w:val="left"/>
              <w:rPr>
                <w:rFonts w:asciiTheme="majorBidi" w:hAnsiTheme="majorBidi" w:cstheme="majorBidi"/>
                <w:szCs w:val="21"/>
              </w:rPr>
            </w:pPr>
          </w:p>
          <w:p w14:paraId="286836BD" w14:textId="6804DB69" w:rsidR="00033844" w:rsidRPr="00033844" w:rsidRDefault="00033844" w:rsidP="00033844">
            <w:pPr>
              <w:jc w:val="left"/>
              <w:rPr>
                <w:rFonts w:asciiTheme="majorBidi" w:hAnsiTheme="majorBidi" w:cstheme="majorBidi"/>
                <w:szCs w:val="21"/>
              </w:rPr>
            </w:pPr>
          </w:p>
        </w:tc>
        <w:tc>
          <w:tcPr>
            <w:tcW w:w="1350" w:type="dxa"/>
          </w:tcPr>
          <w:p w14:paraId="4108CAF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USA</w:t>
            </w:r>
          </w:p>
        </w:tc>
        <w:tc>
          <w:tcPr>
            <w:tcW w:w="1710" w:type="dxa"/>
          </w:tcPr>
          <w:p w14:paraId="095EA166"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865 census tracts</w:t>
            </w:r>
          </w:p>
        </w:tc>
        <w:tc>
          <w:tcPr>
            <w:tcW w:w="15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41"/>
            </w:tblGrid>
            <w:tr w:rsidR="00033844" w:rsidRPr="00033844" w14:paraId="74D71150" w14:textId="77777777" w:rsidTr="001A1B32">
              <w:trPr>
                <w:tblCellSpacing w:w="15" w:type="dxa"/>
              </w:trPr>
              <w:tc>
                <w:tcPr>
                  <w:tcW w:w="6881" w:type="dxa"/>
                  <w:vAlign w:val="center"/>
                  <w:hideMark/>
                </w:tcPr>
                <w:p w14:paraId="0E6286B9"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Census tract (with a 0.5-mile Euclidean buffer around tract boundaries)</w:t>
                  </w:r>
                </w:p>
              </w:tc>
            </w:tr>
          </w:tbl>
          <w:p w14:paraId="79C02D69" w14:textId="77777777" w:rsidR="00033844" w:rsidRPr="00033844" w:rsidRDefault="00033844" w:rsidP="00033844">
            <w:pPr>
              <w:jc w:val="left"/>
              <w:rPr>
                <w:rFonts w:asciiTheme="majorBidi" w:hAnsiTheme="majorBidi" w:cstheme="majorBidi"/>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033844" w:rsidRPr="00033844" w14:paraId="41362F9E" w14:textId="77777777" w:rsidTr="001A1B32">
              <w:trPr>
                <w:tblCellSpacing w:w="15" w:type="dxa"/>
              </w:trPr>
              <w:tc>
                <w:tcPr>
                  <w:tcW w:w="36" w:type="dxa"/>
                  <w:vAlign w:val="center"/>
                  <w:hideMark/>
                </w:tcPr>
                <w:p w14:paraId="5C9AFF04" w14:textId="77777777" w:rsidR="00033844" w:rsidRPr="00033844" w:rsidRDefault="00033844" w:rsidP="00033844">
                  <w:pPr>
                    <w:jc w:val="left"/>
                    <w:rPr>
                      <w:rFonts w:asciiTheme="majorBidi" w:hAnsiTheme="majorBidi" w:cstheme="majorBidi"/>
                      <w:szCs w:val="21"/>
                    </w:rPr>
                  </w:pPr>
                </w:p>
              </w:tc>
            </w:tr>
          </w:tbl>
          <w:p w14:paraId="56CDA134" w14:textId="77777777" w:rsidR="00033844" w:rsidRPr="00033844" w:rsidRDefault="00033844" w:rsidP="00033844">
            <w:pPr>
              <w:jc w:val="left"/>
              <w:rPr>
                <w:rFonts w:asciiTheme="majorBidi" w:hAnsiTheme="majorBidi" w:cstheme="majorBidi"/>
                <w:szCs w:val="21"/>
              </w:rPr>
            </w:pPr>
          </w:p>
        </w:tc>
        <w:tc>
          <w:tcPr>
            <w:tcW w:w="17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033844" w:rsidRPr="00033844" w14:paraId="1C39279A" w14:textId="77777777" w:rsidTr="001A1B32">
              <w:trPr>
                <w:tblCellSpacing w:w="15" w:type="dxa"/>
              </w:trPr>
              <w:tc>
                <w:tcPr>
                  <w:tcW w:w="9300" w:type="dxa"/>
                  <w:vAlign w:val="center"/>
                  <w:hideMark/>
                </w:tcPr>
                <w:p w14:paraId="29AE3BCE"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National Agriculture Imagery Program (NAIP) – 1-meter resolution satellite imagery (captured July 2016, leaf-on season)</w:t>
                  </w:r>
                </w:p>
              </w:tc>
            </w:tr>
          </w:tbl>
          <w:p w14:paraId="57B109A6" w14:textId="77777777" w:rsidR="00033844" w:rsidRPr="00033844" w:rsidRDefault="00033844" w:rsidP="00033844">
            <w:pPr>
              <w:jc w:val="left"/>
              <w:rPr>
                <w:rFonts w:asciiTheme="majorBidi" w:hAnsiTheme="majorBidi" w:cstheme="majorBidi"/>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033844" w:rsidRPr="00033844" w14:paraId="5694D9C6" w14:textId="77777777" w:rsidTr="001A1B32">
              <w:trPr>
                <w:tblCellSpacing w:w="15" w:type="dxa"/>
              </w:trPr>
              <w:tc>
                <w:tcPr>
                  <w:tcW w:w="36" w:type="dxa"/>
                  <w:vAlign w:val="center"/>
                  <w:hideMark/>
                </w:tcPr>
                <w:p w14:paraId="3DCC02D1" w14:textId="77777777" w:rsidR="00033844" w:rsidRPr="00033844" w:rsidRDefault="00033844" w:rsidP="00033844">
                  <w:pPr>
                    <w:jc w:val="left"/>
                    <w:rPr>
                      <w:rFonts w:asciiTheme="majorBidi" w:hAnsiTheme="majorBidi" w:cstheme="majorBidi"/>
                      <w:szCs w:val="21"/>
                    </w:rPr>
                  </w:pPr>
                </w:p>
              </w:tc>
            </w:tr>
          </w:tbl>
          <w:p w14:paraId="27737692" w14:textId="77777777" w:rsidR="00033844" w:rsidRPr="00033844" w:rsidRDefault="00033844" w:rsidP="00033844">
            <w:pPr>
              <w:jc w:val="left"/>
              <w:rPr>
                <w:rFonts w:asciiTheme="majorBidi" w:hAnsiTheme="majorBidi" w:cstheme="majorBidi"/>
                <w:szCs w:val="21"/>
              </w:rPr>
            </w:pPr>
          </w:p>
        </w:tc>
        <w:tc>
          <w:tcPr>
            <w:tcW w:w="1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3"/>
            </w:tblGrid>
            <w:tr w:rsidR="00033844" w:rsidRPr="00033844" w14:paraId="5B70B7FC" w14:textId="77777777" w:rsidTr="001A1B32">
              <w:trPr>
                <w:tblCellSpacing w:w="15" w:type="dxa"/>
              </w:trPr>
              <w:tc>
                <w:tcPr>
                  <w:tcW w:w="3123" w:type="dxa"/>
                  <w:vAlign w:val="center"/>
                  <w:hideMark/>
                </w:tcPr>
                <w:p w14:paraId="1398794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Ecological cross-sectional study</w:t>
                  </w:r>
                </w:p>
              </w:tc>
            </w:tr>
          </w:tbl>
          <w:p w14:paraId="0E4F24AD" w14:textId="77777777" w:rsidR="00033844" w:rsidRPr="00033844" w:rsidRDefault="00033844" w:rsidP="00033844">
            <w:pPr>
              <w:jc w:val="left"/>
              <w:rPr>
                <w:rFonts w:asciiTheme="majorBidi" w:hAnsiTheme="majorBidi" w:cstheme="majorBidi"/>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033844" w:rsidRPr="00033844" w14:paraId="3CE89FAC" w14:textId="77777777" w:rsidTr="001A1B32">
              <w:trPr>
                <w:tblCellSpacing w:w="15" w:type="dxa"/>
              </w:trPr>
              <w:tc>
                <w:tcPr>
                  <w:tcW w:w="36" w:type="dxa"/>
                  <w:vAlign w:val="center"/>
                  <w:hideMark/>
                </w:tcPr>
                <w:p w14:paraId="0D3ECA6E" w14:textId="77777777" w:rsidR="00033844" w:rsidRPr="00033844" w:rsidRDefault="00033844" w:rsidP="00033844">
                  <w:pPr>
                    <w:jc w:val="left"/>
                    <w:rPr>
                      <w:rFonts w:asciiTheme="majorBidi" w:hAnsiTheme="majorBidi" w:cstheme="majorBidi"/>
                      <w:szCs w:val="21"/>
                    </w:rPr>
                  </w:pPr>
                </w:p>
              </w:tc>
            </w:tr>
          </w:tbl>
          <w:p w14:paraId="43426ECA" w14:textId="77777777" w:rsidR="00033844" w:rsidRPr="00033844" w:rsidRDefault="00033844" w:rsidP="00033844">
            <w:pPr>
              <w:jc w:val="left"/>
              <w:rPr>
                <w:rFonts w:asciiTheme="majorBidi" w:hAnsiTheme="majorBidi" w:cstheme="majorBidi"/>
                <w:szCs w:val="21"/>
              </w:rPr>
            </w:pPr>
          </w:p>
        </w:tc>
        <w:tc>
          <w:tcPr>
            <w:tcW w:w="2070" w:type="dxa"/>
          </w:tcPr>
          <w:p w14:paraId="4A4B1950" w14:textId="40B01454"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Greenspace percentage </w:t>
              <w:br/>
              <w:t>Mean size</w:t>
              <w:br/>
              <w:t xml:space="preserve">Fragmentation </w:t>
              <w:br/>
              <w:t xml:space="preserve">Connectedness </w:t>
              <w:br/>
              <w:t xml:space="preserve">Aggregation </w:t>
              <w:br/>
              <w:t xml:space="preserve">Shape complexity </w:t>
            </w:r>
          </w:p>
        </w:tc>
        <w:tc>
          <w:tcPr>
            <w:tcW w:w="17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15"/>
            </w:tblGrid>
            <w:tr w:rsidR="00033844" w:rsidRPr="00033844" w14:paraId="117E81EB" w14:textId="77777777" w:rsidTr="001A1B32">
              <w:trPr>
                <w:tblCellSpacing w:w="15" w:type="dxa"/>
              </w:trPr>
              <w:tc>
                <w:tcPr>
                  <w:tcW w:w="5655" w:type="dxa"/>
                  <w:vAlign w:val="center"/>
                  <w:hideMark/>
                </w:tcPr>
                <w:p w14:paraId="3E16F33F"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Leisure-time physical activity (no activity vs. any activity)</w:t>
                  </w:r>
                </w:p>
              </w:tc>
            </w:tr>
          </w:tbl>
          <w:p w14:paraId="3D4AD988" w14:textId="77777777" w:rsidR="00033844" w:rsidRPr="00033844" w:rsidRDefault="00033844" w:rsidP="00033844">
            <w:pPr>
              <w:jc w:val="left"/>
              <w:rPr>
                <w:rFonts w:asciiTheme="majorBidi" w:hAnsiTheme="majorBidi" w:cstheme="majorBidi"/>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033844" w:rsidRPr="00033844" w14:paraId="2BE74973" w14:textId="77777777" w:rsidTr="001A1B32">
              <w:trPr>
                <w:tblCellSpacing w:w="15" w:type="dxa"/>
              </w:trPr>
              <w:tc>
                <w:tcPr>
                  <w:tcW w:w="36" w:type="dxa"/>
                  <w:vAlign w:val="center"/>
                  <w:hideMark/>
                </w:tcPr>
                <w:p w14:paraId="7B8802FB" w14:textId="77777777" w:rsidR="00033844" w:rsidRPr="00033844" w:rsidRDefault="00033844" w:rsidP="00033844">
                  <w:pPr>
                    <w:jc w:val="left"/>
                    <w:rPr>
                      <w:rFonts w:asciiTheme="majorBidi" w:hAnsiTheme="majorBidi" w:cstheme="majorBidi"/>
                      <w:szCs w:val="21"/>
                    </w:rPr>
                  </w:pPr>
                </w:p>
              </w:tc>
            </w:tr>
          </w:tbl>
          <w:p w14:paraId="62F99AC4" w14:textId="77777777" w:rsidR="00033844" w:rsidRPr="00033844" w:rsidRDefault="00033844" w:rsidP="00033844">
            <w:pPr>
              <w:jc w:val="left"/>
              <w:rPr>
                <w:rFonts w:asciiTheme="majorBidi" w:hAnsiTheme="majorBidi" w:cstheme="majorBidi"/>
                <w:szCs w:val="21"/>
              </w:rPr>
            </w:pPr>
          </w:p>
        </w:tc>
        <w:tc>
          <w:tcPr>
            <w:tcW w:w="22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50"/>
            </w:tblGrid>
            <w:tr w:rsidR="00033844" w:rsidRPr="00033844" w14:paraId="21646CB6" w14:textId="77777777" w:rsidTr="001A1B32">
              <w:trPr>
                <w:tblCellSpacing w:w="15" w:type="dxa"/>
              </w:trPr>
              <w:tc>
                <w:tcPr>
                  <w:tcW w:w="5090" w:type="dxa"/>
                  <w:vAlign w:val="center"/>
                  <w:hideMark/>
                </w:tcPr>
                <w:p w14:paraId="1CB330D0"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 xml:space="preserve">CDC PLACES: </w:t>
                  </w:r>
                  <w:r>
                    <w:rPr>
                      <w:rFonts w:asciiTheme="majorBidi" w:hAnsiTheme="majorBidi" w:cstheme="majorBidi"/>
                      <w:i/>
                      <w:iCs/>
                      <w:szCs w:val="21"/>
                    </w:rPr>
                    <w:t>Local Data for Better Health</w:t>
                  </w:r>
                  <w:r>
                    <w:rPr>
                      <w:rFonts w:asciiTheme="majorBidi" w:hAnsiTheme="majorBidi" w:cstheme="majorBidi"/>
                      <w:szCs w:val="21"/>
                    </w:rPr>
                    <w:t xml:space="preserve"> (2016)</w:t>
                  </w:r>
                </w:p>
              </w:tc>
            </w:tr>
          </w:tbl>
          <w:p w14:paraId="24AB5118" w14:textId="77777777" w:rsidR="00033844" w:rsidRPr="00033844" w:rsidRDefault="00033844" w:rsidP="00033844">
            <w:pPr>
              <w:jc w:val="left"/>
              <w:rPr>
                <w:rFonts w:asciiTheme="majorBidi" w:hAnsiTheme="majorBidi" w:cstheme="majorBidi"/>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033844" w:rsidRPr="00033844" w14:paraId="122CA718" w14:textId="77777777" w:rsidTr="001A1B32">
              <w:trPr>
                <w:tblCellSpacing w:w="15" w:type="dxa"/>
              </w:trPr>
              <w:tc>
                <w:tcPr>
                  <w:tcW w:w="36" w:type="dxa"/>
                  <w:vAlign w:val="center"/>
                  <w:hideMark/>
                </w:tcPr>
                <w:p w14:paraId="5B52CA6D" w14:textId="77777777" w:rsidR="00033844" w:rsidRPr="00033844" w:rsidRDefault="00033844" w:rsidP="00033844">
                  <w:pPr>
                    <w:jc w:val="left"/>
                    <w:rPr>
                      <w:rFonts w:asciiTheme="majorBidi" w:hAnsiTheme="majorBidi" w:cstheme="majorBidi"/>
                      <w:szCs w:val="21"/>
                    </w:rPr>
                  </w:pPr>
                </w:p>
              </w:tc>
            </w:tr>
          </w:tbl>
          <w:p w14:paraId="561301FC" w14:textId="77777777" w:rsidR="00033844" w:rsidRPr="00033844" w:rsidRDefault="00033844" w:rsidP="00033844">
            <w:pPr>
              <w:jc w:val="left"/>
              <w:rPr>
                <w:rFonts w:asciiTheme="majorBidi" w:hAnsiTheme="majorBidi" w:cstheme="majorBidi"/>
                <w:szCs w:val="21"/>
              </w:rPr>
            </w:pPr>
          </w:p>
        </w:tc>
        <w:tc>
          <w:tcPr>
            <w:tcW w:w="2700" w:type="dxa"/>
          </w:tcPr>
          <w:p w14:paraId="323FF837"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Self-reported telephone survey: “In the past month, aside from your regular job, did you engage in any physical activities or exercises such as running, calisthenics, golf, gardening, or walking for exercise?”</w:t>
            </w:r>
          </w:p>
        </w:tc>
        <w:tc>
          <w:tcPr>
            <w:tcW w:w="1710" w:type="dxa"/>
          </w:tcPr>
          <w:p w14:paraId="5B221D63" w14:textId="77777777" w:rsidR="00033844" w:rsidRPr="00033844" w:rsidRDefault="00033844" w:rsidP="00033844">
            <w:pPr>
              <w:jc w:val="left"/>
              <w:rPr>
                <w:rFonts w:asciiTheme="majorBidi" w:hAnsiTheme="majorBidi" w:cstheme="majorBidi"/>
                <w:szCs w:val="21"/>
              </w:rPr>
            </w:pPr>
            <w:r>
              <w:rPr>
                <w:rFonts w:asciiTheme="majorBidi" w:hAnsiTheme="majorBidi" w:cstheme="majorBidi"/>
                <w:szCs w:val="21"/>
              </w:rPr>
              <w:t>General urban population represented at the census-tract level (residents of Los Angeles City)</w:t>
            </w:r>
          </w:p>
        </w:tc>
      </w:tr>
      <w:bookmarkEnd w:id="1"/>
    </w:tbl>
    <w:p w14:paraId="5E8C6CBE" w14:textId="345CE912" w:rsidR="00AE5170" w:rsidRPr="00CF2149" w:rsidRDefault="00AE5170" w:rsidP="00CF2149">
      <w:pPr>
        <w:rPr>
          <w:rFonts w:asciiTheme="majorBidi" w:hAnsiTheme="majorBidi" w:cstheme="majorBidi"/>
          <w:szCs w:val="21"/>
        </w:rPr>
        <w:sectPr w:rsidR="00AE5170" w:rsidRPr="00CF2149" w:rsidSect="00E45623">
          <w:pgSz w:w="24480" w:h="15840" w:orient="landscape" w:code="3"/>
          <w:pgMar w:top="1800" w:right="1440" w:bottom="1800" w:left="1440" w:header="851" w:footer="992" w:gutter="0"/>
          <w:cols w:space="425"/>
          <w:docGrid w:type="lines" w:linePitch="312"/>
        </w:sectPr>
      </w:pPr>
    </w:p>
    <w:p w14:paraId="747B7C9A" w14:textId="19E467F7" w:rsidR="00CB0DEB" w:rsidRPr="00027351" w:rsidRDefault="00027351" w:rsidP="00027351">
      <w:pPr>
        <w:rPr>
          <w:rFonts w:asciiTheme="majorBidi" w:hAnsiTheme="majorBidi" w:cstheme="majorBidi"/>
          <w:b/>
          <w:bCs/>
          <w:sz w:val="24"/>
          <w:szCs w:val="28"/>
          <w:shd w:val="clear" w:color="auto" w:fill="FFFFFF" w:themeFill="background1"/>
        </w:rPr>
      </w:pPr>
      <w:r>
        <w:rPr>
          <w:rFonts w:asciiTheme="majorBidi" w:hAnsiTheme="majorBidi" w:cstheme="majorBidi"/>
          <w:b/>
          <w:bCs/>
          <w:sz w:val="24"/>
          <w:szCs w:val="28"/>
          <w:shd w:val="clear" w:color="auto" w:fill="FFFFFF" w:themeFill="background1"/>
        </w:rPr>
        <w:lastRenderedPageBreak/>
        <w:t>Supplementary Information F. Meta-analysis Details</w:t>
      </w:r>
    </w:p>
    <w:p w14:paraId="76557B96" w14:textId="40156E66" w:rsidR="00CB0DEB" w:rsidRDefault="00027351" w:rsidP="00027351">
      <w:pPr>
        <w:rPr>
          <w:rFonts w:asciiTheme="majorBidi" w:hAnsiTheme="majorBidi" w:cstheme="majorBidi"/>
          <w:szCs w:val="21"/>
          <w:shd w:val="clear" w:color="auto" w:fill="FFFFFF" w:themeFill="background1"/>
        </w:rPr>
      </w:pPr>
      <w:r>
        <w:rPr>
          <w:rFonts w:asciiTheme="majorBidi" w:hAnsiTheme="majorBidi" w:cstheme="majorBidi"/>
          <w:szCs w:val="21"/>
          <w:shd w:val="clear" w:color="auto" w:fill="FFFFFF" w:themeFill="background1"/>
        </w:rPr>
        <w:t>Detailed information on effect size selection, harmonization procedures, and statistical models used in the meta-analysis are provided in this appendix. This includes study-level effect estimates, forest plots, and additional diagnostic analyses supporting the robustness of pooled results.</w:t>
      </w:r>
    </w:p>
    <w:p w14:paraId="4B4CD574" w14:textId="77777777" w:rsidR="00027351" w:rsidRDefault="00027351" w:rsidP="00027351">
      <w:pPr>
        <w:rPr>
          <w:rFonts w:asciiTheme="majorBidi" w:hAnsiTheme="majorBidi" w:cstheme="majorBidi"/>
          <w:szCs w:val="21"/>
          <w:shd w:val="clear" w:color="auto" w:fill="FFFFFF" w:themeFill="background1"/>
        </w:rPr>
      </w:pPr>
    </w:p>
    <w:p w14:paraId="19D7709C" w14:textId="205EA39A" w:rsidR="00027351" w:rsidRPr="00027351" w:rsidRDefault="00027351" w:rsidP="00027351">
      <w:pPr>
        <w:pStyle w:val="Caption"/>
        <w:keepNext/>
        <w:rPr>
          <w:rFonts w:asciiTheme="majorBidi" w:hAnsiTheme="majorBidi" w:cstheme="majorBidi"/>
          <w:b/>
          <w:bCs/>
          <w:i w:val="0"/>
          <w:iCs w:val="0"/>
          <w:color w:val="auto"/>
          <w:sz w:val="22"/>
          <w:szCs w:val="22"/>
        </w:rPr>
      </w:pPr>
      <w:r>
        <w:rPr>
          <w:rFonts w:asciiTheme="majorBidi" w:hAnsiTheme="majorBidi" w:cstheme="majorBidi"/>
          <w:b/>
          <w:bCs/>
          <w:i w:val="0"/>
          <w:iCs w:val="0"/>
          <w:color w:val="auto"/>
          <w:sz w:val="22"/>
          <w:szCs w:val="22"/>
        </w:rPr>
        <w:t>F1. Study-level effect estimates included in meta-analysis (NDVI)</w:t>
      </w:r>
    </w:p>
    <w:p w14:paraId="208A2E21" w14:textId="5554308D" w:rsidR="00027351" w:rsidRPr="00027351" w:rsidRDefault="00027351" w:rsidP="00027351">
      <w:pPr>
        <w:pStyle w:val="Caption"/>
        <w:keepNext/>
        <w:rPr>
          <w:rFonts w:asciiTheme="majorBidi" w:hAnsiTheme="majorBidi" w:cstheme="majorBidi"/>
          <w:b/>
          <w:bCs/>
          <w:color w:val="auto"/>
          <w:sz w:val="20"/>
          <w:szCs w:val="20"/>
        </w:rPr>
      </w:pPr>
      <w:r>
        <w:rPr>
          <w:rFonts w:asciiTheme="majorBidi" w:hAnsiTheme="majorBidi" w:cstheme="majorBidi"/>
          <w:b/>
          <w:bCs/>
          <w:color w:val="auto"/>
          <w:sz w:val="20"/>
          <w:szCs w:val="20"/>
        </w:rPr>
        <w:t>Table F1. Study-level effect estimates included in the meta-analysis of satellite-derived greenness (NDVI) and physical activity. Effect sizes were harmonized so that odds ratios (ORs) greater than 1 indicate higher levels of physical activity. When multiple estimates were available, the most fully adjusted and conceptually relevant model was selected. Detailed notes describe specific modeling choices and harmonization steps.</w:t>
      </w:r>
    </w:p>
    <w:tbl>
      <w:tblPr>
        <w:tblStyle w:val="PlainTable21"/>
        <w:tblW w:w="13945" w:type="dxa"/>
        <w:tblLayout w:type="fixed"/>
        <w:tblLook w:val="0000" w:firstRow="0" w:lastRow="0" w:firstColumn="0" w:lastColumn="0" w:noHBand="0" w:noVBand="0"/>
      </w:tblPr>
      <w:tblGrid>
        <w:gridCol w:w="1525"/>
        <w:gridCol w:w="1980"/>
        <w:gridCol w:w="1980"/>
        <w:gridCol w:w="990"/>
        <w:gridCol w:w="1170"/>
        <w:gridCol w:w="1350"/>
        <w:gridCol w:w="2430"/>
        <w:gridCol w:w="2520"/>
      </w:tblGrid>
      <w:tr w:rsidR="00027351" w14:paraId="0304AED4" w14:textId="77777777" w:rsidTr="00027351">
        <w:trPr>
          <w:cnfStyle w:val="000000100000" w:firstRow="0" w:lastRow="0" w:firstColumn="0" w:lastColumn="0" w:oddVBand="0" w:evenVBand="0" w:oddHBand="1" w:evenHBand="0"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1525" w:type="dxa"/>
            <w:vAlign w:val="center"/>
          </w:tcPr>
          <w:p w14:paraId="5846A43F"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Study</w:t>
            </w:r>
          </w:p>
        </w:tc>
        <w:tc>
          <w:tcPr>
            <w:cnfStyle w:val="000001000000" w:firstRow="0" w:lastRow="0" w:firstColumn="0" w:lastColumn="0" w:oddVBand="0" w:evenVBand="1" w:oddHBand="0" w:evenHBand="0" w:firstRowFirstColumn="0" w:firstRowLastColumn="0" w:lastRowFirstColumn="0" w:lastRowLastColumn="0"/>
            <w:tcW w:w="1980" w:type="dxa"/>
            <w:vAlign w:val="center"/>
          </w:tcPr>
          <w:p w14:paraId="2917F402"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Physical activity outcome</w:t>
            </w:r>
          </w:p>
        </w:tc>
        <w:tc>
          <w:tcPr>
            <w:cnfStyle w:val="000010000000" w:firstRow="0" w:lastRow="0" w:firstColumn="0" w:lastColumn="0" w:oddVBand="1" w:evenVBand="0" w:oddHBand="0" w:evenHBand="0" w:firstRowFirstColumn="0" w:firstRowLastColumn="0" w:lastRowFirstColumn="0" w:lastRowLastColumn="0"/>
            <w:tcW w:w="1980" w:type="dxa"/>
            <w:vAlign w:val="center"/>
          </w:tcPr>
          <w:p w14:paraId="16F8B284"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Exposure contrast (NDVI)</w:t>
            </w:r>
          </w:p>
        </w:tc>
        <w:tc>
          <w:tcPr>
            <w:cnfStyle w:val="000001000000" w:firstRow="0" w:lastRow="0" w:firstColumn="0" w:lastColumn="0" w:oddVBand="0" w:evenVBand="1" w:oddHBand="0" w:evenHBand="0" w:firstRowFirstColumn="0" w:firstRowLastColumn="0" w:lastRowFirstColumn="0" w:lastRowLastColumn="0"/>
            <w:tcW w:w="990" w:type="dxa"/>
            <w:vAlign w:val="center"/>
          </w:tcPr>
          <w:p w14:paraId="5DE537DC"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OR</w:t>
            </w:r>
          </w:p>
        </w:tc>
        <w:tc>
          <w:tcPr>
            <w:cnfStyle w:val="000010000000" w:firstRow="0" w:lastRow="0" w:firstColumn="0" w:lastColumn="0" w:oddVBand="1" w:evenVBand="0" w:oddHBand="0" w:evenHBand="0" w:firstRowFirstColumn="0" w:firstRowLastColumn="0" w:lastRowFirstColumn="0" w:lastRowLastColumn="0"/>
            <w:tcW w:w="1170" w:type="dxa"/>
            <w:vAlign w:val="center"/>
          </w:tcPr>
          <w:p w14:paraId="3D9CDED2"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95% CI (lower)</w:t>
            </w:r>
          </w:p>
        </w:tc>
        <w:tc>
          <w:tcPr>
            <w:cnfStyle w:val="000001000000" w:firstRow="0" w:lastRow="0" w:firstColumn="0" w:lastColumn="0" w:oddVBand="0" w:evenVBand="1" w:oddHBand="0" w:evenHBand="0" w:firstRowFirstColumn="0" w:firstRowLastColumn="0" w:lastRowFirstColumn="0" w:lastRowLastColumn="0"/>
            <w:tcW w:w="1350" w:type="dxa"/>
            <w:vAlign w:val="center"/>
          </w:tcPr>
          <w:p w14:paraId="461CE758"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95% CI (upper)</w:t>
            </w:r>
          </w:p>
        </w:tc>
        <w:tc>
          <w:tcPr>
            <w:cnfStyle w:val="000010000000" w:firstRow="0" w:lastRow="0" w:firstColumn="0" w:lastColumn="0" w:oddVBand="1" w:evenVBand="0" w:oddHBand="0" w:evenHBand="0" w:firstRowFirstColumn="0" w:firstRowLastColumn="0" w:lastRowFirstColumn="0" w:lastRowLastColumn="0"/>
            <w:tcW w:w="2430" w:type="dxa"/>
            <w:vAlign w:val="center"/>
          </w:tcPr>
          <w:p w14:paraId="5DE3F8A1"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Covariate adjustment</w:t>
            </w:r>
          </w:p>
        </w:tc>
        <w:tc>
          <w:tcPr>
            <w:cnfStyle w:val="000001000000" w:firstRow="0" w:lastRow="0" w:firstColumn="0" w:lastColumn="0" w:oddVBand="0" w:evenVBand="1" w:oddHBand="0" w:evenHBand="0" w:firstRowFirstColumn="0" w:firstRowLastColumn="0" w:lastRowFirstColumn="0" w:lastRowLastColumn="0"/>
            <w:tcW w:w="2520" w:type="dxa"/>
            <w:vAlign w:val="center"/>
          </w:tcPr>
          <w:p w14:paraId="0DC61447" w14:textId="77777777" w:rsidR="00027351" w:rsidRPr="00027351" w:rsidRDefault="00027351" w:rsidP="00027351">
            <w:pPr>
              <w:widowControl/>
              <w:autoSpaceDE w:val="0"/>
              <w:autoSpaceDN w:val="0"/>
              <w:adjustRightInd w:val="0"/>
              <w:jc w:val="center"/>
              <w:rPr>
                <w:rFonts w:asciiTheme="majorBidi" w:hAnsiTheme="majorBidi" w:cstheme="majorBidi"/>
                <w:b/>
                <w:bCs/>
                <w:color w:val="000000"/>
                <w:kern w:val="0"/>
                <w:sz w:val="18"/>
                <w:szCs w:val="18"/>
              </w:rPr>
            </w:pPr>
            <w:r>
              <w:rPr>
                <w:rFonts w:asciiTheme="majorBidi" w:hAnsiTheme="majorBidi" w:cstheme="majorBidi"/>
                <w:b/>
                <w:bCs/>
                <w:color w:val="000000"/>
                <w:kern w:val="0"/>
                <w:sz w:val="18"/>
                <w:szCs w:val="18"/>
              </w:rPr>
              <w:t>Notes</w:t>
            </w:r>
          </w:p>
        </w:tc>
      </w:tr>
      <w:tr w:rsidR="00027351" w14:paraId="094004DF" w14:textId="77777777" w:rsidTr="00027351">
        <w:trPr>
          <w:trHeight w:val="872"/>
        </w:trPr>
        <w:tc>
          <w:tcPr>
            <w:cnfStyle w:val="000010000000" w:firstRow="0" w:lastRow="0" w:firstColumn="0" w:lastColumn="0" w:oddVBand="1" w:evenVBand="0" w:oddHBand="0" w:evenHBand="0" w:firstRowFirstColumn="0" w:firstRowLastColumn="0" w:lastRowFirstColumn="0" w:lastRowLastColumn="0"/>
            <w:tcW w:w="1525" w:type="dxa"/>
          </w:tcPr>
          <w:p w14:paraId="65B3B5F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Almanza et al., 2012</w:t>
            </w:r>
          </w:p>
        </w:tc>
        <w:tc>
          <w:tcPr>
            <w:cnfStyle w:val="000001000000" w:firstRow="0" w:lastRow="0" w:firstColumn="0" w:lastColumn="0" w:oddVBand="0" w:evenVBand="1" w:oddHBand="0" w:evenHBand="0" w:firstRowFirstColumn="0" w:firstRowLastColumn="0" w:lastRowFirstColumn="0" w:lastRowLastColumn="0"/>
            <w:tcW w:w="1980" w:type="dxa"/>
          </w:tcPr>
          <w:p w14:paraId="3A595C84"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(accelerometer-based, momentary 30-s epochs; children 8–14)</w:t>
            </w:r>
          </w:p>
        </w:tc>
        <w:tc>
          <w:tcPr>
            <w:cnfStyle w:val="000010000000" w:firstRow="0" w:lastRow="0" w:firstColumn="0" w:lastColumn="0" w:oddVBand="1" w:evenVBand="0" w:oddHBand="0" w:evenHBand="0" w:firstRowFirstColumn="0" w:firstRowLastColumn="0" w:lastRowFirstColumn="0" w:lastRowLastColumn="0"/>
            <w:tcW w:w="1980" w:type="dxa"/>
          </w:tcPr>
          <w:p w14:paraId="113F07E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10th–90th percentile increase in NDVI (≈ +0.11)</w:t>
            </w:r>
          </w:p>
        </w:tc>
        <w:tc>
          <w:tcPr>
            <w:cnfStyle w:val="000001000000" w:firstRow="0" w:lastRow="0" w:firstColumn="0" w:lastColumn="0" w:oddVBand="0" w:evenVBand="1" w:oddHBand="0" w:evenHBand="0" w:firstRowFirstColumn="0" w:firstRowLastColumn="0" w:lastRowFirstColumn="0" w:lastRowLastColumn="0"/>
            <w:tcW w:w="990" w:type="dxa"/>
          </w:tcPr>
          <w:p w14:paraId="3A1DE0A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1.39</w:t>
            </w:r>
          </w:p>
        </w:tc>
        <w:tc>
          <w:tcPr>
            <w:cnfStyle w:val="000010000000" w:firstRow="0" w:lastRow="0" w:firstColumn="0" w:lastColumn="0" w:oddVBand="1" w:evenVBand="0" w:oddHBand="0" w:evenHBand="0" w:firstRowFirstColumn="0" w:firstRowLastColumn="0" w:lastRowFirstColumn="0" w:lastRowLastColumn="0"/>
            <w:tcW w:w="1170" w:type="dxa"/>
          </w:tcPr>
          <w:p w14:paraId="273F92E6"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1.36</w:t>
            </w:r>
          </w:p>
        </w:tc>
        <w:tc>
          <w:tcPr>
            <w:cnfStyle w:val="000001000000" w:firstRow="0" w:lastRow="0" w:firstColumn="0" w:lastColumn="0" w:oddVBand="0" w:evenVBand="1" w:oddHBand="0" w:evenHBand="0" w:firstRowFirstColumn="0" w:firstRowLastColumn="0" w:lastRowFirstColumn="0" w:lastRowLastColumn="0"/>
            <w:tcW w:w="1350" w:type="dxa"/>
          </w:tcPr>
          <w:p w14:paraId="4CF3588C"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1.44</w:t>
            </w:r>
          </w:p>
        </w:tc>
        <w:tc>
          <w:tcPr>
            <w:cnfStyle w:val="000010000000" w:firstRow="0" w:lastRow="0" w:firstColumn="0" w:lastColumn="0" w:oddVBand="1" w:evenVBand="0" w:oddHBand="0" w:evenHBand="0" w:firstRowFirstColumn="0" w:firstRowLastColumn="0" w:lastRowFirstColumn="0" w:lastRowLastColumn="0"/>
            <w:tcW w:w="2430" w:type="dxa"/>
          </w:tcPr>
          <w:p w14:paraId="2E98C84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(age, sex, race, income, BMI, time context, spatial kernel; stratified by community type)</w:t>
            </w:r>
          </w:p>
        </w:tc>
        <w:tc>
          <w:tcPr>
            <w:cnfStyle w:val="000001000000" w:firstRow="0" w:lastRow="0" w:firstColumn="0" w:lastColumn="0" w:oddVBand="0" w:evenVBand="1" w:oddHBand="0" w:evenHBand="0" w:firstRowFirstColumn="0" w:firstRowLastColumn="0" w:lastRowFirstColumn="0" w:lastRowLastColumn="0"/>
            <w:tcW w:w="2520" w:type="dxa"/>
          </w:tcPr>
          <w:p w14:paraId="36482855"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Neighborhood MVPA outside home/school; OR shown for smart growth communities</w:t>
            </w:r>
          </w:p>
        </w:tc>
      </w:tr>
      <w:tr w:rsidR="00027351" w14:paraId="48A854B5" w14:textId="77777777" w:rsidTr="00027351">
        <w:trPr>
          <w:cnfStyle w:val="000000100000" w:firstRow="0" w:lastRow="0" w:firstColumn="0" w:lastColumn="0" w:oddVBand="0" w:evenVBand="0" w:oddHBand="1" w:evenHBand="0" w:firstRowFirstColumn="0" w:firstRowLastColumn="0" w:lastRowFirstColumn="0" w:lastRowLastColumn="0"/>
          <w:trHeight w:val="1070"/>
        </w:trPr>
        <w:tc>
          <w:tcPr>
            <w:cnfStyle w:val="000010000000" w:firstRow="0" w:lastRow="0" w:firstColumn="0" w:lastColumn="0" w:oddVBand="1" w:evenVBand="0" w:oddHBand="0" w:evenHBand="0" w:firstRowFirstColumn="0" w:firstRowLastColumn="0" w:lastRowFirstColumn="0" w:lastRowLastColumn="0"/>
            <w:tcW w:w="1525" w:type="dxa"/>
          </w:tcPr>
          <w:p w14:paraId="78079721"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Almeida et al., 2024</w:t>
            </w:r>
          </w:p>
        </w:tc>
        <w:tc>
          <w:tcPr>
            <w:cnfStyle w:val="000001000000" w:firstRow="0" w:lastRow="0" w:firstColumn="0" w:lastColumn="0" w:oddVBand="0" w:evenVBand="1" w:oddHBand="0" w:evenHBand="0" w:firstRowFirstColumn="0" w:firstRowLastColumn="0" w:lastRowFirstColumn="0" w:lastRowLastColumn="0"/>
            <w:tcW w:w="1980" w:type="dxa"/>
          </w:tcPr>
          <w:p w14:paraId="563DCF1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MVPA (self-reported IPAQ; sustained MVPA over 3 visits)</w:t>
            </w:r>
          </w:p>
        </w:tc>
        <w:tc>
          <w:tcPr>
            <w:cnfStyle w:val="000010000000" w:firstRow="0" w:lastRow="0" w:firstColumn="0" w:lastColumn="0" w:oddVBand="1" w:evenVBand="0" w:oddHBand="0" w:evenHBand="0" w:firstRowFirstColumn="0" w:firstRowLastColumn="0" w:lastRowFirstColumn="0" w:lastRowLastColumn="0"/>
            <w:tcW w:w="1980" w:type="dxa"/>
          </w:tcPr>
          <w:p w14:paraId="1C3D7F3E"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quintiles (Q4 vs Q1; 500 m buffer)</w:t>
            </w:r>
          </w:p>
        </w:tc>
        <w:tc>
          <w:tcPr>
            <w:cnfStyle w:val="000001000000" w:firstRow="0" w:lastRow="0" w:firstColumn="0" w:lastColumn="0" w:oddVBand="0" w:evenVBand="1" w:oddHBand="0" w:evenHBand="0" w:firstRowFirstColumn="0" w:firstRowLastColumn="0" w:lastRowFirstColumn="0" w:lastRowLastColumn="0"/>
            <w:tcW w:w="990" w:type="dxa"/>
          </w:tcPr>
          <w:p w14:paraId="7E472C9C"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1.48</w:t>
            </w:r>
          </w:p>
        </w:tc>
        <w:tc>
          <w:tcPr>
            <w:cnfStyle w:val="000010000000" w:firstRow="0" w:lastRow="0" w:firstColumn="0" w:lastColumn="0" w:oddVBand="1" w:evenVBand="0" w:oddHBand="0" w:evenHBand="0" w:firstRowFirstColumn="0" w:firstRowLastColumn="0" w:lastRowFirstColumn="0" w:lastRowLastColumn="0"/>
            <w:tcW w:w="1170" w:type="dxa"/>
          </w:tcPr>
          <w:p w14:paraId="0B875AA1"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1.04</w:t>
            </w:r>
          </w:p>
        </w:tc>
        <w:tc>
          <w:tcPr>
            <w:cnfStyle w:val="000001000000" w:firstRow="0" w:lastRow="0" w:firstColumn="0" w:lastColumn="0" w:oddVBand="0" w:evenVBand="1" w:oddHBand="0" w:evenHBand="0" w:firstRowFirstColumn="0" w:firstRowLastColumn="0" w:lastRowFirstColumn="0" w:lastRowLastColumn="0"/>
            <w:tcW w:w="1350" w:type="dxa"/>
          </w:tcPr>
          <w:p w14:paraId="62AC930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2.12</w:t>
            </w:r>
          </w:p>
        </w:tc>
        <w:tc>
          <w:tcPr>
            <w:cnfStyle w:val="000010000000" w:firstRow="0" w:lastRow="0" w:firstColumn="0" w:lastColumn="0" w:oddVBand="1" w:evenVBand="0" w:oddHBand="0" w:evenHBand="0" w:firstRowFirstColumn="0" w:firstRowLastColumn="0" w:lastRowFirstColumn="0" w:lastRowLastColumn="0"/>
            <w:tcW w:w="2430" w:type="dxa"/>
          </w:tcPr>
          <w:p w14:paraId="11904FE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(sex, age, education, research center, slum residence, perceived safety, sidewalks, streetlights, neighborhood income)</w:t>
            </w:r>
          </w:p>
        </w:tc>
        <w:tc>
          <w:tcPr>
            <w:cnfStyle w:val="000001000000" w:firstRow="0" w:lastRow="0" w:firstColumn="0" w:lastColumn="0" w:oddVBand="0" w:evenVBand="1" w:oddHBand="0" w:evenHBand="0" w:firstRowFirstColumn="0" w:firstRowLastColumn="0" w:lastRowFirstColumn="0" w:lastRowLastColumn="0"/>
            <w:tcW w:w="2520" w:type="dxa"/>
          </w:tcPr>
          <w:p w14:paraId="68560FC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Longitudinal; adults; outcome = MVPA in all 3 visits</w:t>
            </w:r>
          </w:p>
        </w:tc>
      </w:tr>
      <w:tr w:rsidR="00027351" w14:paraId="638BD032" w14:textId="77777777" w:rsidTr="00027351">
        <w:trPr>
          <w:trHeight w:val="521"/>
        </w:trPr>
        <w:tc>
          <w:tcPr>
            <w:cnfStyle w:val="000010000000" w:firstRow="0" w:lastRow="0" w:firstColumn="0" w:lastColumn="0" w:oddVBand="1" w:evenVBand="0" w:oddHBand="0" w:evenHBand="0" w:firstRowFirstColumn="0" w:firstRowLastColumn="0" w:lastRowFirstColumn="0" w:lastRowLastColumn="0"/>
            <w:tcW w:w="1525" w:type="dxa"/>
          </w:tcPr>
          <w:p w14:paraId="7CC6708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Dadvand et al., 2014</w:t>
            </w:r>
          </w:p>
        </w:tc>
        <w:tc>
          <w:tcPr>
            <w:cnfStyle w:val="000001000000" w:firstRow="0" w:lastRow="0" w:firstColumn="0" w:lastColumn="0" w:oddVBand="0" w:evenVBand="1" w:oddHBand="0" w:evenHBand="0" w:firstRowFirstColumn="0" w:firstRowLastColumn="0" w:lastRowFirstColumn="0" w:lastRowLastColumn="0"/>
            <w:tcW w:w="1980" w:type="dxa"/>
          </w:tcPr>
          <w:p w14:paraId="63D8D864"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participation (lower sedentary behavior)</w:t>
            </w:r>
          </w:p>
        </w:tc>
        <w:tc>
          <w:tcPr>
            <w:cnfStyle w:val="000010000000" w:firstRow="0" w:lastRow="0" w:firstColumn="0" w:lastColumn="0" w:oddVBand="1" w:evenVBand="0" w:oddHBand="0" w:evenHBand="0" w:firstRowFirstColumn="0" w:firstRowLastColumn="0" w:lastRowFirstColumn="0" w:lastRowLastColumn="0"/>
            <w:tcW w:w="1980" w:type="dxa"/>
          </w:tcPr>
          <w:p w14:paraId="10F2683F"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IQR increase in NDVI (500 m buffer)</w:t>
            </w:r>
          </w:p>
        </w:tc>
        <w:tc>
          <w:tcPr>
            <w:cnfStyle w:val="000001000000" w:firstRow="0" w:lastRow="0" w:firstColumn="0" w:lastColumn="0" w:oddVBand="0" w:evenVBand="1" w:oddHBand="0" w:evenHBand="0" w:firstRowFirstColumn="0" w:firstRowLastColumn="0" w:lastRowFirstColumn="0" w:lastRowLastColumn="0"/>
            <w:tcW w:w="990" w:type="dxa"/>
          </w:tcPr>
          <w:p w14:paraId="3E95EC4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1.18</w:t>
            </w:r>
          </w:p>
        </w:tc>
        <w:tc>
          <w:tcPr>
            <w:cnfStyle w:val="000010000000" w:firstRow="0" w:lastRow="0" w:firstColumn="0" w:lastColumn="0" w:oddVBand="1" w:evenVBand="0" w:oddHBand="0" w:evenHBand="0" w:firstRowFirstColumn="0" w:firstRowLastColumn="0" w:lastRowFirstColumn="0" w:lastRowLastColumn="0"/>
            <w:tcW w:w="1170" w:type="dxa"/>
          </w:tcPr>
          <w:p w14:paraId="18969D9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1.03</w:t>
            </w:r>
          </w:p>
        </w:tc>
        <w:tc>
          <w:tcPr>
            <w:cnfStyle w:val="000001000000" w:firstRow="0" w:lastRow="0" w:firstColumn="0" w:lastColumn="0" w:oddVBand="0" w:evenVBand="1" w:oddHBand="0" w:evenHBand="0" w:firstRowFirstColumn="0" w:firstRowLastColumn="0" w:lastRowFirstColumn="0" w:lastRowLastColumn="0"/>
            <w:tcW w:w="1350" w:type="dxa"/>
          </w:tcPr>
          <w:p w14:paraId="6528610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1.35</w:t>
            </w:r>
          </w:p>
        </w:tc>
        <w:tc>
          <w:tcPr>
            <w:cnfStyle w:val="000010000000" w:firstRow="0" w:lastRow="0" w:firstColumn="0" w:lastColumn="0" w:oddVBand="1" w:evenVBand="0" w:oddHBand="0" w:evenHBand="0" w:firstRowFirstColumn="0" w:firstRowLastColumn="0" w:lastRowFirstColumn="0" w:lastRowLastColumn="0"/>
            <w:tcW w:w="2430" w:type="dxa"/>
          </w:tcPr>
          <w:p w14:paraId="591E3136"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(age, sex, parental education, school type, siblings)</w:t>
            </w:r>
          </w:p>
        </w:tc>
        <w:tc>
          <w:tcPr>
            <w:cnfStyle w:val="000001000000" w:firstRow="0" w:lastRow="0" w:firstColumn="0" w:lastColumn="0" w:oddVBand="0" w:evenVBand="1" w:oddHBand="0" w:evenHBand="0" w:firstRowFirstColumn="0" w:firstRowLastColumn="0" w:lastRowFirstColumn="0" w:lastRowLastColumn="0"/>
            <w:tcW w:w="2520" w:type="dxa"/>
          </w:tcPr>
          <w:p w14:paraId="7652DA4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Harmonised by inverting OR for excessive screen time</w:t>
            </w:r>
          </w:p>
        </w:tc>
      </w:tr>
      <w:tr w:rsidR="00027351" w14:paraId="0F9B5AE8" w14:textId="77777777" w:rsidTr="00027351">
        <w:trPr>
          <w:cnfStyle w:val="000000100000" w:firstRow="0" w:lastRow="0" w:firstColumn="0" w:lastColumn="0" w:oddVBand="0" w:evenVBand="0" w:oddHBand="1"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1525" w:type="dxa"/>
          </w:tcPr>
          <w:p w14:paraId="05BEED4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Dadvand et al., 2016</w:t>
            </w:r>
          </w:p>
        </w:tc>
        <w:tc>
          <w:tcPr>
            <w:cnfStyle w:val="000001000000" w:firstRow="0" w:lastRow="0" w:firstColumn="0" w:lastColumn="0" w:oddVBand="0" w:evenVBand="1" w:oddHBand="0" w:evenHBand="0" w:firstRowFirstColumn="0" w:firstRowLastColumn="0" w:lastRowFirstColumn="0" w:lastRowLastColumn="0"/>
            <w:tcW w:w="1980" w:type="dxa"/>
          </w:tcPr>
          <w:p w14:paraId="08A076FC"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Moderate-to-high PA (vs low; IPAQ)</w:t>
            </w:r>
          </w:p>
        </w:tc>
        <w:tc>
          <w:tcPr>
            <w:cnfStyle w:val="000010000000" w:firstRow="0" w:lastRow="0" w:firstColumn="0" w:lastColumn="0" w:oddVBand="1" w:evenVBand="0" w:oddHBand="0" w:evenHBand="0" w:firstRowFirstColumn="0" w:firstRowLastColumn="0" w:lastRowFirstColumn="0" w:lastRowLastColumn="0"/>
            <w:tcW w:w="1980" w:type="dxa"/>
          </w:tcPr>
          <w:p w14:paraId="0F01670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IQR increase in NDVI (500 m buffer)</w:t>
            </w:r>
          </w:p>
        </w:tc>
        <w:tc>
          <w:tcPr>
            <w:cnfStyle w:val="000001000000" w:firstRow="0" w:lastRow="0" w:firstColumn="0" w:lastColumn="0" w:oddVBand="0" w:evenVBand="1" w:oddHBand="0" w:evenHBand="0" w:firstRowFirstColumn="0" w:firstRowLastColumn="0" w:lastRowFirstColumn="0" w:lastRowLastColumn="0"/>
            <w:tcW w:w="990" w:type="dxa"/>
          </w:tcPr>
          <w:p w14:paraId="43D979D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1.25</w:t>
            </w:r>
          </w:p>
        </w:tc>
        <w:tc>
          <w:tcPr>
            <w:cnfStyle w:val="000010000000" w:firstRow="0" w:lastRow="0" w:firstColumn="0" w:lastColumn="0" w:oddVBand="1" w:evenVBand="0" w:oddHBand="0" w:evenHBand="0" w:firstRowFirstColumn="0" w:firstRowLastColumn="0" w:lastRowFirstColumn="0" w:lastRowLastColumn="0"/>
            <w:tcW w:w="1170" w:type="dxa"/>
          </w:tcPr>
          <w:p w14:paraId="0923025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1.07</w:t>
            </w:r>
          </w:p>
        </w:tc>
        <w:tc>
          <w:tcPr>
            <w:cnfStyle w:val="000001000000" w:firstRow="0" w:lastRow="0" w:firstColumn="0" w:lastColumn="0" w:oddVBand="0" w:evenVBand="1" w:oddHBand="0" w:evenHBand="0" w:firstRowFirstColumn="0" w:firstRowLastColumn="0" w:lastRowFirstColumn="0" w:lastRowLastColumn="0"/>
            <w:tcW w:w="1350" w:type="dxa"/>
          </w:tcPr>
          <w:p w14:paraId="1F1DC56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1.45</w:t>
            </w:r>
          </w:p>
        </w:tc>
        <w:tc>
          <w:tcPr>
            <w:cnfStyle w:val="000010000000" w:firstRow="0" w:lastRow="0" w:firstColumn="0" w:lastColumn="0" w:oddVBand="1" w:evenVBand="0" w:oddHBand="0" w:evenHBand="0" w:firstRowFirstColumn="0" w:firstRowLastColumn="0" w:lastRowFirstColumn="0" w:lastRowLastColumn="0"/>
            <w:tcW w:w="2430" w:type="dxa"/>
          </w:tcPr>
          <w:p w14:paraId="542A0B2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(age, sex, education, neighborhood SES)</w:t>
            </w:r>
          </w:p>
        </w:tc>
        <w:tc>
          <w:tcPr>
            <w:cnfStyle w:val="000001000000" w:firstRow="0" w:lastRow="0" w:firstColumn="0" w:lastColumn="0" w:oddVBand="0" w:evenVBand="1" w:oddHBand="0" w:evenHBand="0" w:firstRowFirstColumn="0" w:firstRowLastColumn="0" w:lastRowFirstColumn="0" w:lastRowLastColumn="0"/>
            <w:tcW w:w="2520" w:type="dxa"/>
          </w:tcPr>
          <w:p w14:paraId="6BFACD1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Adults; cross-sectional</w:t>
            </w:r>
          </w:p>
        </w:tc>
      </w:tr>
      <w:tr w:rsidR="00027351" w14:paraId="283F11C2" w14:textId="77777777" w:rsidTr="00027351">
        <w:trPr>
          <w:trHeight w:val="746"/>
        </w:trPr>
        <w:tc>
          <w:tcPr>
            <w:cnfStyle w:val="000010000000" w:firstRow="0" w:lastRow="0" w:firstColumn="0" w:lastColumn="0" w:oddVBand="1" w:evenVBand="0" w:oddHBand="0" w:evenHBand="0" w:firstRowFirstColumn="0" w:firstRowLastColumn="0" w:lastRowFirstColumn="0" w:lastRowLastColumn="0"/>
            <w:tcW w:w="1525" w:type="dxa"/>
          </w:tcPr>
          <w:p w14:paraId="55FB1E84"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Doan et al., 2024</w:t>
            </w:r>
          </w:p>
        </w:tc>
        <w:tc>
          <w:tcPr>
            <w:cnfStyle w:val="000001000000" w:firstRow="0" w:lastRow="0" w:firstColumn="0" w:lastColumn="0" w:oddVBand="0" w:evenVBand="1" w:oddHBand="0" w:evenHBand="0" w:firstRowFirstColumn="0" w:firstRowLastColumn="0" w:lastRowFirstColumn="0" w:lastRowLastColumn="0"/>
            <w:tcW w:w="1980" w:type="dxa"/>
          </w:tcPr>
          <w:p w14:paraId="1DCE9C8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guideline adherence (accelerometer-based; ≥150 min/week)</w:t>
            </w:r>
          </w:p>
        </w:tc>
        <w:tc>
          <w:tcPr>
            <w:cnfStyle w:val="000010000000" w:firstRow="0" w:lastRow="0" w:firstColumn="0" w:lastColumn="0" w:oddVBand="1" w:evenVBand="0" w:oddHBand="0" w:evenHBand="0" w:firstRowFirstColumn="0" w:firstRowLastColumn="0" w:lastRowFirstColumn="0" w:lastRowLastColumn="0"/>
            <w:tcW w:w="1980" w:type="dxa"/>
          </w:tcPr>
          <w:p w14:paraId="1A588499" w14:textId="77777777" w:rsidR="00027351" w:rsidRPr="00027351" w:rsidRDefault="00027351" w:rsidP="00027351">
            <w:pPr>
              <w:widowControl/>
              <w:autoSpaceDE w:val="0"/>
              <w:autoSpaceDN w:val="0"/>
              <w:adjustRightInd w:val="0"/>
              <w:jc w:val="left"/>
              <w:rPr>
                <w:rFonts w:asciiTheme="majorBidi" w:hAnsiTheme="majorBidi" w:cstheme="majorBidi"/>
                <w:b/>
                <w:bCs/>
                <w:color w:val="000000"/>
                <w:kern w:val="0"/>
                <w:sz w:val="18"/>
                <w:szCs w:val="18"/>
              </w:rPr>
            </w:pPr>
            <w:r>
              <w:rPr>
                <w:rFonts w:asciiTheme="majorBidi" w:hAnsiTheme="majorBidi" w:cstheme="majorBidi"/>
                <w:color w:val="000000"/>
                <w:kern w:val="0"/>
                <w:sz w:val="18"/>
                <w:szCs w:val="18"/>
              </w:rPr>
              <w:t xml:space="preserve">NDVI ≤ median vs &gt; median (500 m buffer), among those </w:t>
            </w:r>
            <w:r>
              <w:rPr>
                <w:rFonts w:asciiTheme="majorBidi" w:hAnsiTheme="majorBidi" w:cstheme="majorBidi"/>
                <w:b/>
                <w:bCs/>
                <w:color w:val="000000"/>
                <w:kern w:val="0"/>
                <w:sz w:val="18"/>
                <w:szCs w:val="18"/>
              </w:rPr>
              <w:t>meeting MVPA</w:t>
            </w:r>
          </w:p>
        </w:tc>
        <w:tc>
          <w:tcPr>
            <w:cnfStyle w:val="000001000000" w:firstRow="0" w:lastRow="0" w:firstColumn="0" w:lastColumn="0" w:oddVBand="0" w:evenVBand="1" w:oddHBand="0" w:evenHBand="0" w:firstRowFirstColumn="0" w:firstRowLastColumn="0" w:lastRowFirstColumn="0" w:lastRowLastColumn="0"/>
            <w:tcW w:w="990" w:type="dxa"/>
          </w:tcPr>
          <w:p w14:paraId="50E39DF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1.11</w:t>
            </w:r>
          </w:p>
        </w:tc>
        <w:tc>
          <w:tcPr>
            <w:cnfStyle w:val="000010000000" w:firstRow="0" w:lastRow="0" w:firstColumn="0" w:lastColumn="0" w:oddVBand="1" w:evenVBand="0" w:oddHBand="0" w:evenHBand="0" w:firstRowFirstColumn="0" w:firstRowLastColumn="0" w:lastRowFirstColumn="0" w:lastRowLastColumn="0"/>
            <w:tcW w:w="1170" w:type="dxa"/>
          </w:tcPr>
          <w:p w14:paraId="473042B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0.62</w:t>
            </w:r>
          </w:p>
        </w:tc>
        <w:tc>
          <w:tcPr>
            <w:cnfStyle w:val="000001000000" w:firstRow="0" w:lastRow="0" w:firstColumn="0" w:lastColumn="0" w:oddVBand="0" w:evenVBand="1" w:oddHBand="0" w:evenHBand="0" w:firstRowFirstColumn="0" w:firstRowLastColumn="0" w:lastRowFirstColumn="0" w:lastRowLastColumn="0"/>
            <w:tcW w:w="1350" w:type="dxa"/>
          </w:tcPr>
          <w:p w14:paraId="217CE1A4"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1.97</w:t>
            </w:r>
          </w:p>
        </w:tc>
        <w:tc>
          <w:tcPr>
            <w:cnfStyle w:val="000010000000" w:firstRow="0" w:lastRow="0" w:firstColumn="0" w:lastColumn="0" w:oddVBand="1" w:evenVBand="0" w:oddHBand="0" w:evenHBand="0" w:firstRowFirstColumn="0" w:firstRowLastColumn="0" w:lastRowFirstColumn="0" w:lastRowLastColumn="0"/>
            <w:tcW w:w="2430" w:type="dxa"/>
          </w:tcPr>
          <w:p w14:paraId="4EE92506"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(age, sex/gender, cultural/racial background, BMI, education, season, Can-ALE, CAN-Marg)</w:t>
            </w:r>
          </w:p>
        </w:tc>
        <w:tc>
          <w:tcPr>
            <w:cnfStyle w:val="000001000000" w:firstRow="0" w:lastRow="0" w:firstColumn="0" w:lastColumn="0" w:oddVBand="0" w:evenVBand="1" w:oddHBand="0" w:evenHBand="0" w:firstRowFirstColumn="0" w:firstRowLastColumn="0" w:lastRowFirstColumn="0" w:lastRowLastColumn="0"/>
            <w:tcW w:w="2520" w:type="dxa"/>
          </w:tcPr>
          <w:p w14:paraId="613E25D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OR extracted from joint NDVI–PA strata (Table 4); outcome = poor/fair mental health</w:t>
            </w:r>
          </w:p>
        </w:tc>
      </w:tr>
      <w:tr w:rsidR="00027351" w14:paraId="5C4E62CF" w14:textId="77777777" w:rsidTr="00027351">
        <w:trPr>
          <w:cnfStyle w:val="000000100000" w:firstRow="0" w:lastRow="0" w:firstColumn="0" w:lastColumn="0" w:oddVBand="0" w:evenVBand="0" w:oddHBand="1" w:evenHBand="0" w:firstRowFirstColumn="0" w:firstRowLastColumn="0" w:lastRowFirstColumn="0" w:lastRowLastColumn="0"/>
          <w:trHeight w:val="1277"/>
        </w:trPr>
        <w:tc>
          <w:tcPr>
            <w:cnfStyle w:val="000010000000" w:firstRow="0" w:lastRow="0" w:firstColumn="0" w:lastColumn="0" w:oddVBand="1" w:evenVBand="0" w:oddHBand="0" w:evenHBand="0" w:firstRowFirstColumn="0" w:firstRowLastColumn="0" w:lastRowFirstColumn="0" w:lastRowLastColumn="0"/>
            <w:tcW w:w="1525" w:type="dxa"/>
          </w:tcPr>
          <w:p w14:paraId="1699191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Gong et al., 2014</w:t>
            </w:r>
          </w:p>
        </w:tc>
        <w:tc>
          <w:tcPr>
            <w:cnfStyle w:val="000001000000" w:firstRow="0" w:lastRow="0" w:firstColumn="0" w:lastColumn="0" w:oddVBand="0" w:evenVBand="1" w:oddHBand="0" w:evenHBand="0" w:firstRowFirstColumn="0" w:firstRowLastColumn="0" w:lastRowFirstColumn="0" w:lastRowLastColumn="0"/>
            <w:tcW w:w="1980" w:type="dxa"/>
          </w:tcPr>
          <w:p w14:paraId="0A646A7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participation (regular vs irregular; ≥3×/week)</w:t>
            </w:r>
          </w:p>
        </w:tc>
        <w:tc>
          <w:tcPr>
            <w:cnfStyle w:val="000010000000" w:firstRow="0" w:lastRow="0" w:firstColumn="0" w:lastColumn="0" w:oddVBand="1" w:evenVBand="0" w:oddHBand="0" w:evenHBand="0" w:firstRowFirstColumn="0" w:firstRowLastColumn="0" w:lastRowFirstColumn="0" w:lastRowLastColumn="0"/>
            <w:tcW w:w="1980" w:type="dxa"/>
          </w:tcPr>
          <w:p w14:paraId="4955FCC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 SD increase in % green space (NDVI-based; 400 m buffer)</w:t>
            </w:r>
          </w:p>
        </w:tc>
        <w:tc>
          <w:tcPr>
            <w:cnfStyle w:val="000001000000" w:firstRow="0" w:lastRow="0" w:firstColumn="0" w:lastColumn="0" w:oddVBand="0" w:evenVBand="1" w:oddHBand="0" w:evenHBand="0" w:firstRowFirstColumn="0" w:firstRowLastColumn="0" w:lastRowFirstColumn="0" w:lastRowLastColumn="0"/>
            <w:tcW w:w="990" w:type="dxa"/>
          </w:tcPr>
          <w:p w14:paraId="02D01194"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1.21</w:t>
            </w:r>
          </w:p>
        </w:tc>
        <w:tc>
          <w:tcPr>
            <w:cnfStyle w:val="000010000000" w:firstRow="0" w:lastRow="0" w:firstColumn="0" w:lastColumn="0" w:oddVBand="1" w:evenVBand="0" w:oddHBand="0" w:evenHBand="0" w:firstRowFirstColumn="0" w:firstRowLastColumn="0" w:lastRowFirstColumn="0" w:lastRowLastColumn="0"/>
            <w:tcW w:w="1170" w:type="dxa"/>
          </w:tcPr>
          <w:p w14:paraId="033F0AB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1.05</w:t>
            </w:r>
          </w:p>
        </w:tc>
        <w:tc>
          <w:tcPr>
            <w:cnfStyle w:val="000001000000" w:firstRow="0" w:lastRow="0" w:firstColumn="0" w:lastColumn="0" w:oddVBand="0" w:evenVBand="1" w:oddHBand="0" w:evenHBand="0" w:firstRowFirstColumn="0" w:firstRowLastColumn="0" w:lastRowFirstColumn="0" w:lastRowLastColumn="0"/>
            <w:tcW w:w="1350" w:type="dxa"/>
          </w:tcPr>
          <w:p w14:paraId="248B184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1.41</w:t>
            </w:r>
          </w:p>
        </w:tc>
        <w:tc>
          <w:tcPr>
            <w:cnfStyle w:val="000010000000" w:firstRow="0" w:lastRow="0" w:firstColumn="0" w:lastColumn="0" w:oddVBand="1" w:evenVBand="0" w:oddHBand="0" w:evenHBand="0" w:firstRowFirstColumn="0" w:firstRowLastColumn="0" w:lastRowFirstColumn="0" w:lastRowLastColumn="0"/>
            <w:tcW w:w="2430" w:type="dxa"/>
          </w:tcPr>
          <w:p w14:paraId="072F27B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(lower extremity physical function, psychological distress, general health, car ownership, age, marital status, social class, education, area type, deprivation)</w:t>
            </w:r>
          </w:p>
        </w:tc>
        <w:tc>
          <w:tcPr>
            <w:cnfStyle w:val="000001000000" w:firstRow="0" w:lastRow="0" w:firstColumn="0" w:lastColumn="0" w:oddVBand="0" w:evenVBand="1" w:oddHBand="0" w:evenHBand="0" w:firstRowFirstColumn="0" w:firstRowLastColumn="0" w:lastRowFirstColumn="0" w:lastRowLastColumn="0"/>
            <w:tcW w:w="2520" w:type="dxa"/>
          </w:tcPr>
          <w:p w14:paraId="3712839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Elderly men (≥66 years); Caerphilly Prospective Study</w:t>
            </w:r>
          </w:p>
        </w:tc>
      </w:tr>
      <w:tr w:rsidR="00027351" w14:paraId="003BF0CD" w14:textId="77777777" w:rsidTr="00027351">
        <w:trPr>
          <w:trHeight w:val="800"/>
        </w:trPr>
        <w:tc>
          <w:tcPr>
            <w:cnfStyle w:val="000010000000" w:firstRow="0" w:lastRow="0" w:firstColumn="0" w:lastColumn="0" w:oddVBand="1" w:evenVBand="0" w:oddHBand="0" w:evenHBand="0" w:firstRowFirstColumn="0" w:firstRowLastColumn="0" w:lastRowFirstColumn="0" w:lastRowLastColumn="0"/>
            <w:tcW w:w="1525" w:type="dxa"/>
          </w:tcPr>
          <w:p w14:paraId="4631992F"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Grigsby-Toussaint et al., 2011</w:t>
            </w:r>
          </w:p>
        </w:tc>
        <w:tc>
          <w:tcPr>
            <w:cnfStyle w:val="000001000000" w:firstRow="0" w:lastRow="0" w:firstColumn="0" w:lastColumn="0" w:oddVBand="0" w:evenVBand="1" w:oddHBand="0" w:evenHBand="0" w:firstRowFirstColumn="0" w:firstRowLastColumn="0" w:lastRowFirstColumn="0" w:lastRowLastColumn="0"/>
            <w:tcW w:w="1980" w:type="dxa"/>
          </w:tcPr>
          <w:p w14:paraId="77CE6ED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Outdoor PA behavior (multi-players vs rainy day kids; preschoolers)</w:t>
            </w:r>
          </w:p>
        </w:tc>
        <w:tc>
          <w:tcPr>
            <w:cnfStyle w:val="000010000000" w:firstRow="0" w:lastRow="0" w:firstColumn="0" w:lastColumn="0" w:oddVBand="1" w:evenVBand="0" w:oddHBand="0" w:evenHBand="0" w:firstRowFirstColumn="0" w:firstRowLastColumn="0" w:lastRowFirstColumn="0" w:lastRowLastColumn="0"/>
            <w:tcW w:w="1980" w:type="dxa"/>
          </w:tcPr>
          <w:p w14:paraId="457E6AD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 1-unit increase in NDVI (scaled ×10; ≈0.1 raw NDVI)</w:t>
            </w:r>
          </w:p>
        </w:tc>
        <w:tc>
          <w:tcPr>
            <w:cnfStyle w:val="000001000000" w:firstRow="0" w:lastRow="0" w:firstColumn="0" w:lastColumn="0" w:oddVBand="0" w:evenVBand="1" w:oddHBand="0" w:evenHBand="0" w:firstRowFirstColumn="0" w:firstRowLastColumn="0" w:lastRowFirstColumn="0" w:lastRowLastColumn="0"/>
            <w:tcW w:w="990" w:type="dxa"/>
          </w:tcPr>
          <w:p w14:paraId="1DD4CFEF"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1.32</w:t>
            </w:r>
          </w:p>
        </w:tc>
        <w:tc>
          <w:tcPr>
            <w:cnfStyle w:val="000010000000" w:firstRow="0" w:lastRow="0" w:firstColumn="0" w:lastColumn="0" w:oddVBand="1" w:evenVBand="0" w:oddHBand="0" w:evenHBand="0" w:firstRowFirstColumn="0" w:firstRowLastColumn="0" w:lastRowFirstColumn="0" w:lastRowLastColumn="0"/>
            <w:tcW w:w="1170" w:type="dxa"/>
          </w:tcPr>
          <w:p w14:paraId="0839CEE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1.02</w:t>
            </w:r>
          </w:p>
        </w:tc>
        <w:tc>
          <w:tcPr>
            <w:cnfStyle w:val="000001000000" w:firstRow="0" w:lastRow="0" w:firstColumn="0" w:lastColumn="0" w:oddVBand="0" w:evenVBand="1" w:oddHBand="0" w:evenHBand="0" w:firstRowFirstColumn="0" w:firstRowLastColumn="0" w:lastRowFirstColumn="0" w:lastRowLastColumn="0"/>
            <w:tcW w:w="1350" w:type="dxa"/>
          </w:tcPr>
          <w:p w14:paraId="2CC34DE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1.71</w:t>
            </w:r>
          </w:p>
        </w:tc>
        <w:tc>
          <w:tcPr>
            <w:cnfStyle w:val="000010000000" w:firstRow="0" w:lastRow="0" w:firstColumn="0" w:lastColumn="0" w:oddVBand="1" w:evenVBand="0" w:oddHBand="0" w:evenHBand="0" w:firstRowFirstColumn="0" w:firstRowLastColumn="0" w:lastRowFirstColumn="0" w:lastRowLastColumn="0"/>
            <w:tcW w:w="2430" w:type="dxa"/>
          </w:tcPr>
          <w:p w14:paraId="5B909CE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(race/ethnicity, gender, parental education, parental support for PA, parental BMI)</w:t>
            </w:r>
          </w:p>
        </w:tc>
        <w:tc>
          <w:tcPr>
            <w:cnfStyle w:val="000001000000" w:firstRow="0" w:lastRow="0" w:firstColumn="0" w:lastColumn="0" w:oddVBand="0" w:evenVBand="1" w:oddHBand="0" w:evenHBand="0" w:firstRowFirstColumn="0" w:firstRowLastColumn="0" w:lastRowFirstColumn="0" w:lastRowLastColumn="0"/>
            <w:tcW w:w="2520" w:type="dxa"/>
          </w:tcPr>
          <w:p w14:paraId="55DFA7F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Multinomial logistic model; reference = rainy day kids</w:t>
            </w:r>
          </w:p>
        </w:tc>
      </w:tr>
      <w:tr w:rsidR="00027351" w14:paraId="4C3D3B9B" w14:textId="77777777" w:rsidTr="00027351">
        <w:trPr>
          <w:cnfStyle w:val="000000100000" w:firstRow="0" w:lastRow="0" w:firstColumn="0" w:lastColumn="0" w:oddVBand="0" w:evenVBand="0" w:oddHBand="1" w:evenHBand="0" w:firstRowFirstColumn="0" w:firstRowLastColumn="0" w:lastRowFirstColumn="0" w:lastRowLastColumn="0"/>
          <w:trHeight w:val="611"/>
        </w:trPr>
        <w:tc>
          <w:tcPr>
            <w:cnfStyle w:val="000010000000" w:firstRow="0" w:lastRow="0" w:firstColumn="0" w:lastColumn="0" w:oddVBand="1" w:evenVBand="0" w:oddHBand="0" w:evenHBand="0" w:firstRowFirstColumn="0" w:firstRowLastColumn="0" w:lastRowFirstColumn="0" w:lastRowLastColumn="0"/>
            <w:tcW w:w="1525" w:type="dxa"/>
          </w:tcPr>
          <w:p w14:paraId="169186D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Klicnik et al., 2022</w:t>
            </w:r>
          </w:p>
        </w:tc>
        <w:tc>
          <w:tcPr>
            <w:cnfStyle w:val="000001000000" w:firstRow="0" w:lastRow="0" w:firstColumn="0" w:lastColumn="0" w:oddVBand="0" w:evenVBand="1" w:oddHBand="0" w:evenHBand="0" w:firstRowFirstColumn="0" w:firstRowLastColumn="0" w:lastRowFirstColumn="0" w:lastRowLastColumn="0"/>
            <w:tcW w:w="1980" w:type="dxa"/>
          </w:tcPr>
          <w:p w14:paraId="67EDEF6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Moderate–high total physical activity (vs low; PASE-based)</w:t>
            </w:r>
          </w:p>
        </w:tc>
        <w:tc>
          <w:tcPr>
            <w:cnfStyle w:val="000010000000" w:firstRow="0" w:lastRow="0" w:firstColumn="0" w:lastColumn="0" w:oddVBand="1" w:evenVBand="0" w:oddHBand="0" w:evenHBand="0" w:firstRowFirstColumn="0" w:firstRowLastColumn="0" w:lastRowFirstColumn="0" w:lastRowLastColumn="0"/>
            <w:tcW w:w="1980" w:type="dxa"/>
          </w:tcPr>
          <w:p w14:paraId="2E06CEDE"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quartiles (Q3 vs Q1; 1000 m buffer; females &lt;65y)</w:t>
            </w:r>
          </w:p>
        </w:tc>
        <w:tc>
          <w:tcPr>
            <w:cnfStyle w:val="000001000000" w:firstRow="0" w:lastRow="0" w:firstColumn="0" w:lastColumn="0" w:oddVBand="0" w:evenVBand="1" w:oddHBand="0" w:evenHBand="0" w:firstRowFirstColumn="0" w:firstRowLastColumn="0" w:lastRowFirstColumn="0" w:lastRowLastColumn="0"/>
            <w:tcW w:w="990" w:type="dxa"/>
          </w:tcPr>
          <w:p w14:paraId="563AF56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w:t>
            </w:r>
          </w:p>
        </w:tc>
        <w:tc>
          <w:tcPr>
            <w:cnfStyle w:val="000010000000" w:firstRow="0" w:lastRow="0" w:firstColumn="0" w:lastColumn="0" w:oddVBand="1" w:evenVBand="0" w:oddHBand="0" w:evenHBand="0" w:firstRowFirstColumn="0" w:firstRowLastColumn="0" w:lastRowFirstColumn="0" w:lastRowLastColumn="0"/>
            <w:tcW w:w="1170" w:type="dxa"/>
          </w:tcPr>
          <w:p w14:paraId="2EE4AF8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w:t>
            </w:r>
          </w:p>
        </w:tc>
        <w:tc>
          <w:tcPr>
            <w:cnfStyle w:val="000001000000" w:firstRow="0" w:lastRow="0" w:firstColumn="0" w:lastColumn="0" w:oddVBand="0" w:evenVBand="1" w:oddHBand="0" w:evenHBand="0" w:firstRowFirstColumn="0" w:firstRowLastColumn="0" w:lastRowFirstColumn="0" w:lastRowLastColumn="0"/>
            <w:tcW w:w="1350" w:type="dxa"/>
          </w:tcPr>
          <w:p w14:paraId="162EC2B6"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w:t>
            </w:r>
          </w:p>
        </w:tc>
        <w:tc>
          <w:tcPr>
            <w:cnfStyle w:val="000010000000" w:firstRow="0" w:lastRow="0" w:firstColumn="0" w:lastColumn="0" w:oddVBand="1" w:evenVBand="0" w:oddHBand="0" w:evenHBand="0" w:firstRowFirstColumn="0" w:firstRowLastColumn="0" w:lastRowFirstColumn="0" w:lastRowLastColumn="0"/>
            <w:tcW w:w="2430" w:type="dxa"/>
          </w:tcPr>
          <w:p w14:paraId="1AF06C7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(household income, education, OARS score)</w:t>
            </w:r>
          </w:p>
        </w:tc>
        <w:tc>
          <w:tcPr>
            <w:cnfStyle w:val="000001000000" w:firstRow="0" w:lastRow="0" w:firstColumn="0" w:lastColumn="0" w:oddVBand="0" w:evenVBand="1" w:oddHBand="0" w:evenHBand="0" w:firstRowFirstColumn="0" w:firstRowLastColumn="0" w:lastRowFirstColumn="0" w:lastRowLastColumn="0"/>
            <w:tcW w:w="2520" w:type="dxa"/>
          </w:tcPr>
          <w:p w14:paraId="147E4C2E"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Effect estimates reported stratified by age and sex (Table 2); no pooled NDVI–PA OR</w:t>
            </w:r>
          </w:p>
        </w:tc>
      </w:tr>
      <w:tr w:rsidR="00027351" w14:paraId="2F0D632E" w14:textId="77777777" w:rsidTr="00027351">
        <w:trPr>
          <w:trHeight w:val="827"/>
        </w:trPr>
        <w:tc>
          <w:tcPr>
            <w:cnfStyle w:val="000010000000" w:firstRow="0" w:lastRow="0" w:firstColumn="0" w:lastColumn="0" w:oddVBand="1" w:evenVBand="0" w:oddHBand="0" w:evenHBand="0" w:firstRowFirstColumn="0" w:firstRowLastColumn="0" w:lastRowFirstColumn="0" w:lastRowLastColumn="0"/>
            <w:tcW w:w="1525" w:type="dxa"/>
          </w:tcPr>
          <w:p w14:paraId="64247A4E"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Klompmaker et al., 2018</w:t>
            </w:r>
          </w:p>
        </w:tc>
        <w:tc>
          <w:tcPr>
            <w:cnfStyle w:val="000001000000" w:firstRow="0" w:lastRow="0" w:firstColumn="0" w:lastColumn="0" w:oddVBand="0" w:evenVBand="1" w:oddHBand="0" w:evenHBand="0" w:firstRowFirstColumn="0" w:firstRowLastColumn="0" w:lastRowFirstColumn="0" w:lastRowLastColumn="0"/>
            <w:tcW w:w="1980" w:type="dxa"/>
          </w:tcPr>
          <w:p w14:paraId="6674E9BC"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Outdoor MVPA ≥150 min/week (self-reported)</w:t>
            </w:r>
          </w:p>
        </w:tc>
        <w:tc>
          <w:tcPr>
            <w:cnfStyle w:val="000010000000" w:firstRow="0" w:lastRow="0" w:firstColumn="0" w:lastColumn="0" w:oddVBand="1" w:evenVBand="0" w:oddHBand="0" w:evenHBand="0" w:firstRowFirstColumn="0" w:firstRowLastColumn="0" w:lastRowFirstColumn="0" w:lastRowLastColumn="0"/>
            <w:tcW w:w="1980" w:type="dxa"/>
          </w:tcPr>
          <w:p w14:paraId="2E37C49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Highest vs lowest NDVI quintile (300 m buffer)</w:t>
            </w:r>
          </w:p>
        </w:tc>
        <w:tc>
          <w:tcPr>
            <w:cnfStyle w:val="000001000000" w:firstRow="0" w:lastRow="0" w:firstColumn="0" w:lastColumn="0" w:oddVBand="0" w:evenVBand="1" w:oddHBand="0" w:evenHBand="0" w:firstRowFirstColumn="0" w:firstRowLastColumn="0" w:lastRowFirstColumn="0" w:lastRowLastColumn="0"/>
            <w:tcW w:w="990" w:type="dxa"/>
          </w:tcPr>
          <w:p w14:paraId="2C7E836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1.14</w:t>
            </w:r>
          </w:p>
        </w:tc>
        <w:tc>
          <w:tcPr>
            <w:cnfStyle w:val="000010000000" w:firstRow="0" w:lastRow="0" w:firstColumn="0" w:lastColumn="0" w:oddVBand="1" w:evenVBand="0" w:oddHBand="0" w:evenHBand="0" w:firstRowFirstColumn="0" w:firstRowLastColumn="0" w:lastRowFirstColumn="0" w:lastRowLastColumn="0"/>
            <w:tcW w:w="1170" w:type="dxa"/>
          </w:tcPr>
          <w:p w14:paraId="0C84652F"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w:t>
            </w:r>
          </w:p>
        </w:tc>
        <w:tc>
          <w:tcPr>
            <w:cnfStyle w:val="000001000000" w:firstRow="0" w:lastRow="0" w:firstColumn="0" w:lastColumn="0" w:oddVBand="0" w:evenVBand="1" w:oddHBand="0" w:evenHBand="0" w:firstRowFirstColumn="0" w:firstRowLastColumn="0" w:lastRowFirstColumn="0" w:lastRowLastColumn="0"/>
            <w:tcW w:w="1350" w:type="dxa"/>
          </w:tcPr>
          <w:p w14:paraId="4E2A703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1.17</w:t>
            </w:r>
          </w:p>
        </w:tc>
        <w:tc>
          <w:tcPr>
            <w:cnfStyle w:val="000010000000" w:firstRow="0" w:lastRow="0" w:firstColumn="0" w:lastColumn="0" w:oddVBand="1" w:evenVBand="0" w:oddHBand="0" w:evenHBand="0" w:firstRowFirstColumn="0" w:firstRowLastColumn="0" w:lastRowFirstColumn="0" w:lastRowLastColumn="0"/>
            <w:tcW w:w="2430" w:type="dxa"/>
          </w:tcPr>
          <w:p w14:paraId="4D2024B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(age, sex, marital status, origin, education, work, income, smoking, alcohol, indoor PA, neighborhood SES, urbanization)</w:t>
            </w:r>
          </w:p>
        </w:tc>
        <w:tc>
          <w:tcPr>
            <w:cnfStyle w:val="000001000000" w:firstRow="0" w:lastRow="0" w:firstColumn="0" w:lastColumn="0" w:oddVBand="0" w:evenVBand="1" w:oddHBand="0" w:evenHBand="0" w:firstRowFirstColumn="0" w:firstRowLastColumn="0" w:lastRowFirstColumn="0" w:lastRowLastColumn="0"/>
            <w:tcW w:w="2520" w:type="dxa"/>
          </w:tcPr>
          <w:p w14:paraId="652DF49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NDVI-based surrounding greenness; non-linear association; main model</w:t>
            </w:r>
          </w:p>
        </w:tc>
      </w:tr>
      <w:tr w:rsidR="00027351" w14:paraId="7846E37B" w14:textId="77777777" w:rsidTr="00027351">
        <w:trPr>
          <w:cnfStyle w:val="000000100000" w:firstRow="0" w:lastRow="0" w:firstColumn="0" w:lastColumn="0" w:oddVBand="0" w:evenVBand="0" w:oddHBand="1" w:evenHBand="0" w:firstRowFirstColumn="0" w:firstRowLastColumn="0" w:lastRowFirstColumn="0" w:lastRowLastColumn="0"/>
          <w:trHeight w:val="845"/>
        </w:trPr>
        <w:tc>
          <w:tcPr>
            <w:cnfStyle w:val="000010000000" w:firstRow="0" w:lastRow="0" w:firstColumn="0" w:lastColumn="0" w:oddVBand="1" w:evenVBand="0" w:oddHBand="0" w:evenHBand="0" w:firstRowFirstColumn="0" w:firstRowLastColumn="0" w:lastRowFirstColumn="0" w:lastRowLastColumn="0"/>
            <w:tcW w:w="1525" w:type="dxa"/>
          </w:tcPr>
          <w:p w14:paraId="2FA2AE2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Lu et al., 2019</w:t>
            </w:r>
          </w:p>
        </w:tc>
        <w:tc>
          <w:tcPr>
            <w:cnfStyle w:val="000001000000" w:firstRow="0" w:lastRow="0" w:firstColumn="0" w:lastColumn="0" w:oddVBand="0" w:evenVBand="1" w:oddHBand="0" w:evenHBand="0" w:firstRowFirstColumn="0" w:firstRowLastColumn="0" w:lastRowFirstColumn="0" w:lastRowLastColumn="0"/>
            <w:tcW w:w="1980" w:type="dxa"/>
          </w:tcPr>
          <w:p w14:paraId="0EFF20B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Cycling participation (cycling vs not cycling; past 3 months)</w:t>
            </w:r>
          </w:p>
        </w:tc>
        <w:tc>
          <w:tcPr>
            <w:cnfStyle w:val="000010000000" w:firstRow="0" w:lastRow="0" w:firstColumn="0" w:lastColumn="0" w:oddVBand="1" w:evenVBand="0" w:oddHBand="0" w:evenHBand="0" w:firstRowFirstColumn="0" w:firstRowLastColumn="0" w:lastRowFirstColumn="0" w:lastRowLastColumn="0"/>
            <w:tcW w:w="1980" w:type="dxa"/>
          </w:tcPr>
          <w:p w14:paraId="6C963E6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(continuous; per unit increase) within 400 m buffer</w:t>
            </w:r>
          </w:p>
        </w:tc>
        <w:tc>
          <w:tcPr>
            <w:cnfStyle w:val="000001000000" w:firstRow="0" w:lastRow="0" w:firstColumn="0" w:lastColumn="0" w:oddVBand="0" w:evenVBand="1" w:oddHBand="0" w:evenHBand="0" w:firstRowFirstColumn="0" w:firstRowLastColumn="0" w:lastRowFirstColumn="0" w:lastRowLastColumn="0"/>
            <w:tcW w:w="990" w:type="dxa"/>
          </w:tcPr>
          <w:p w14:paraId="5AE4EB4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1.04</w:t>
            </w:r>
          </w:p>
        </w:tc>
        <w:tc>
          <w:tcPr>
            <w:cnfStyle w:val="000010000000" w:firstRow="0" w:lastRow="0" w:firstColumn="0" w:lastColumn="0" w:oddVBand="1" w:evenVBand="0" w:oddHBand="0" w:evenHBand="0" w:firstRowFirstColumn="0" w:firstRowLastColumn="0" w:lastRowFirstColumn="0" w:lastRowLastColumn="0"/>
            <w:tcW w:w="1170" w:type="dxa"/>
          </w:tcPr>
          <w:p w14:paraId="1B22F85C"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0.88</w:t>
            </w:r>
          </w:p>
        </w:tc>
        <w:tc>
          <w:tcPr>
            <w:cnfStyle w:val="000001000000" w:firstRow="0" w:lastRow="0" w:firstColumn="0" w:lastColumn="0" w:oddVBand="0" w:evenVBand="1" w:oddHBand="0" w:evenHBand="0" w:firstRowFirstColumn="0" w:firstRowLastColumn="0" w:lastRowFirstColumn="0" w:lastRowLastColumn="0"/>
            <w:tcW w:w="1350" w:type="dxa"/>
          </w:tcPr>
          <w:p w14:paraId="279E94A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1.24</w:t>
            </w:r>
          </w:p>
        </w:tc>
        <w:tc>
          <w:tcPr>
            <w:cnfStyle w:val="000010000000" w:firstRow="0" w:lastRow="0" w:firstColumn="0" w:lastColumn="0" w:oddVBand="1" w:evenVBand="0" w:oddHBand="0" w:evenHBand="0" w:firstRowFirstColumn="0" w:firstRowLastColumn="0" w:lastRowFirstColumn="0" w:lastRowLastColumn="0"/>
            <w:tcW w:w="2430" w:type="dxa"/>
          </w:tcPr>
          <w:p w14:paraId="09BA6D9E"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(multilevel logistic; age, gender, income, population density, land-use mix, bike lanes, transit, slope)</w:t>
            </w:r>
          </w:p>
        </w:tc>
        <w:tc>
          <w:tcPr>
            <w:cnfStyle w:val="000001000000" w:firstRow="0" w:lastRow="0" w:firstColumn="0" w:lastColumn="0" w:oddVBand="0" w:evenVBand="1" w:oddHBand="0" w:evenHBand="0" w:firstRowFirstColumn="0" w:firstRowLastColumn="0" w:lastRowFirstColumn="0" w:lastRowLastColumn="0"/>
            <w:tcW w:w="2520" w:type="dxa"/>
          </w:tcPr>
          <w:p w14:paraId="500C05C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not significantly associated with cycling; street greenness (GSV) significant, NDVI null</w:t>
            </w:r>
          </w:p>
        </w:tc>
      </w:tr>
      <w:tr w:rsidR="00027351" w14:paraId="53E71994" w14:textId="77777777" w:rsidTr="00027351">
        <w:trPr>
          <w:trHeight w:val="1160"/>
        </w:trPr>
        <w:tc>
          <w:tcPr>
            <w:cnfStyle w:val="000010000000" w:firstRow="0" w:lastRow="0" w:firstColumn="0" w:lastColumn="0" w:oddVBand="1" w:evenVBand="0" w:oddHBand="0" w:evenHBand="0" w:firstRowFirstColumn="0" w:firstRowLastColumn="0" w:lastRowFirstColumn="0" w:lastRowLastColumn="0"/>
            <w:tcW w:w="1525" w:type="dxa"/>
          </w:tcPr>
          <w:p w14:paraId="5291E25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McMorris et al., 2015</w:t>
            </w:r>
          </w:p>
        </w:tc>
        <w:tc>
          <w:tcPr>
            <w:cnfStyle w:val="000001000000" w:firstRow="0" w:lastRow="0" w:firstColumn="0" w:lastColumn="0" w:oddVBand="0" w:evenVBand="1" w:oddHBand="0" w:evenHBand="0" w:firstRowFirstColumn="0" w:firstRowLastColumn="0" w:lastRowFirstColumn="0" w:lastRowLastColumn="0"/>
            <w:tcW w:w="1980" w:type="dxa"/>
          </w:tcPr>
          <w:p w14:paraId="41A5ED3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Leisure-time physical activity (yes vs no, past 3 months)</w:t>
            </w:r>
          </w:p>
        </w:tc>
        <w:tc>
          <w:tcPr>
            <w:cnfStyle w:val="000010000000" w:firstRow="0" w:lastRow="0" w:firstColumn="0" w:lastColumn="0" w:oddVBand="1" w:evenVBand="0" w:oddHBand="0" w:evenHBand="0" w:firstRowFirstColumn="0" w:firstRowLastColumn="0" w:lastRowFirstColumn="0" w:lastRowLastColumn="0"/>
            <w:tcW w:w="1980" w:type="dxa"/>
          </w:tcPr>
          <w:p w14:paraId="158A323F"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quartiles (Q4 vs Q1; 500 m buffer)</w:t>
            </w:r>
          </w:p>
        </w:tc>
        <w:tc>
          <w:tcPr>
            <w:cnfStyle w:val="000001000000" w:firstRow="0" w:lastRow="0" w:firstColumn="0" w:lastColumn="0" w:oddVBand="0" w:evenVBand="1" w:oddHBand="0" w:evenHBand="0" w:firstRowFirstColumn="0" w:firstRowLastColumn="0" w:lastRowFirstColumn="0" w:lastRowLastColumn="0"/>
            <w:tcW w:w="990" w:type="dxa"/>
          </w:tcPr>
          <w:p w14:paraId="71B6578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1.34</w:t>
            </w:r>
          </w:p>
        </w:tc>
        <w:tc>
          <w:tcPr>
            <w:cnfStyle w:val="000010000000" w:firstRow="0" w:lastRow="0" w:firstColumn="0" w:lastColumn="0" w:oddVBand="1" w:evenVBand="0" w:oddHBand="0" w:evenHBand="0" w:firstRowFirstColumn="0" w:firstRowLastColumn="0" w:lastRowFirstColumn="0" w:lastRowLastColumn="0"/>
            <w:tcW w:w="1170" w:type="dxa"/>
          </w:tcPr>
          <w:p w14:paraId="7B47C7A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1.25</w:t>
            </w:r>
          </w:p>
        </w:tc>
        <w:tc>
          <w:tcPr>
            <w:cnfStyle w:val="000001000000" w:firstRow="0" w:lastRow="0" w:firstColumn="0" w:lastColumn="0" w:oddVBand="0" w:evenVBand="1" w:oddHBand="0" w:evenHBand="0" w:firstRowFirstColumn="0" w:firstRowLastColumn="0" w:lastRowFirstColumn="0" w:lastRowLastColumn="0"/>
            <w:tcW w:w="1350" w:type="dxa"/>
          </w:tcPr>
          <w:p w14:paraId="0BC4338F"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1.44</w:t>
            </w:r>
          </w:p>
        </w:tc>
        <w:tc>
          <w:tcPr>
            <w:cnfStyle w:val="000010000000" w:firstRow="0" w:lastRow="0" w:firstColumn="0" w:lastColumn="0" w:oddVBand="1" w:evenVBand="0" w:oddHBand="0" w:evenHBand="0" w:firstRowFirstColumn="0" w:firstRowLastColumn="0" w:lastRowFirstColumn="0" w:lastRowLastColumn="0"/>
            <w:tcW w:w="2430" w:type="dxa"/>
          </w:tcPr>
          <w:p w14:paraId="00FAA43C"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(age, sex, smoking, marital status, income, month, longitude)</w:t>
            </w:r>
          </w:p>
        </w:tc>
        <w:tc>
          <w:tcPr>
            <w:cnfStyle w:val="000001000000" w:firstRow="0" w:lastRow="0" w:firstColumn="0" w:lastColumn="0" w:oddVBand="0" w:evenVBand="1" w:oddHBand="0" w:evenHBand="0" w:firstRowFirstColumn="0" w:firstRowLastColumn="0" w:lastRowFirstColumn="0" w:lastRowLastColumn="0"/>
            <w:tcW w:w="2520" w:type="dxa"/>
          </w:tcPr>
          <w:p w14:paraId="2A7B368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National Canadian sample; strongest associations in younger adults and women; primary PA outcome suitable for NDVI–PA synthesis</w:t>
            </w:r>
          </w:p>
        </w:tc>
      </w:tr>
      <w:tr w:rsidR="00027351" w14:paraId="032C9BD9" w14:textId="77777777" w:rsidTr="00027351">
        <w:trPr>
          <w:cnfStyle w:val="000000100000" w:firstRow="0" w:lastRow="0" w:firstColumn="0" w:lastColumn="0" w:oddVBand="0" w:evenVBand="0" w:oddHBand="1" w:evenHBand="0" w:firstRowFirstColumn="0" w:firstRowLastColumn="0" w:lastRowFirstColumn="0" w:lastRowLastColumn="0"/>
          <w:trHeight w:val="575"/>
        </w:trPr>
        <w:tc>
          <w:tcPr>
            <w:cnfStyle w:val="000010000000" w:firstRow="0" w:lastRow="0" w:firstColumn="0" w:lastColumn="0" w:oddVBand="1" w:evenVBand="0" w:oddHBand="0" w:evenHBand="0" w:firstRowFirstColumn="0" w:firstRowLastColumn="0" w:lastRowFirstColumn="0" w:lastRowLastColumn="0"/>
            <w:tcW w:w="1525" w:type="dxa"/>
          </w:tcPr>
          <w:p w14:paraId="63CD2DE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Persson et al., 2019</w:t>
            </w:r>
          </w:p>
        </w:tc>
        <w:tc>
          <w:tcPr>
            <w:cnfStyle w:val="000001000000" w:firstRow="0" w:lastRow="0" w:firstColumn="0" w:lastColumn="0" w:oddVBand="0" w:evenVBand="1" w:oddHBand="0" w:evenHBand="0" w:firstRowFirstColumn="0" w:firstRowLastColumn="0" w:lastRowFirstColumn="0" w:lastRowLastColumn="0"/>
            <w:tcW w:w="1980" w:type="dxa"/>
          </w:tcPr>
          <w:p w14:paraId="5165CA2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Walking/cycling change (increase vs stable)</w:t>
            </w:r>
          </w:p>
        </w:tc>
        <w:tc>
          <w:tcPr>
            <w:cnfStyle w:val="000010000000" w:firstRow="0" w:lastRow="0" w:firstColumn="0" w:lastColumn="0" w:oddVBand="1" w:evenVBand="0" w:oddHBand="0" w:evenHBand="0" w:firstRowFirstColumn="0" w:firstRowLastColumn="0" w:lastRowFirstColumn="0" w:lastRowLastColumn="0"/>
            <w:tcW w:w="1980" w:type="dxa"/>
          </w:tcPr>
          <w:p w14:paraId="4908596F"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Moved to less green vs stable NDVI quartile (2 km buffer)</w:t>
            </w:r>
          </w:p>
        </w:tc>
        <w:tc>
          <w:tcPr>
            <w:cnfStyle w:val="000001000000" w:firstRow="0" w:lastRow="0" w:firstColumn="0" w:lastColumn="0" w:oddVBand="0" w:evenVBand="1" w:oddHBand="0" w:evenHBand="0" w:firstRowFirstColumn="0" w:firstRowLastColumn="0" w:lastRowFirstColumn="0" w:lastRowLastColumn="0"/>
            <w:tcW w:w="990" w:type="dxa"/>
          </w:tcPr>
          <w:p w14:paraId="605BE46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1.26</w:t>
            </w:r>
          </w:p>
        </w:tc>
        <w:tc>
          <w:tcPr>
            <w:cnfStyle w:val="000010000000" w:firstRow="0" w:lastRow="0" w:firstColumn="0" w:lastColumn="0" w:oddVBand="1" w:evenVBand="0" w:oddHBand="0" w:evenHBand="0" w:firstRowFirstColumn="0" w:firstRowLastColumn="0" w:lastRowFirstColumn="0" w:lastRowLastColumn="0"/>
            <w:tcW w:w="1170" w:type="dxa"/>
          </w:tcPr>
          <w:p w14:paraId="4056C8B1"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1.13</w:t>
            </w:r>
          </w:p>
        </w:tc>
        <w:tc>
          <w:tcPr>
            <w:cnfStyle w:val="000001000000" w:firstRow="0" w:lastRow="0" w:firstColumn="0" w:lastColumn="0" w:oddVBand="0" w:evenVBand="1" w:oddHBand="0" w:evenHBand="0" w:firstRowFirstColumn="0" w:firstRowLastColumn="0" w:lastRowFirstColumn="0" w:lastRowLastColumn="0"/>
            <w:tcW w:w="1350" w:type="dxa"/>
          </w:tcPr>
          <w:p w14:paraId="5C5E16C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1.41</w:t>
            </w:r>
          </w:p>
        </w:tc>
        <w:tc>
          <w:tcPr>
            <w:cnfStyle w:val="000010000000" w:firstRow="0" w:lastRow="0" w:firstColumn="0" w:lastColumn="0" w:oddVBand="1" w:evenVBand="0" w:oddHBand="0" w:evenHBand="0" w:firstRowFirstColumn="0" w:firstRowLastColumn="0" w:lastRowFirstColumn="0" w:lastRowLastColumn="0"/>
            <w:tcW w:w="2430" w:type="dxa"/>
          </w:tcPr>
          <w:p w14:paraId="209BA58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 (gender, age, education, area-based income)</w:t>
            </w:r>
          </w:p>
        </w:tc>
        <w:tc>
          <w:tcPr>
            <w:cnfStyle w:val="000001000000" w:firstRow="0" w:lastRow="0" w:firstColumn="0" w:lastColumn="0" w:oddVBand="0" w:evenVBand="1" w:oddHBand="0" w:evenHBand="0" w:firstRowFirstColumn="0" w:firstRowLastColumn="0" w:lastRowFirstColumn="0" w:lastRowLastColumn="0"/>
            <w:tcW w:w="2520" w:type="dxa"/>
          </w:tcPr>
          <w:p w14:paraId="0E2A2DD2" w14:textId="77777777" w:rsidR="00027351" w:rsidRPr="00027351" w:rsidRDefault="00027351" w:rsidP="00027351">
            <w:pPr>
              <w:widowControl/>
              <w:autoSpaceDE w:val="0"/>
              <w:autoSpaceDN w:val="0"/>
              <w:adjustRightInd w:val="0"/>
              <w:jc w:val="left"/>
              <w:rPr>
                <w:rFonts w:asciiTheme="majorBidi" w:hAnsiTheme="majorBidi" w:cstheme="majorBidi"/>
                <w:b/>
                <w:bCs/>
                <w:color w:val="000000"/>
                <w:kern w:val="0"/>
                <w:sz w:val="18"/>
                <w:szCs w:val="18"/>
              </w:rPr>
            </w:pPr>
            <w:r>
              <w:rPr>
                <w:rFonts w:asciiTheme="majorBidi" w:hAnsiTheme="majorBidi" w:cstheme="majorBidi"/>
                <w:color w:val="000000"/>
                <w:kern w:val="0"/>
                <w:sz w:val="18"/>
                <w:szCs w:val="18"/>
              </w:rPr>
              <w:t xml:space="preserve">Longitudinal; exposure = </w:t>
            </w:r>
            <w:r>
              <w:rPr>
                <w:rFonts w:asciiTheme="majorBidi" w:hAnsiTheme="majorBidi" w:cstheme="majorBidi"/>
                <w:b/>
                <w:bCs/>
                <w:color w:val="000000"/>
                <w:kern w:val="0"/>
                <w:sz w:val="18"/>
                <w:szCs w:val="18"/>
              </w:rPr>
              <w:t>change in NDVI quartile</w:t>
            </w:r>
          </w:p>
        </w:tc>
      </w:tr>
      <w:tr w:rsidR="00027351" w14:paraId="56BC4A6D" w14:textId="77777777" w:rsidTr="00027351">
        <w:trPr>
          <w:trHeight w:val="1331"/>
        </w:trPr>
        <w:tc>
          <w:tcPr>
            <w:cnfStyle w:val="000010000000" w:firstRow="0" w:lastRow="0" w:firstColumn="0" w:lastColumn="0" w:oddVBand="1" w:evenVBand="0" w:oddHBand="0" w:evenHBand="0" w:firstRowFirstColumn="0" w:firstRowLastColumn="0" w:lastRowFirstColumn="0" w:lastRowLastColumn="0"/>
            <w:tcW w:w="1525" w:type="dxa"/>
          </w:tcPr>
          <w:p w14:paraId="61637D0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Villeneuve et al., 2018</w:t>
            </w:r>
          </w:p>
        </w:tc>
        <w:tc>
          <w:tcPr>
            <w:cnfStyle w:val="000001000000" w:firstRow="0" w:lastRow="0" w:firstColumn="0" w:lastColumn="0" w:oddVBand="0" w:evenVBand="1" w:oddHBand="0" w:evenHBand="0" w:firstRowFirstColumn="0" w:firstRowLastColumn="0" w:lastRowFirstColumn="0" w:lastRowLastColumn="0"/>
            <w:tcW w:w="1980" w:type="dxa"/>
          </w:tcPr>
          <w:p w14:paraId="40C0E517"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Physically active (≥ 67.1 MET-hrs/week)</w:t>
            </w:r>
          </w:p>
        </w:tc>
        <w:tc>
          <w:tcPr>
            <w:cnfStyle w:val="000010000000" w:firstRow="0" w:lastRow="0" w:firstColumn="0" w:lastColumn="0" w:oddVBand="1" w:evenVBand="0" w:oddHBand="0" w:evenHBand="0" w:firstRowFirstColumn="0" w:firstRowLastColumn="0" w:lastRowFirstColumn="0" w:lastRowLastColumn="0"/>
            <w:tcW w:w="1980" w:type="dxa"/>
          </w:tcPr>
          <w:p w14:paraId="432188E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Highest vs lowest tertile of residential greenness (500 m buffer)</w:t>
            </w:r>
          </w:p>
        </w:tc>
        <w:tc>
          <w:tcPr>
            <w:cnfStyle w:val="000001000000" w:firstRow="0" w:lastRow="0" w:firstColumn="0" w:lastColumn="0" w:oddVBand="0" w:evenVBand="1" w:oddHBand="0" w:evenHBand="0" w:firstRowFirstColumn="0" w:firstRowLastColumn="0" w:lastRowFirstColumn="0" w:lastRowLastColumn="0"/>
            <w:tcW w:w="990" w:type="dxa"/>
          </w:tcPr>
          <w:p w14:paraId="788D24A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1.17</w:t>
            </w:r>
          </w:p>
        </w:tc>
        <w:tc>
          <w:tcPr>
            <w:cnfStyle w:val="000010000000" w:firstRow="0" w:lastRow="0" w:firstColumn="0" w:lastColumn="0" w:oddVBand="1" w:evenVBand="0" w:oddHBand="0" w:evenHBand="0" w:firstRowFirstColumn="0" w:firstRowLastColumn="0" w:lastRowFirstColumn="0" w:lastRowLastColumn="0"/>
            <w:tcW w:w="1170" w:type="dxa"/>
          </w:tcPr>
          <w:p w14:paraId="59C44A1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w:t>
            </w:r>
          </w:p>
        </w:tc>
        <w:tc>
          <w:tcPr>
            <w:cnfStyle w:val="000001000000" w:firstRow="0" w:lastRow="0" w:firstColumn="0" w:lastColumn="0" w:oddVBand="0" w:evenVBand="1" w:oddHBand="0" w:evenHBand="0" w:firstRowFirstColumn="0" w:firstRowLastColumn="0" w:lastRowFirstColumn="0" w:lastRowLastColumn="0"/>
            <w:tcW w:w="1350" w:type="dxa"/>
          </w:tcPr>
          <w:p w14:paraId="5A5A9D4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1.23</w:t>
            </w:r>
          </w:p>
        </w:tc>
        <w:tc>
          <w:tcPr>
            <w:cnfStyle w:val="000010000000" w:firstRow="0" w:lastRow="0" w:firstColumn="0" w:lastColumn="0" w:oddVBand="1" w:evenVBand="0" w:oddHBand="0" w:evenHBand="0" w:firstRowFirstColumn="0" w:firstRowLastColumn="0" w:lastRowFirstColumn="0" w:lastRowLastColumn="0"/>
            <w:tcW w:w="2430" w:type="dxa"/>
          </w:tcPr>
          <w:p w14:paraId="6150BFF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w:t>
            </w:r>
          </w:p>
        </w:tc>
        <w:tc>
          <w:tcPr>
            <w:cnfStyle w:val="000001000000" w:firstRow="0" w:lastRow="0" w:firstColumn="0" w:lastColumn="0" w:oddVBand="0" w:evenVBand="1" w:oddHBand="0" w:evenHBand="0" w:firstRowFirstColumn="0" w:firstRowLastColumn="0" w:lastRowFirstColumn="0" w:lastRowLastColumn="0"/>
            <w:tcW w:w="2520" w:type="dxa"/>
          </w:tcPr>
          <w:p w14:paraId="71E0C396"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defined as upper tertile of MET-hrs/week; greenness measured using land-cover–based vegetation proxy (NDVI-like), adjusted for age, ethnicity, marital status, census tract population, and region</w:t>
            </w:r>
          </w:p>
        </w:tc>
      </w:tr>
      <w:tr w:rsidR="00027351" w14:paraId="60778A59" w14:textId="77777777" w:rsidTr="00027351">
        <w:trPr>
          <w:cnfStyle w:val="000000100000" w:firstRow="0" w:lastRow="0" w:firstColumn="0" w:lastColumn="0" w:oddVBand="0" w:evenVBand="0" w:oddHBand="1" w:evenHBand="0" w:firstRowFirstColumn="0" w:firstRowLastColumn="0" w:lastRowFirstColumn="0" w:lastRowLastColumn="0"/>
          <w:trHeight w:val="890"/>
        </w:trPr>
        <w:tc>
          <w:tcPr>
            <w:cnfStyle w:val="000010000000" w:firstRow="0" w:lastRow="0" w:firstColumn="0" w:lastColumn="0" w:oddVBand="1" w:evenVBand="0" w:oddHBand="0" w:evenHBand="0" w:firstRowFirstColumn="0" w:firstRowLastColumn="0" w:lastRowFirstColumn="0" w:lastRowLastColumn="0"/>
            <w:tcW w:w="1525" w:type="dxa"/>
          </w:tcPr>
          <w:p w14:paraId="1080180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lastRenderedPageBreak/>
              <w:t>Tamura et al., 2019</w:t>
            </w:r>
          </w:p>
        </w:tc>
        <w:tc>
          <w:tcPr>
            <w:cnfStyle w:val="000001000000" w:firstRow="0" w:lastRow="0" w:firstColumn="0" w:lastColumn="0" w:oddVBand="0" w:evenVBand="1" w:oddHBand="0" w:evenHBand="0" w:firstRowFirstColumn="0" w:firstRowLastColumn="0" w:lastRowFirstColumn="0" w:lastRowLastColumn="0"/>
            <w:tcW w:w="1980" w:type="dxa"/>
          </w:tcPr>
          <w:p w14:paraId="1D26BBF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(vs. sedentary–light, minute-level)</w:t>
            </w:r>
          </w:p>
        </w:tc>
        <w:tc>
          <w:tcPr>
            <w:cnfStyle w:val="000010000000" w:firstRow="0" w:lastRow="0" w:firstColumn="0" w:lastColumn="0" w:oddVBand="1" w:evenVBand="0" w:oddHBand="0" w:evenHBand="0" w:firstRowFirstColumn="0" w:firstRowLastColumn="0" w:lastRowFirstColumn="0" w:lastRowLastColumn="0"/>
            <w:tcW w:w="1980" w:type="dxa"/>
          </w:tcPr>
          <w:p w14:paraId="7206543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Greenness (NDVI), per 1-unit increase within 50 m GPS buffer</w:t>
            </w:r>
          </w:p>
        </w:tc>
        <w:tc>
          <w:tcPr>
            <w:cnfStyle w:val="000001000000" w:firstRow="0" w:lastRow="0" w:firstColumn="0" w:lastColumn="0" w:oddVBand="0" w:evenVBand="1" w:oddHBand="0" w:evenHBand="0" w:firstRowFirstColumn="0" w:firstRowLastColumn="0" w:lastRowFirstColumn="0" w:lastRowLastColumn="0"/>
            <w:tcW w:w="990" w:type="dxa"/>
          </w:tcPr>
          <w:p w14:paraId="77D8A4A1"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1.15</w:t>
            </w:r>
          </w:p>
        </w:tc>
        <w:tc>
          <w:tcPr>
            <w:cnfStyle w:val="000010000000" w:firstRow="0" w:lastRow="0" w:firstColumn="0" w:lastColumn="0" w:oddVBand="1" w:evenVBand="0" w:oddHBand="0" w:evenHBand="0" w:firstRowFirstColumn="0" w:firstRowLastColumn="0" w:lastRowFirstColumn="0" w:lastRowLastColumn="0"/>
            <w:tcW w:w="1170" w:type="dxa"/>
          </w:tcPr>
          <w:p w14:paraId="4D30A39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1.03</w:t>
            </w:r>
          </w:p>
        </w:tc>
        <w:tc>
          <w:tcPr>
            <w:cnfStyle w:val="000001000000" w:firstRow="0" w:lastRow="0" w:firstColumn="0" w:lastColumn="0" w:oddVBand="0" w:evenVBand="1" w:oddHBand="0" w:evenHBand="0" w:firstRowFirstColumn="0" w:firstRowLastColumn="0" w:lastRowFirstColumn="0" w:lastRowLastColumn="0"/>
            <w:tcW w:w="1350" w:type="dxa"/>
          </w:tcPr>
          <w:p w14:paraId="5E01598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1.3</w:t>
            </w:r>
          </w:p>
        </w:tc>
        <w:tc>
          <w:tcPr>
            <w:cnfStyle w:val="000010000000" w:firstRow="0" w:lastRow="0" w:firstColumn="0" w:lastColumn="0" w:oddVBand="1" w:evenVBand="0" w:oddHBand="0" w:evenHBand="0" w:firstRowFirstColumn="0" w:firstRowLastColumn="0" w:lastRowFirstColumn="0" w:lastRowLastColumn="0"/>
            <w:tcW w:w="2430" w:type="dxa"/>
          </w:tcPr>
          <w:p w14:paraId="74D4A9A5"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w:t>
            </w:r>
          </w:p>
        </w:tc>
        <w:tc>
          <w:tcPr>
            <w:cnfStyle w:val="000001000000" w:firstRow="0" w:lastRow="0" w:firstColumn="0" w:lastColumn="0" w:oddVBand="0" w:evenVBand="1" w:oddHBand="0" w:evenHBand="0" w:firstRowFirstColumn="0" w:firstRowLastColumn="0" w:lastRowFirstColumn="0" w:lastRowLastColumn="0"/>
            <w:tcW w:w="2520" w:type="dxa"/>
          </w:tcPr>
          <w:p w14:paraId="1D7D06B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accelerometer + GPS; dynamic 50 m buffers around each minute; fully adjusted GLMM</w:t>
            </w:r>
          </w:p>
        </w:tc>
      </w:tr>
      <w:tr w:rsidR="00027351" w14:paraId="513C0E60" w14:textId="77777777" w:rsidTr="00027351">
        <w:trPr>
          <w:trHeight w:val="710"/>
        </w:trPr>
        <w:tc>
          <w:tcPr>
            <w:cnfStyle w:val="000010000000" w:firstRow="0" w:lastRow="0" w:firstColumn="0" w:lastColumn="0" w:oddVBand="1" w:evenVBand="0" w:oddHBand="0" w:evenHBand="0" w:firstRowFirstColumn="0" w:firstRowLastColumn="0" w:lastRowFirstColumn="0" w:lastRowLastColumn="0"/>
            <w:tcW w:w="1525" w:type="dxa"/>
          </w:tcPr>
          <w:p w14:paraId="6503597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Kivimäki et al., 2021</w:t>
            </w:r>
          </w:p>
        </w:tc>
        <w:tc>
          <w:tcPr>
            <w:cnfStyle w:val="000001000000" w:firstRow="0" w:lastRow="0" w:firstColumn="0" w:lastColumn="0" w:oddVBand="0" w:evenVBand="1" w:oddHBand="0" w:evenHBand="0" w:firstRowFirstColumn="0" w:firstRowLastColumn="0" w:lastRowFirstColumn="0" w:lastRowLastColumn="0"/>
            <w:tcW w:w="1980" w:type="dxa"/>
          </w:tcPr>
          <w:p w14:paraId="4C8B071C" w14:textId="77777777" w:rsidR="00027351" w:rsidRPr="003B2FCF"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Increase in physical activity </w:t>
            </w:r>
          </w:p>
        </w:tc>
        <w:tc>
          <w:tcPr>
            <w:cnfStyle w:val="000010000000" w:firstRow="0" w:lastRow="0" w:firstColumn="0" w:lastColumn="0" w:oddVBand="1" w:evenVBand="0" w:oddHBand="0" w:evenHBand="0" w:firstRowFirstColumn="0" w:firstRowLastColumn="0" w:lastRowFirstColumn="0" w:lastRowLastColumn="0"/>
            <w:tcW w:w="1980" w:type="dxa"/>
          </w:tcPr>
          <w:p w14:paraId="0C9CACD2"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 xml:space="preserve">Increase in neighbourhood green space (higher NDVI; disadvantaged → advantaged)</w:t>
            </w:r>
          </w:p>
        </w:tc>
        <w:tc>
          <w:tcPr>
            <w:cnfStyle w:val="000001000000" w:firstRow="0" w:lastRow="0" w:firstColumn="0" w:lastColumn="0" w:oddVBand="0" w:evenVBand="1" w:oddHBand="0" w:evenHBand="0" w:firstRowFirstColumn="0" w:firstRowLastColumn="0" w:lastRowFirstColumn="0" w:lastRowLastColumn="0"/>
            <w:tcW w:w="990" w:type="dxa"/>
          </w:tcPr>
          <w:p w14:paraId="719E9A20"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1.11</w:t>
            </w:r>
          </w:p>
        </w:tc>
        <w:tc>
          <w:tcPr>
            <w:cnfStyle w:val="000010000000" w:firstRow="0" w:lastRow="0" w:firstColumn="0" w:lastColumn="0" w:oddVBand="1" w:evenVBand="0" w:oddHBand="0" w:evenHBand="0" w:firstRowFirstColumn="0" w:firstRowLastColumn="0" w:lastRowFirstColumn="0" w:lastRowLastColumn="0"/>
            <w:tcW w:w="1170" w:type="dxa"/>
          </w:tcPr>
          <w:p w14:paraId="6C8BB36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0.98</w:t>
            </w:r>
          </w:p>
        </w:tc>
        <w:tc>
          <w:tcPr>
            <w:cnfStyle w:val="000001000000" w:firstRow="0" w:lastRow="0" w:firstColumn="0" w:lastColumn="0" w:oddVBand="0" w:evenVBand="1" w:oddHBand="0" w:evenHBand="0" w:firstRowFirstColumn="0" w:firstRowLastColumn="0" w:lastRowFirstColumn="0" w:lastRowLastColumn="0"/>
            <w:tcW w:w="1350" w:type="dxa"/>
          </w:tcPr>
          <w:p w14:paraId="466EB1A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1.27</w:t>
            </w:r>
          </w:p>
        </w:tc>
        <w:tc>
          <w:tcPr>
            <w:cnfStyle w:val="000010000000" w:firstRow="0" w:lastRow="0" w:firstColumn="0" w:lastColumn="0" w:oddVBand="1" w:evenVBand="0" w:oddHBand="0" w:evenHBand="0" w:firstRowFirstColumn="0" w:firstRowLastColumn="0" w:lastRowFirstColumn="0" w:lastRowLastColumn="0"/>
            <w:tcW w:w="2430" w:type="dxa"/>
          </w:tcPr>
          <w:p w14:paraId="1FA29D9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Adjusted for age, sex, education, survey pair, cohort</w:t>
            </w:r>
          </w:p>
        </w:tc>
        <w:tc>
          <w:tcPr>
            <w:cnfStyle w:val="000001000000" w:firstRow="0" w:lastRow="0" w:firstColumn="0" w:lastColumn="0" w:oddVBand="0" w:evenVBand="1" w:oddHBand="0" w:evenHBand="0" w:firstRowFirstColumn="0" w:firstRowLastColumn="0" w:lastRowFirstColumn="0" w:lastRowLastColumn="0"/>
            <w:tcW w:w="2520" w:type="dxa"/>
          </w:tcPr>
          <w:p w14:paraId="3C84E46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PA analyzed as lifestyle mediator; not primary PA outcome</w:t>
            </w:r>
          </w:p>
        </w:tc>
      </w:tr>
      <w:tr w:rsidR="00027351" w14:paraId="17A11FDA" w14:textId="77777777" w:rsidTr="00027351">
        <w:trPr>
          <w:cnfStyle w:val="000000100000" w:firstRow="0" w:lastRow="0" w:firstColumn="0" w:lastColumn="0" w:oddVBand="0" w:evenVBand="0" w:oddHBand="1" w:evenHBand="0" w:firstRowFirstColumn="0" w:firstRowLastColumn="0" w:lastRowFirstColumn="0" w:lastRowLastColumn="0"/>
          <w:trHeight w:val="1097"/>
        </w:trPr>
        <w:tc>
          <w:tcPr>
            <w:cnfStyle w:val="000010000000" w:firstRow="0" w:lastRow="0" w:firstColumn="0" w:lastColumn="0" w:oddVBand="1" w:evenVBand="0" w:oddHBand="0" w:evenHBand="0" w:firstRowFirstColumn="0" w:firstRowLastColumn="0" w:lastRowFirstColumn="0" w:lastRowLastColumn="0"/>
            <w:tcW w:w="1525" w:type="dxa"/>
          </w:tcPr>
          <w:p w14:paraId="08005E7B"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Boakye et al., 2021</w:t>
            </w:r>
          </w:p>
        </w:tc>
        <w:tc>
          <w:tcPr>
            <w:cnfStyle w:val="000001000000" w:firstRow="0" w:lastRow="0" w:firstColumn="0" w:lastColumn="0" w:oddVBand="0" w:evenVBand="1" w:oddHBand="0" w:evenHBand="0" w:firstRowFirstColumn="0" w:firstRowLastColumn="0" w:lastRowFirstColumn="0" w:lastRowLastColumn="0"/>
            <w:tcW w:w="1980" w:type="dxa"/>
          </w:tcPr>
          <w:p w14:paraId="113553DA"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MVPA (minute-level, vs sedentary–light)</w:t>
            </w:r>
          </w:p>
        </w:tc>
        <w:tc>
          <w:tcPr>
            <w:cnfStyle w:val="000010000000" w:firstRow="0" w:lastRow="0" w:firstColumn="0" w:lastColumn="0" w:oddVBand="1" w:evenVBand="0" w:oddHBand="0" w:evenHBand="0" w:firstRowFirstColumn="0" w:firstRowLastColumn="0" w:lastRowFirstColumn="0" w:lastRowLastColumn="0"/>
            <w:tcW w:w="1980" w:type="dxa"/>
          </w:tcPr>
          <w:p w14:paraId="45DE8A64"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NDVI, highest vs lowest quartile (Q4 vs Q1), GPS-based 100 m buffer</w:t>
            </w:r>
          </w:p>
        </w:tc>
        <w:tc>
          <w:tcPr>
            <w:cnfStyle w:val="000001000000" w:firstRow="0" w:lastRow="0" w:firstColumn="0" w:lastColumn="0" w:oddVBand="0" w:evenVBand="1" w:oddHBand="0" w:evenHBand="0" w:firstRowFirstColumn="0" w:firstRowLastColumn="0" w:lastRowFirstColumn="0" w:lastRowLastColumn="0"/>
            <w:tcW w:w="990" w:type="dxa"/>
          </w:tcPr>
          <w:p w14:paraId="05700103"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1.05</w:t>
            </w:r>
          </w:p>
        </w:tc>
        <w:tc>
          <w:tcPr>
            <w:cnfStyle w:val="000010000000" w:firstRow="0" w:lastRow="0" w:firstColumn="0" w:lastColumn="0" w:oddVBand="1" w:evenVBand="0" w:oddHBand="0" w:evenHBand="0" w:firstRowFirstColumn="0" w:firstRowLastColumn="0" w:lastRowFirstColumn="0" w:lastRowLastColumn="0"/>
            <w:tcW w:w="1170" w:type="dxa"/>
          </w:tcPr>
          <w:p w14:paraId="34E38C09"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1.01</w:t>
            </w:r>
          </w:p>
        </w:tc>
        <w:tc>
          <w:tcPr>
            <w:cnfStyle w:val="000001000000" w:firstRow="0" w:lastRow="0" w:firstColumn="0" w:lastColumn="0" w:oddVBand="0" w:evenVBand="1" w:oddHBand="0" w:evenHBand="0" w:firstRowFirstColumn="0" w:firstRowLastColumn="0" w:lastRowFirstColumn="0" w:lastRowLastColumn="0"/>
            <w:tcW w:w="1350" w:type="dxa"/>
          </w:tcPr>
          <w:p w14:paraId="187FF4B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1.08</w:t>
            </w:r>
          </w:p>
        </w:tc>
        <w:tc>
          <w:tcPr>
            <w:cnfStyle w:val="000010000000" w:firstRow="0" w:lastRow="0" w:firstColumn="0" w:lastColumn="0" w:oddVBand="1" w:evenVBand="0" w:oddHBand="0" w:evenHBand="0" w:firstRowFirstColumn="0" w:firstRowLastColumn="0" w:lastRowFirstColumn="0" w:lastRowLastColumn="0"/>
            <w:tcW w:w="2430" w:type="dxa"/>
          </w:tcPr>
          <w:p w14:paraId="7FDCA45D"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Yes</w:t>
            </w:r>
          </w:p>
        </w:tc>
        <w:tc>
          <w:tcPr>
            <w:cnfStyle w:val="000001000000" w:firstRow="0" w:lastRow="0" w:firstColumn="0" w:lastColumn="0" w:oddVBand="0" w:evenVBand="1" w:oddHBand="0" w:evenHBand="0" w:firstRowFirstColumn="0" w:firstRowLastColumn="0" w:lastRowFirstColumn="0" w:lastRowLastColumn="0"/>
            <w:tcW w:w="2520" w:type="dxa"/>
          </w:tcPr>
          <w:p w14:paraId="4E9A7C58" w14:textId="77777777" w:rsidR="00027351" w:rsidRPr="00027351" w:rsidRDefault="00027351" w:rsidP="00027351">
            <w:pPr>
              <w:widowControl/>
              <w:autoSpaceDE w:val="0"/>
              <w:autoSpaceDN w:val="0"/>
              <w:adjustRightInd w:val="0"/>
              <w:jc w:val="left"/>
              <w:rPr>
                <w:rFonts w:asciiTheme="majorBidi" w:hAnsiTheme="majorBidi" w:cstheme="majorBidi"/>
                <w:color w:val="000000"/>
                <w:kern w:val="0"/>
                <w:sz w:val="18"/>
                <w:szCs w:val="18"/>
              </w:rPr>
            </w:pPr>
            <w:r>
              <w:rPr>
                <w:rFonts w:asciiTheme="majorBidi" w:hAnsiTheme="majorBidi" w:cstheme="majorBidi"/>
                <w:color w:val="000000"/>
                <w:kern w:val="0"/>
                <w:sz w:val="18"/>
                <w:szCs w:val="18"/>
              </w:rPr>
              <w:t>Objective accelerometer + GPS; adjusted mixed-effects models; NDVI derived from Landsat, IQR and quartile analyses reported</w:t>
            </w:r>
          </w:p>
        </w:tc>
      </w:tr>
    </w:tbl>
    <w:p w14:paraId="3209360E" w14:textId="77777777" w:rsidR="00027351" w:rsidRDefault="00027351" w:rsidP="00027351">
      <w:pPr>
        <w:rPr>
          <w:rFonts w:asciiTheme="majorBidi" w:hAnsiTheme="majorBidi" w:cstheme="majorBidi"/>
          <w:szCs w:val="21"/>
          <w:shd w:val="clear" w:color="auto" w:fill="FFFFFF" w:themeFill="background1"/>
        </w:rPr>
      </w:pPr>
    </w:p>
    <w:p w14:paraId="3C81E782" w14:textId="77777777" w:rsidR="00E45623" w:rsidRDefault="00E45623">
      <w:pPr>
        <w:rPr>
          <w:rFonts w:asciiTheme="majorBidi" w:hAnsiTheme="majorBidi" w:cstheme="majorBidi"/>
          <w:szCs w:val="21"/>
          <w:shd w:val="clear" w:color="auto" w:fill="FFFFFF" w:themeFill="background1"/>
        </w:rPr>
      </w:pPr>
    </w:p>
    <w:p w14:paraId="05C4948A" w14:textId="77777777" w:rsidR="00E45623" w:rsidRDefault="00E45623">
      <w:pPr>
        <w:rPr>
          <w:rFonts w:asciiTheme="majorBidi" w:hAnsiTheme="majorBidi" w:cstheme="majorBidi"/>
          <w:szCs w:val="21"/>
          <w:shd w:val="clear" w:color="auto" w:fill="FFFFFF" w:themeFill="background1"/>
        </w:rPr>
      </w:pPr>
    </w:p>
    <w:p w14:paraId="00BC5289" w14:textId="77777777" w:rsidR="00E45623" w:rsidRDefault="00E45623">
      <w:pPr>
        <w:rPr>
          <w:rFonts w:asciiTheme="majorBidi" w:hAnsiTheme="majorBidi" w:cstheme="majorBidi"/>
          <w:szCs w:val="21"/>
          <w:shd w:val="clear" w:color="auto" w:fill="FFFFFF" w:themeFill="background1"/>
        </w:rPr>
      </w:pPr>
    </w:p>
    <w:p w14:paraId="2F739202" w14:textId="77777777" w:rsidR="00E45623" w:rsidRDefault="00E45623">
      <w:pPr>
        <w:rPr>
          <w:rFonts w:asciiTheme="majorBidi" w:hAnsiTheme="majorBidi" w:cstheme="majorBidi"/>
          <w:szCs w:val="21"/>
          <w:shd w:val="clear" w:color="auto" w:fill="FFFFFF" w:themeFill="background1"/>
        </w:rPr>
      </w:pPr>
    </w:p>
    <w:p w14:paraId="65121C7A" w14:textId="77777777" w:rsidR="00E45623" w:rsidRDefault="00E45623">
      <w:pPr>
        <w:rPr>
          <w:rFonts w:asciiTheme="majorBidi" w:hAnsiTheme="majorBidi" w:cstheme="majorBidi"/>
          <w:szCs w:val="21"/>
          <w:shd w:val="clear" w:color="auto" w:fill="FFFFFF" w:themeFill="background1"/>
        </w:rPr>
      </w:pPr>
    </w:p>
    <w:p w14:paraId="32D8243E" w14:textId="77777777" w:rsidR="003A301E" w:rsidRPr="003A301E" w:rsidRDefault="003A301E" w:rsidP="003A301E">
      <w:pPr>
        <w:rPr>
          <w:rFonts w:asciiTheme="majorBidi" w:hAnsiTheme="majorBidi" w:cstheme="majorBidi"/>
          <w:b/>
          <w:bCs/>
          <w:szCs w:val="21"/>
          <w:shd w:val="clear" w:color="auto" w:fill="FFFFFF" w:themeFill="background1"/>
        </w:rPr>
      </w:pPr>
      <w:r>
        <w:rPr>
          <w:rFonts w:asciiTheme="majorBidi" w:hAnsiTheme="majorBidi" w:cstheme="majorBidi"/>
          <w:b/>
          <w:bCs/>
          <w:sz w:val="22"/>
          <w:shd w:val="clear" w:color="auto" w:fill="FFFFFF" w:themeFill="background1"/>
        </w:rPr>
        <w:t>Table F2. Greenspace proximity and physical activity: study-level effect estimates</w:t>
      </w:r>
    </w:p>
    <w:p w14:paraId="28F32C73" w14:textId="77777777" w:rsidR="003A301E" w:rsidRPr="003A301E" w:rsidRDefault="003A301E" w:rsidP="003A301E">
      <w:pPr>
        <w:rPr>
          <w:rFonts w:asciiTheme="majorBidi" w:hAnsiTheme="majorBidi" w:cstheme="majorBidi"/>
          <w:sz w:val="22"/>
          <w:shd w:val="clear" w:color="auto" w:fill="FFFFFF" w:themeFill="background1"/>
        </w:rPr>
      </w:pPr>
      <w:r>
        <w:rPr>
          <w:rFonts w:asciiTheme="majorBidi" w:hAnsiTheme="majorBidi" w:cstheme="majorBidi"/>
          <w:sz w:val="22"/>
          <w:shd w:val="clear" w:color="auto" w:fill="FFFFFF" w:themeFill="background1"/>
        </w:rPr>
        <w:t>Study-level effect estimates examining associations between greenspace proximity and physical activity. Results are grouped by outcome domain. Effect sizes were harmonized such that odds ratios (ORs) greater than 1 indicate higher physical activity.</w:t>
      </w:r>
    </w:p>
    <w:p w14:paraId="36388B8B" w14:textId="77777777" w:rsidR="00E45623" w:rsidRDefault="00E45623">
      <w:pPr>
        <w:rPr>
          <w:rFonts w:asciiTheme="majorBidi" w:hAnsiTheme="majorBidi" w:cstheme="majorBidi"/>
          <w:szCs w:val="21"/>
          <w:shd w:val="clear" w:color="auto" w:fill="FFFFFF" w:themeFill="background1"/>
        </w:rPr>
      </w:pPr>
    </w:p>
    <w:tbl>
      <w:tblPr>
        <w:tblStyle w:val="PlainTable21"/>
        <w:tblW w:w="13945" w:type="dxa"/>
        <w:tblInd w:w="5" w:type="dxa"/>
        <w:tblLayout w:type="fixed"/>
        <w:tblLook w:val="0000" w:firstRow="0" w:lastRow="0" w:firstColumn="0" w:lastColumn="0" w:noHBand="0" w:noVBand="0"/>
      </w:tblPr>
      <w:tblGrid>
        <w:gridCol w:w="2240"/>
        <w:gridCol w:w="4410"/>
        <w:gridCol w:w="3060"/>
        <w:gridCol w:w="1080"/>
        <w:gridCol w:w="1620"/>
        <w:gridCol w:w="1535"/>
      </w:tblGrid>
      <w:tr w:rsidR="00434A50" w:rsidRPr="00434A50" w14:paraId="4B92B667" w14:textId="77777777" w:rsidTr="00434A50">
        <w:trPr>
          <w:cnfStyle w:val="000000100000" w:firstRow="0" w:lastRow="0" w:firstColumn="0" w:lastColumn="0" w:oddVBand="0" w:evenVBand="0" w:oddHBand="1" w:evenHBand="0" w:firstRowFirstColumn="0" w:firstRowLastColumn="0" w:lastRowFirstColumn="0" w:lastRowLastColumn="0"/>
          <w:trHeight w:val="487"/>
        </w:trPr>
        <w:tc>
          <w:tcPr>
            <w:cnfStyle w:val="000010000000" w:firstRow="0" w:lastRow="0" w:firstColumn="0" w:lastColumn="0" w:oddVBand="1" w:evenVBand="0" w:oddHBand="0" w:evenHBand="0" w:firstRowFirstColumn="0" w:firstRowLastColumn="0" w:lastRowFirstColumn="0" w:lastRowLastColumn="0"/>
            <w:tcW w:w="13945" w:type="dxa"/>
            <w:gridSpan w:val="6"/>
            <w:vAlign w:val="center"/>
          </w:tcPr>
          <w:p w14:paraId="71D9CCCD" w14:textId="0426AE56" w:rsidR="00434A50" w:rsidRPr="00434A50" w:rsidRDefault="00434A50" w:rsidP="00434A50">
            <w:pPr>
              <w:widowControl/>
              <w:autoSpaceDE w:val="0"/>
              <w:autoSpaceDN w:val="0"/>
              <w:adjustRightInd w:val="0"/>
              <w:jc w:val="center"/>
              <w:rPr>
                <w:rFonts w:asciiTheme="majorBidi" w:hAnsiTheme="majorBidi" w:cstheme="majorBidi"/>
                <w:b/>
                <w:bCs/>
                <w:color w:val="000000"/>
                <w:kern w:val="0"/>
                <w:sz w:val="20"/>
                <w:szCs w:val="20"/>
              </w:rPr>
            </w:pPr>
            <w:r>
              <w:rPr>
                <w:rFonts w:asciiTheme="majorBidi" w:hAnsiTheme="majorBidi" w:cstheme="majorBidi"/>
                <w:b/>
                <w:bCs/>
                <w:color w:val="000000"/>
                <w:kern w:val="0"/>
              </w:rPr>
              <w:t xml:space="preserve">Group A: PA participation/guideline</w:t>
            </w:r>
          </w:p>
        </w:tc>
      </w:tr>
      <w:tr w:rsidR="00434A50" w:rsidRPr="00434A50" w14:paraId="6E74DDD1" w14:textId="77777777" w:rsidTr="00434A50">
        <w:trPr>
          <w:trHeight w:val="305"/>
        </w:trPr>
        <w:tc>
          <w:tcPr>
            <w:cnfStyle w:val="000010000000" w:firstRow="0" w:lastRow="0" w:firstColumn="0" w:lastColumn="0" w:oddVBand="1" w:evenVBand="0" w:oddHBand="0" w:evenHBand="0" w:firstRowFirstColumn="0" w:firstRowLastColumn="0" w:lastRowFirstColumn="0" w:lastRowLastColumn="0"/>
            <w:tcW w:w="2240" w:type="dxa"/>
          </w:tcPr>
          <w:p w14:paraId="566C76D7"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study</w:t>
            </w:r>
          </w:p>
        </w:tc>
        <w:tc>
          <w:tcPr>
            <w:cnfStyle w:val="000001000000" w:firstRow="0" w:lastRow="0" w:firstColumn="0" w:lastColumn="0" w:oddVBand="0" w:evenVBand="1" w:oddHBand="0" w:evenHBand="0" w:firstRowFirstColumn="0" w:firstRowLastColumn="0" w:lastRowFirstColumn="0" w:lastRowLastColumn="0"/>
            <w:tcW w:w="4410" w:type="dxa"/>
          </w:tcPr>
          <w:p w14:paraId="1A1805C0"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Exposure definition</w:t>
            </w:r>
          </w:p>
        </w:tc>
        <w:tc>
          <w:tcPr>
            <w:cnfStyle w:val="000010000000" w:firstRow="0" w:lastRow="0" w:firstColumn="0" w:lastColumn="0" w:oddVBand="1" w:evenVBand="0" w:oddHBand="0" w:evenHBand="0" w:firstRowFirstColumn="0" w:firstRowLastColumn="0" w:lastRowFirstColumn="0" w:lastRowLastColumn="0"/>
            <w:tcW w:w="3060" w:type="dxa"/>
          </w:tcPr>
          <w:p w14:paraId="26A162F4"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Physical activity outcome</w:t>
            </w:r>
          </w:p>
        </w:tc>
        <w:tc>
          <w:tcPr>
            <w:cnfStyle w:val="000001000000" w:firstRow="0" w:lastRow="0" w:firstColumn="0" w:lastColumn="0" w:oddVBand="0" w:evenVBand="1" w:oddHBand="0" w:evenHBand="0" w:firstRowFirstColumn="0" w:firstRowLastColumn="0" w:lastRowFirstColumn="0" w:lastRowLastColumn="0"/>
            <w:tcW w:w="1080" w:type="dxa"/>
          </w:tcPr>
          <w:p w14:paraId="185DFA11"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OR</w:t>
            </w:r>
          </w:p>
        </w:tc>
        <w:tc>
          <w:tcPr>
            <w:cnfStyle w:val="000010000000" w:firstRow="0" w:lastRow="0" w:firstColumn="0" w:lastColumn="0" w:oddVBand="1" w:evenVBand="0" w:oddHBand="0" w:evenHBand="0" w:firstRowFirstColumn="0" w:firstRowLastColumn="0" w:lastRowFirstColumn="0" w:lastRowLastColumn="0"/>
            <w:tcW w:w="1620" w:type="dxa"/>
          </w:tcPr>
          <w:p w14:paraId="684F2654"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95% CI (lower)</w:t>
            </w:r>
          </w:p>
        </w:tc>
        <w:tc>
          <w:tcPr>
            <w:cnfStyle w:val="000001000000" w:firstRow="0" w:lastRow="0" w:firstColumn="0" w:lastColumn="0" w:oddVBand="0" w:evenVBand="1" w:oddHBand="0" w:evenHBand="0" w:firstRowFirstColumn="0" w:firstRowLastColumn="0" w:lastRowFirstColumn="0" w:lastRowLastColumn="0"/>
            <w:tcW w:w="1535" w:type="dxa"/>
          </w:tcPr>
          <w:p w14:paraId="3F7E61A5"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95% CI (upper)</w:t>
            </w:r>
          </w:p>
        </w:tc>
      </w:tr>
      <w:tr w:rsidR="00434A50" w:rsidRPr="00434A50" w14:paraId="5B7998BA" w14:textId="77777777" w:rsidTr="00434A50">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240" w:type="dxa"/>
          </w:tcPr>
          <w:p w14:paraId="146E83D4"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Dadvand_2016</w:t>
            </w:r>
          </w:p>
        </w:tc>
        <w:tc>
          <w:tcPr>
            <w:cnfStyle w:val="000001000000" w:firstRow="0" w:lastRow="0" w:firstColumn="0" w:lastColumn="0" w:oddVBand="0" w:evenVBand="1" w:oddHBand="0" w:evenHBand="0" w:firstRowFirstColumn="0" w:firstRowLastColumn="0" w:lastRowFirstColumn="0" w:lastRowLastColumn="0"/>
            <w:tcW w:w="4410" w:type="dxa"/>
          </w:tcPr>
          <w:p w14:paraId="6EC41AE1"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Within 300m of &gt;=5000 m2 green space vs not</w:t>
            </w:r>
          </w:p>
        </w:tc>
        <w:tc>
          <w:tcPr>
            <w:cnfStyle w:val="000010000000" w:firstRow="0" w:lastRow="0" w:firstColumn="0" w:lastColumn="0" w:oddVBand="1" w:evenVBand="0" w:oddHBand="0" w:evenHBand="0" w:firstRowFirstColumn="0" w:firstRowLastColumn="0" w:lastRowFirstColumn="0" w:lastRowLastColumn="0"/>
            <w:tcW w:w="3060" w:type="dxa"/>
          </w:tcPr>
          <w:p w14:paraId="744812C9"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Moderate/high PA vs low</w:t>
            </w:r>
          </w:p>
        </w:tc>
        <w:tc>
          <w:tcPr>
            <w:cnfStyle w:val="000001000000" w:firstRow="0" w:lastRow="0" w:firstColumn="0" w:lastColumn="0" w:oddVBand="0" w:evenVBand="1" w:oddHBand="0" w:evenHBand="0" w:firstRowFirstColumn="0" w:firstRowLastColumn="0" w:lastRowFirstColumn="0" w:lastRowLastColumn="0"/>
            <w:tcW w:w="1080" w:type="dxa"/>
          </w:tcPr>
          <w:p w14:paraId="0C059C56"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1.33</w:t>
            </w:r>
          </w:p>
        </w:tc>
        <w:tc>
          <w:tcPr>
            <w:cnfStyle w:val="000010000000" w:firstRow="0" w:lastRow="0" w:firstColumn="0" w:lastColumn="0" w:oddVBand="1" w:evenVBand="0" w:oddHBand="0" w:evenHBand="0" w:firstRowFirstColumn="0" w:firstRowLastColumn="0" w:lastRowFirstColumn="0" w:lastRowLastColumn="0"/>
            <w:tcW w:w="1620" w:type="dxa"/>
          </w:tcPr>
          <w:p w14:paraId="4E4B57B3"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0.96</w:t>
            </w:r>
          </w:p>
        </w:tc>
        <w:tc>
          <w:tcPr>
            <w:cnfStyle w:val="000001000000" w:firstRow="0" w:lastRow="0" w:firstColumn="0" w:lastColumn="0" w:oddVBand="0" w:evenVBand="1" w:oddHBand="0" w:evenHBand="0" w:firstRowFirstColumn="0" w:firstRowLastColumn="0" w:lastRowFirstColumn="0" w:lastRowLastColumn="0"/>
            <w:tcW w:w="1535" w:type="dxa"/>
          </w:tcPr>
          <w:p w14:paraId="3B703A4E"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1.83</w:t>
            </w:r>
          </w:p>
        </w:tc>
      </w:tr>
      <w:tr w:rsidR="00434A50" w:rsidRPr="00434A50" w14:paraId="30CACDB6" w14:textId="77777777" w:rsidTr="00434A50">
        <w:trPr>
          <w:trHeight w:val="305"/>
        </w:trPr>
        <w:tc>
          <w:tcPr>
            <w:cnfStyle w:val="000010000000" w:firstRow="0" w:lastRow="0" w:firstColumn="0" w:lastColumn="0" w:oddVBand="1" w:evenVBand="0" w:oddHBand="0" w:evenHBand="0" w:firstRowFirstColumn="0" w:firstRowLastColumn="0" w:lastRowFirstColumn="0" w:lastRowLastColumn="0"/>
            <w:tcW w:w="2240" w:type="dxa"/>
          </w:tcPr>
          <w:p w14:paraId="62E501F7"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Kaczynski_2009</w:t>
            </w:r>
          </w:p>
        </w:tc>
        <w:tc>
          <w:tcPr>
            <w:cnfStyle w:val="000001000000" w:firstRow="0" w:lastRow="0" w:firstColumn="0" w:lastColumn="0" w:oddVBand="0" w:evenVBand="1" w:oddHBand="0" w:evenHBand="0" w:firstRowFirstColumn="0" w:firstRowLastColumn="0" w:lastRowFirstColumn="0" w:lastRowLastColumn="0"/>
            <w:tcW w:w="4410" w:type="dxa"/>
          </w:tcPr>
          <w:p w14:paraId="06895E3D"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Number of parks within 1 km (per unit increase)</w:t>
            </w:r>
          </w:p>
        </w:tc>
        <w:tc>
          <w:tcPr>
            <w:cnfStyle w:val="000010000000" w:firstRow="0" w:lastRow="0" w:firstColumn="0" w:lastColumn="0" w:oddVBand="1" w:evenVBand="0" w:oddHBand="0" w:evenHBand="0" w:firstRowFirstColumn="0" w:firstRowLastColumn="0" w:lastRowFirstColumn="0" w:lastRowLastColumn="0"/>
            <w:tcW w:w="3060" w:type="dxa"/>
          </w:tcPr>
          <w:p w14:paraId="5EF10726"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Meeting PA guidelines (&gt;=150 min/wk)</w:t>
            </w:r>
          </w:p>
        </w:tc>
        <w:tc>
          <w:tcPr>
            <w:cnfStyle w:val="000001000000" w:firstRow="0" w:lastRow="0" w:firstColumn="0" w:lastColumn="0" w:oddVBand="0" w:evenVBand="1" w:oddHBand="0" w:evenHBand="0" w:firstRowFirstColumn="0" w:firstRowLastColumn="0" w:lastRowFirstColumn="0" w:lastRowLastColumn="0"/>
            <w:tcW w:w="1080" w:type="dxa"/>
          </w:tcPr>
          <w:p w14:paraId="5FAC3776"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1.31</w:t>
            </w:r>
          </w:p>
        </w:tc>
        <w:tc>
          <w:tcPr>
            <w:cnfStyle w:val="000010000000" w:firstRow="0" w:lastRow="0" w:firstColumn="0" w:lastColumn="0" w:oddVBand="1" w:evenVBand="0" w:oddHBand="0" w:evenHBand="0" w:firstRowFirstColumn="0" w:firstRowLastColumn="0" w:lastRowFirstColumn="0" w:lastRowLastColumn="0"/>
            <w:tcW w:w="1620" w:type="dxa"/>
          </w:tcPr>
          <w:p w14:paraId="6CD890F7"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1.05</w:t>
            </w:r>
          </w:p>
        </w:tc>
        <w:tc>
          <w:tcPr>
            <w:cnfStyle w:val="000001000000" w:firstRow="0" w:lastRow="0" w:firstColumn="0" w:lastColumn="0" w:oddVBand="0" w:evenVBand="1" w:oddHBand="0" w:evenHBand="0" w:firstRowFirstColumn="0" w:firstRowLastColumn="0" w:lastRowFirstColumn="0" w:lastRowLastColumn="0"/>
            <w:tcW w:w="1535" w:type="dxa"/>
          </w:tcPr>
          <w:p w14:paraId="4B3E5189"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1.65</w:t>
            </w:r>
          </w:p>
        </w:tc>
      </w:tr>
      <w:tr w:rsidR="00434A50" w:rsidRPr="00434A50" w14:paraId="3C3A0BFF" w14:textId="77777777" w:rsidTr="00434A50">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240" w:type="dxa"/>
          </w:tcPr>
          <w:p w14:paraId="6F4289E5"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Lackey_2009</w:t>
            </w:r>
          </w:p>
        </w:tc>
        <w:tc>
          <w:tcPr>
            <w:cnfStyle w:val="000001000000" w:firstRow="0" w:lastRow="0" w:firstColumn="0" w:lastColumn="0" w:oddVBand="0" w:evenVBand="1" w:oddHBand="0" w:evenHBand="0" w:firstRowFirstColumn="0" w:firstRowLastColumn="0" w:lastRowFirstColumn="0" w:lastRowLastColumn="0"/>
            <w:tcW w:w="4410" w:type="dxa"/>
          </w:tcPr>
          <w:p w14:paraId="66B0FAAB"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Number of parks within 500 m (per park)</w:t>
            </w:r>
          </w:p>
        </w:tc>
        <w:tc>
          <w:tcPr>
            <w:cnfStyle w:val="000010000000" w:firstRow="0" w:lastRow="0" w:firstColumn="0" w:lastColumn="0" w:oddVBand="1" w:evenVBand="0" w:oddHBand="0" w:evenHBand="0" w:firstRowFirstColumn="0" w:firstRowLastColumn="0" w:lastRowFirstColumn="0" w:lastRowLastColumn="0"/>
            <w:tcW w:w="3060" w:type="dxa"/>
          </w:tcPr>
          <w:p w14:paraId="2E8D624A"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Meeting PA guidelines</w:t>
            </w:r>
          </w:p>
        </w:tc>
        <w:tc>
          <w:tcPr>
            <w:cnfStyle w:val="000001000000" w:firstRow="0" w:lastRow="0" w:firstColumn="0" w:lastColumn="0" w:oddVBand="0" w:evenVBand="1" w:oddHBand="0" w:evenHBand="0" w:firstRowFirstColumn="0" w:firstRowLastColumn="0" w:lastRowFirstColumn="0" w:lastRowLastColumn="0"/>
            <w:tcW w:w="1080" w:type="dxa"/>
          </w:tcPr>
          <w:p w14:paraId="01008781"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1.04</w:t>
            </w:r>
          </w:p>
        </w:tc>
        <w:tc>
          <w:tcPr>
            <w:cnfStyle w:val="000010000000" w:firstRow="0" w:lastRow="0" w:firstColumn="0" w:lastColumn="0" w:oddVBand="1" w:evenVBand="0" w:oddHBand="0" w:evenHBand="0" w:firstRowFirstColumn="0" w:firstRowLastColumn="0" w:lastRowFirstColumn="0" w:lastRowLastColumn="0"/>
            <w:tcW w:w="1620" w:type="dxa"/>
          </w:tcPr>
          <w:p w14:paraId="0C5B1272"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0.98</w:t>
            </w:r>
          </w:p>
        </w:tc>
        <w:tc>
          <w:tcPr>
            <w:cnfStyle w:val="000001000000" w:firstRow="0" w:lastRow="0" w:firstColumn="0" w:lastColumn="0" w:oddVBand="0" w:evenVBand="1" w:oddHBand="0" w:evenHBand="0" w:firstRowFirstColumn="0" w:firstRowLastColumn="0" w:lastRowFirstColumn="0" w:lastRowLastColumn="0"/>
            <w:tcW w:w="1535" w:type="dxa"/>
          </w:tcPr>
          <w:p w14:paraId="1CDF43D5"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1.09</w:t>
            </w:r>
          </w:p>
        </w:tc>
      </w:tr>
      <w:tr w:rsidR="00434A50" w:rsidRPr="00434A50" w14:paraId="6E74E6B1" w14:textId="77777777" w:rsidTr="00434A50">
        <w:trPr>
          <w:trHeight w:val="305"/>
        </w:trPr>
        <w:tc>
          <w:tcPr>
            <w:cnfStyle w:val="000010000000" w:firstRow="0" w:lastRow="0" w:firstColumn="0" w:lastColumn="0" w:oddVBand="1" w:evenVBand="0" w:oddHBand="0" w:evenHBand="0" w:firstRowFirstColumn="0" w:firstRowLastColumn="0" w:lastRowFirstColumn="0" w:lastRowLastColumn="0"/>
            <w:tcW w:w="2240" w:type="dxa"/>
          </w:tcPr>
          <w:p w14:paraId="19EB0E04"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lastRenderedPageBreak/>
              <w:t>Toftager_2011</w:t>
            </w:r>
          </w:p>
        </w:tc>
        <w:tc>
          <w:tcPr>
            <w:cnfStyle w:val="000001000000" w:firstRow="0" w:lastRow="0" w:firstColumn="0" w:lastColumn="0" w:oddVBand="0" w:evenVBand="1" w:oddHBand="0" w:evenHBand="0" w:firstRowFirstColumn="0" w:firstRowLastColumn="0" w:lastRowFirstColumn="0" w:lastRowLastColumn="0"/>
            <w:tcW w:w="4410" w:type="dxa"/>
          </w:tcPr>
          <w:p w14:paraId="69857F79"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Distance to nearest green space (per category increase)</w:t>
            </w:r>
          </w:p>
        </w:tc>
        <w:tc>
          <w:tcPr>
            <w:cnfStyle w:val="000010000000" w:firstRow="0" w:lastRow="0" w:firstColumn="0" w:lastColumn="0" w:oddVBand="1" w:evenVBand="0" w:oddHBand="0" w:evenHBand="0" w:firstRowFirstColumn="0" w:firstRowLastColumn="0" w:lastRowFirstColumn="0" w:lastRowLastColumn="0"/>
            <w:tcW w:w="3060" w:type="dxa"/>
          </w:tcPr>
          <w:p w14:paraId="417844DC"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Leisure-time PA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3DF68816"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1.14</w:t>
            </w:r>
          </w:p>
        </w:tc>
        <w:tc>
          <w:tcPr>
            <w:cnfStyle w:val="000010000000" w:firstRow="0" w:lastRow="0" w:firstColumn="0" w:lastColumn="0" w:oddVBand="1" w:evenVBand="0" w:oddHBand="0" w:evenHBand="0" w:firstRowFirstColumn="0" w:firstRowLastColumn="0" w:lastRowFirstColumn="0" w:lastRowLastColumn="0"/>
            <w:tcW w:w="1620" w:type="dxa"/>
          </w:tcPr>
          <w:p w14:paraId="35CF7781"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1.02</w:t>
            </w:r>
          </w:p>
        </w:tc>
        <w:tc>
          <w:tcPr>
            <w:cnfStyle w:val="000001000000" w:firstRow="0" w:lastRow="0" w:firstColumn="0" w:lastColumn="0" w:oddVBand="0" w:evenVBand="1" w:oddHBand="0" w:evenHBand="0" w:firstRowFirstColumn="0" w:firstRowLastColumn="0" w:lastRowFirstColumn="0" w:lastRowLastColumn="0"/>
            <w:tcW w:w="1535" w:type="dxa"/>
          </w:tcPr>
          <w:p w14:paraId="73285C96"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1.27</w:t>
            </w:r>
          </w:p>
        </w:tc>
      </w:tr>
      <w:tr w:rsidR="00434A50" w:rsidRPr="00434A50" w14:paraId="21CBAB7A" w14:textId="77777777" w:rsidTr="00434A50">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240" w:type="dxa"/>
          </w:tcPr>
          <w:p w14:paraId="15C30C6A"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Witten_2008</w:t>
            </w:r>
          </w:p>
        </w:tc>
        <w:tc>
          <w:tcPr>
            <w:cnfStyle w:val="000001000000" w:firstRow="0" w:lastRow="0" w:firstColumn="0" w:lastColumn="0" w:oddVBand="0" w:evenVBand="1" w:oddHBand="0" w:evenHBand="0" w:firstRowFirstColumn="0" w:firstRowLastColumn="0" w:lastRowFirstColumn="0" w:lastRowLastColumn="0"/>
            <w:tcW w:w="4410" w:type="dxa"/>
          </w:tcPr>
          <w:p w14:paraId="76BFF893"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Worst (&gt;2.4 min) vs best (&lt;0.8 min) park access</w:t>
            </w:r>
          </w:p>
        </w:tc>
        <w:tc>
          <w:tcPr>
            <w:cnfStyle w:val="000010000000" w:firstRow="0" w:lastRow="0" w:firstColumn="0" w:lastColumn="0" w:oddVBand="1" w:evenVBand="0" w:oddHBand="0" w:evenHBand="0" w:firstRowFirstColumn="0" w:firstRowLastColumn="0" w:lastRowFirstColumn="0" w:lastRowLastColumn="0"/>
            <w:tcW w:w="3060" w:type="dxa"/>
          </w:tcPr>
          <w:p w14:paraId="3DB016D7"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Meeting recommended PA</w:t>
            </w:r>
          </w:p>
        </w:tc>
        <w:tc>
          <w:tcPr>
            <w:cnfStyle w:val="000001000000" w:firstRow="0" w:lastRow="0" w:firstColumn="0" w:lastColumn="0" w:oddVBand="0" w:evenVBand="1" w:oddHBand="0" w:evenHBand="0" w:firstRowFirstColumn="0" w:firstRowLastColumn="0" w:lastRowFirstColumn="0" w:lastRowLastColumn="0"/>
            <w:tcW w:w="1080" w:type="dxa"/>
          </w:tcPr>
          <w:p w14:paraId="2768FE43"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1.15</w:t>
            </w:r>
          </w:p>
        </w:tc>
        <w:tc>
          <w:tcPr>
            <w:cnfStyle w:val="000010000000" w:firstRow="0" w:lastRow="0" w:firstColumn="0" w:lastColumn="0" w:oddVBand="1" w:evenVBand="0" w:oddHBand="0" w:evenHBand="0" w:firstRowFirstColumn="0" w:firstRowLastColumn="0" w:lastRowFirstColumn="0" w:lastRowLastColumn="0"/>
            <w:tcW w:w="1620" w:type="dxa"/>
          </w:tcPr>
          <w:p w14:paraId="01EF271C"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0.96</w:t>
            </w:r>
          </w:p>
        </w:tc>
        <w:tc>
          <w:tcPr>
            <w:cnfStyle w:val="000001000000" w:firstRow="0" w:lastRow="0" w:firstColumn="0" w:lastColumn="0" w:oddVBand="0" w:evenVBand="1" w:oddHBand="0" w:evenHBand="0" w:firstRowFirstColumn="0" w:firstRowLastColumn="0" w:lastRowFirstColumn="0" w:lastRowLastColumn="0"/>
            <w:tcW w:w="1535" w:type="dxa"/>
          </w:tcPr>
          <w:p w14:paraId="4EBC1DAF"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1.37</w:t>
            </w:r>
          </w:p>
        </w:tc>
      </w:tr>
      <w:tr w:rsidR="00434A50" w:rsidRPr="00434A50" w14:paraId="2D1FACCE" w14:textId="77777777" w:rsidTr="00434A50">
        <w:trPr>
          <w:trHeight w:val="305"/>
        </w:trPr>
        <w:tc>
          <w:tcPr>
            <w:cnfStyle w:val="000010000000" w:firstRow="0" w:lastRow="0" w:firstColumn="0" w:lastColumn="0" w:oddVBand="1" w:evenVBand="0" w:oddHBand="0" w:evenHBand="0" w:firstRowFirstColumn="0" w:firstRowLastColumn="0" w:lastRowFirstColumn="0" w:lastRowLastColumn="0"/>
            <w:tcW w:w="2240" w:type="dxa"/>
          </w:tcPr>
          <w:p w14:paraId="1D7E3D31"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Feng_2021</w:t>
            </w:r>
          </w:p>
        </w:tc>
        <w:tc>
          <w:tcPr>
            <w:cnfStyle w:val="000001000000" w:firstRow="0" w:lastRow="0" w:firstColumn="0" w:lastColumn="0" w:oddVBand="0" w:evenVBand="1" w:oddHBand="0" w:evenHBand="0" w:firstRowFirstColumn="0" w:firstRowLastColumn="0" w:lastRowFirstColumn="0" w:lastRowLastColumn="0"/>
            <w:tcW w:w="4410" w:type="dxa"/>
          </w:tcPr>
          <w:p w14:paraId="0EFE3A6D"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Total green space (%) within 1.6 km road-network buffer; per 10% increase</w:t>
            </w:r>
          </w:p>
        </w:tc>
        <w:tc>
          <w:tcPr>
            <w:cnfStyle w:val="000010000000" w:firstRow="0" w:lastRow="0" w:firstColumn="0" w:lastColumn="0" w:oddVBand="1" w:evenVBand="0" w:oddHBand="0" w:evenHBand="0" w:firstRowFirstColumn="0" w:firstRowLastColumn="0" w:lastRowFirstColumn="0" w:lastRowLastColumn="0"/>
            <w:tcW w:w="3060" w:type="dxa"/>
          </w:tcPr>
          <w:p w14:paraId="4A140EDC"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Vigorous MVPA proportion &gt;30% (binary)</w:t>
            </w:r>
          </w:p>
        </w:tc>
        <w:tc>
          <w:tcPr>
            <w:cnfStyle w:val="000001000000" w:firstRow="0" w:lastRow="0" w:firstColumn="0" w:lastColumn="0" w:oddVBand="0" w:evenVBand="1" w:oddHBand="0" w:evenHBand="0" w:firstRowFirstColumn="0" w:firstRowLastColumn="0" w:lastRowFirstColumn="0" w:lastRowLastColumn="0"/>
            <w:tcW w:w="1080" w:type="dxa"/>
          </w:tcPr>
          <w:p w14:paraId="7E8AEEA7"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1.03</w:t>
            </w:r>
          </w:p>
        </w:tc>
        <w:tc>
          <w:tcPr>
            <w:cnfStyle w:val="000010000000" w:firstRow="0" w:lastRow="0" w:firstColumn="0" w:lastColumn="0" w:oddVBand="1" w:evenVBand="0" w:oddHBand="0" w:evenHBand="0" w:firstRowFirstColumn="0" w:firstRowLastColumn="0" w:lastRowFirstColumn="0" w:lastRowLastColumn="0"/>
            <w:tcW w:w="1620" w:type="dxa"/>
          </w:tcPr>
          <w:p w14:paraId="32F2699D"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1.01</w:t>
            </w:r>
          </w:p>
        </w:tc>
        <w:tc>
          <w:tcPr>
            <w:cnfStyle w:val="000001000000" w:firstRow="0" w:lastRow="0" w:firstColumn="0" w:lastColumn="0" w:oddVBand="0" w:evenVBand="1" w:oddHBand="0" w:evenHBand="0" w:firstRowFirstColumn="0" w:firstRowLastColumn="0" w:lastRowFirstColumn="0" w:lastRowLastColumn="0"/>
            <w:tcW w:w="1535" w:type="dxa"/>
          </w:tcPr>
          <w:p w14:paraId="18CA8A13"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1.06</w:t>
            </w:r>
          </w:p>
        </w:tc>
      </w:tr>
      <w:tr w:rsidR="00434A50" w:rsidRPr="00434A50" w14:paraId="421D0EC2" w14:textId="77777777" w:rsidTr="00434A50">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240" w:type="dxa"/>
          </w:tcPr>
          <w:p w14:paraId="333533A1"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Xiao_2022</w:t>
            </w:r>
          </w:p>
        </w:tc>
        <w:tc>
          <w:tcPr>
            <w:cnfStyle w:val="000001000000" w:firstRow="0" w:lastRow="0" w:firstColumn="0" w:lastColumn="0" w:oddVBand="0" w:evenVBand="1" w:oddHBand="0" w:evenHBand="0" w:firstRowFirstColumn="0" w:firstRowLastColumn="0" w:lastRowFirstColumn="0" w:lastRowLastColumn="0"/>
            <w:tcW w:w="4410" w:type="dxa"/>
          </w:tcPr>
          <w:p w14:paraId="1B0A6455"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Park proximity (logit part; total physical activity)</w:t>
            </w:r>
          </w:p>
        </w:tc>
        <w:tc>
          <w:tcPr>
            <w:cnfStyle w:val="000010000000" w:firstRow="0" w:lastRow="0" w:firstColumn="0" w:lastColumn="0" w:oddVBand="1" w:evenVBand="0" w:oddHBand="0" w:evenHBand="0" w:firstRowFirstColumn="0" w:firstRowLastColumn="0" w:lastRowFirstColumn="0" w:lastRowLastColumn="0"/>
            <w:tcW w:w="3060" w:type="dxa"/>
          </w:tcPr>
          <w:p w14:paraId="78B7D73C"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Any physical activity (yes vs no)</w:t>
            </w:r>
          </w:p>
        </w:tc>
        <w:tc>
          <w:tcPr>
            <w:cnfStyle w:val="000001000000" w:firstRow="0" w:lastRow="0" w:firstColumn="0" w:lastColumn="0" w:oddVBand="0" w:evenVBand="1" w:oddHBand="0" w:evenHBand="0" w:firstRowFirstColumn="0" w:firstRowLastColumn="0" w:lastRowFirstColumn="0" w:lastRowLastColumn="0"/>
            <w:tcW w:w="1080" w:type="dxa"/>
          </w:tcPr>
          <w:p w14:paraId="3FC90824"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1.01</w:t>
            </w:r>
          </w:p>
        </w:tc>
        <w:tc>
          <w:tcPr>
            <w:cnfStyle w:val="000010000000" w:firstRow="0" w:lastRow="0" w:firstColumn="0" w:lastColumn="0" w:oddVBand="1" w:evenVBand="0" w:oddHBand="0" w:evenHBand="0" w:firstRowFirstColumn="0" w:firstRowLastColumn="0" w:lastRowFirstColumn="0" w:lastRowLastColumn="0"/>
            <w:tcW w:w="1620" w:type="dxa"/>
          </w:tcPr>
          <w:p w14:paraId="1E4A23EC"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0.29</w:t>
            </w:r>
          </w:p>
        </w:tc>
        <w:tc>
          <w:tcPr>
            <w:cnfStyle w:val="000001000000" w:firstRow="0" w:lastRow="0" w:firstColumn="0" w:lastColumn="0" w:oddVBand="0" w:evenVBand="1" w:oddHBand="0" w:evenHBand="0" w:firstRowFirstColumn="0" w:firstRowLastColumn="0" w:lastRowFirstColumn="0" w:lastRowLastColumn="0"/>
            <w:tcW w:w="1535" w:type="dxa"/>
          </w:tcPr>
          <w:p w14:paraId="1D50DC38"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2.91</w:t>
            </w:r>
          </w:p>
        </w:tc>
      </w:tr>
      <w:tr w:rsidR="00434A50" w:rsidRPr="00434A50" w14:paraId="5981BE35" w14:textId="77777777" w:rsidTr="00434A50">
        <w:trPr>
          <w:trHeight w:val="487"/>
        </w:trPr>
        <w:tc>
          <w:tcPr>
            <w:cnfStyle w:val="000010000000" w:firstRow="0" w:lastRow="0" w:firstColumn="0" w:lastColumn="0" w:oddVBand="1" w:evenVBand="0" w:oddHBand="0" w:evenHBand="0" w:firstRowFirstColumn="0" w:firstRowLastColumn="0" w:lastRowFirstColumn="0" w:lastRowLastColumn="0"/>
            <w:tcW w:w="13945" w:type="dxa"/>
            <w:gridSpan w:val="6"/>
            <w:vAlign w:val="center"/>
          </w:tcPr>
          <w:p w14:paraId="407166CE" w14:textId="28C12B9C" w:rsidR="00434A50" w:rsidRPr="00434A50" w:rsidRDefault="00434A50" w:rsidP="00434A50">
            <w:pPr>
              <w:widowControl/>
              <w:autoSpaceDE w:val="0"/>
              <w:autoSpaceDN w:val="0"/>
              <w:adjustRightInd w:val="0"/>
              <w:jc w:val="center"/>
              <w:rPr>
                <w:rFonts w:asciiTheme="majorBidi" w:hAnsiTheme="majorBidi" w:cstheme="majorBidi"/>
                <w:b/>
                <w:bCs/>
                <w:color w:val="000000"/>
                <w:kern w:val="0"/>
              </w:rPr>
            </w:pPr>
            <w:r>
              <w:rPr>
                <w:rFonts w:asciiTheme="majorBidi" w:hAnsiTheme="majorBidi" w:cstheme="majorBidi"/>
                <w:b/>
                <w:bCs/>
                <w:color w:val="000000"/>
                <w:kern w:val="0"/>
              </w:rPr>
              <w:t>Group B: Park-based / recreational PA</w:t>
            </w:r>
          </w:p>
        </w:tc>
      </w:tr>
      <w:tr w:rsidR="00434A50" w:rsidRPr="00434A50" w14:paraId="2779884A" w14:textId="77777777" w:rsidTr="00434A50">
        <w:trPr>
          <w:cnfStyle w:val="000000100000" w:firstRow="0" w:lastRow="0" w:firstColumn="0" w:lastColumn="0" w:oddVBand="0" w:evenVBand="0" w:oddHBand="1" w:evenHBand="0" w:firstRowFirstColumn="0" w:firstRowLastColumn="0" w:lastRowFirstColumn="0" w:lastRowLastColumn="0"/>
          <w:trHeight w:val="575"/>
        </w:trPr>
        <w:tc>
          <w:tcPr>
            <w:cnfStyle w:val="000010000000" w:firstRow="0" w:lastRow="0" w:firstColumn="0" w:lastColumn="0" w:oddVBand="1" w:evenVBand="0" w:oddHBand="0" w:evenHBand="0" w:firstRowFirstColumn="0" w:firstRowLastColumn="0" w:lastRowFirstColumn="0" w:lastRowLastColumn="0"/>
            <w:tcW w:w="2240" w:type="dxa"/>
          </w:tcPr>
          <w:p w14:paraId="616ADB22"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Kaczynski_2008</w:t>
            </w:r>
          </w:p>
        </w:tc>
        <w:tc>
          <w:tcPr>
            <w:cnfStyle w:val="000001000000" w:firstRow="0" w:lastRow="0" w:firstColumn="0" w:lastColumn="0" w:oddVBand="0" w:evenVBand="1" w:oddHBand="0" w:evenHBand="0" w:firstRowFirstColumn="0" w:firstRowLastColumn="0" w:lastRowFirstColumn="0" w:lastRowLastColumn="0"/>
            <w:tcW w:w="4410" w:type="dxa"/>
          </w:tcPr>
          <w:p w14:paraId="5B65860F"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Distance to nearest park (closest vs farthest)</w:t>
            </w:r>
          </w:p>
        </w:tc>
        <w:tc>
          <w:tcPr>
            <w:cnfStyle w:val="000010000000" w:firstRow="0" w:lastRow="0" w:firstColumn="0" w:lastColumn="0" w:oddVBand="1" w:evenVBand="0" w:oddHBand="0" w:evenHBand="0" w:firstRowFirstColumn="0" w:firstRowLastColumn="0" w:lastRowFirstColumn="0" w:lastRowLastColumn="0"/>
            <w:tcW w:w="3060" w:type="dxa"/>
          </w:tcPr>
          <w:p w14:paraId="60D4DE11"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Park-based PA participation (any PA in parks)</w:t>
            </w:r>
          </w:p>
        </w:tc>
        <w:tc>
          <w:tcPr>
            <w:cnfStyle w:val="000001000000" w:firstRow="0" w:lastRow="0" w:firstColumn="0" w:lastColumn="0" w:oddVBand="0" w:evenVBand="1" w:oddHBand="0" w:evenHBand="0" w:firstRowFirstColumn="0" w:firstRowLastColumn="0" w:lastRowFirstColumn="0" w:lastRowLastColumn="0"/>
            <w:tcW w:w="1080" w:type="dxa"/>
          </w:tcPr>
          <w:p w14:paraId="61580C3D"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1.52</w:t>
            </w:r>
          </w:p>
        </w:tc>
        <w:tc>
          <w:tcPr>
            <w:cnfStyle w:val="000010000000" w:firstRow="0" w:lastRow="0" w:firstColumn="0" w:lastColumn="0" w:oddVBand="1" w:evenVBand="0" w:oddHBand="0" w:evenHBand="0" w:firstRowFirstColumn="0" w:firstRowLastColumn="0" w:lastRowFirstColumn="0" w:lastRowLastColumn="0"/>
            <w:tcW w:w="1620" w:type="dxa"/>
          </w:tcPr>
          <w:p w14:paraId="09DA66BE"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1.07</w:t>
            </w:r>
          </w:p>
        </w:tc>
        <w:tc>
          <w:tcPr>
            <w:cnfStyle w:val="000001000000" w:firstRow="0" w:lastRow="0" w:firstColumn="0" w:lastColumn="0" w:oddVBand="0" w:evenVBand="1" w:oddHBand="0" w:evenHBand="0" w:firstRowFirstColumn="0" w:firstRowLastColumn="0" w:lastRowFirstColumn="0" w:lastRowLastColumn="0"/>
            <w:tcW w:w="1535" w:type="dxa"/>
          </w:tcPr>
          <w:p w14:paraId="1AA42DB0"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2.16</w:t>
            </w:r>
          </w:p>
        </w:tc>
      </w:tr>
      <w:tr w:rsidR="00434A50" w:rsidRPr="00434A50" w14:paraId="57C2E6DD" w14:textId="77777777" w:rsidTr="00434A50">
        <w:trPr>
          <w:trHeight w:val="530"/>
        </w:trPr>
        <w:tc>
          <w:tcPr>
            <w:cnfStyle w:val="000010000000" w:firstRow="0" w:lastRow="0" w:firstColumn="0" w:lastColumn="0" w:oddVBand="1" w:evenVBand="0" w:oddHBand="0" w:evenHBand="0" w:firstRowFirstColumn="0" w:firstRowLastColumn="0" w:lastRowFirstColumn="0" w:lastRowLastColumn="0"/>
            <w:tcW w:w="2240" w:type="dxa"/>
          </w:tcPr>
          <w:p w14:paraId="7C6E4011"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Kaczynski_2014</w:t>
            </w:r>
          </w:p>
        </w:tc>
        <w:tc>
          <w:tcPr>
            <w:cnfStyle w:val="000001000000" w:firstRow="0" w:lastRow="0" w:firstColumn="0" w:lastColumn="0" w:oddVBand="0" w:evenVBand="1" w:oddHBand="0" w:evenHBand="0" w:firstRowFirstColumn="0" w:firstRowLastColumn="0" w:lastRowFirstColumn="0" w:lastRowLastColumn="0"/>
            <w:tcW w:w="4410" w:type="dxa"/>
          </w:tcPr>
          <w:p w14:paraId="2C9CCD6E"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Park availability/density within buffer (highest vs lowest)</w:t>
            </w:r>
          </w:p>
        </w:tc>
        <w:tc>
          <w:tcPr>
            <w:cnfStyle w:val="000010000000" w:firstRow="0" w:lastRow="0" w:firstColumn="0" w:lastColumn="0" w:oddVBand="1" w:evenVBand="0" w:oddHBand="0" w:evenHBand="0" w:firstRowFirstColumn="0" w:firstRowLastColumn="0" w:lastRowFirstColumn="0" w:lastRowLastColumn="0"/>
            <w:tcW w:w="3060" w:type="dxa"/>
          </w:tcPr>
          <w:p w14:paraId="1681B52D"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Park-based &amp; recreational PA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09104C61"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1.67</w:t>
            </w:r>
          </w:p>
        </w:tc>
        <w:tc>
          <w:tcPr>
            <w:cnfStyle w:val="000010000000" w:firstRow="0" w:lastRow="0" w:firstColumn="0" w:lastColumn="0" w:oddVBand="1" w:evenVBand="0" w:oddHBand="0" w:evenHBand="0" w:firstRowFirstColumn="0" w:firstRowLastColumn="0" w:lastRowFirstColumn="0" w:lastRowLastColumn="0"/>
            <w:tcW w:w="1620" w:type="dxa"/>
          </w:tcPr>
          <w:p w14:paraId="514ECE39"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1.12</w:t>
            </w:r>
          </w:p>
        </w:tc>
        <w:tc>
          <w:tcPr>
            <w:cnfStyle w:val="000001000000" w:firstRow="0" w:lastRow="0" w:firstColumn="0" w:lastColumn="0" w:oddVBand="0" w:evenVBand="1" w:oddHBand="0" w:evenHBand="0" w:firstRowFirstColumn="0" w:firstRowLastColumn="0" w:lastRowFirstColumn="0" w:lastRowLastColumn="0"/>
            <w:tcW w:w="1535" w:type="dxa"/>
          </w:tcPr>
          <w:p w14:paraId="574A4842"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2.49</w:t>
            </w:r>
          </w:p>
        </w:tc>
      </w:tr>
      <w:tr w:rsidR="00434A50" w:rsidRPr="00434A50" w14:paraId="34D4D2D8" w14:textId="77777777" w:rsidTr="00434A50">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2240" w:type="dxa"/>
          </w:tcPr>
          <w:p w14:paraId="6B1F92C9"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Lackey_2009</w:t>
            </w:r>
          </w:p>
        </w:tc>
        <w:tc>
          <w:tcPr>
            <w:cnfStyle w:val="000001000000" w:firstRow="0" w:lastRow="0" w:firstColumn="0" w:lastColumn="0" w:oddVBand="0" w:evenVBand="1" w:oddHBand="0" w:evenHBand="0" w:firstRowFirstColumn="0" w:firstRowLastColumn="0" w:lastRowFirstColumn="0" w:lastRowLastColumn="0"/>
            <w:tcW w:w="4410" w:type="dxa"/>
          </w:tcPr>
          <w:p w14:paraId="354F1571"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 xml:space="preserve">Objective park proximity (closest vs farthest)</w:t>
            </w:r>
          </w:p>
        </w:tc>
        <w:tc>
          <w:tcPr>
            <w:cnfStyle w:val="000010000000" w:firstRow="0" w:lastRow="0" w:firstColumn="0" w:lastColumn="0" w:oddVBand="1" w:evenVBand="0" w:oddHBand="0" w:evenHBand="0" w:firstRowFirstColumn="0" w:firstRowLastColumn="0" w:lastRowFirstColumn="0" w:lastRowLastColumn="0"/>
            <w:tcW w:w="3060" w:type="dxa"/>
          </w:tcPr>
          <w:p w14:paraId="35F66399"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Park-based PA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4857AC5D"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1.12</w:t>
            </w:r>
          </w:p>
        </w:tc>
        <w:tc>
          <w:tcPr>
            <w:cnfStyle w:val="000010000000" w:firstRow="0" w:lastRow="0" w:firstColumn="0" w:lastColumn="0" w:oddVBand="1" w:evenVBand="0" w:oddHBand="0" w:evenHBand="0" w:firstRowFirstColumn="0" w:firstRowLastColumn="0" w:lastRowFirstColumn="0" w:lastRowLastColumn="0"/>
            <w:tcW w:w="1620" w:type="dxa"/>
          </w:tcPr>
          <w:p w14:paraId="667C4612"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1.01</w:t>
            </w:r>
          </w:p>
        </w:tc>
        <w:tc>
          <w:tcPr>
            <w:cnfStyle w:val="000001000000" w:firstRow="0" w:lastRow="0" w:firstColumn="0" w:lastColumn="0" w:oddVBand="0" w:evenVBand="1" w:oddHBand="0" w:evenHBand="0" w:firstRowFirstColumn="0" w:firstRowLastColumn="0" w:lastRowFirstColumn="0" w:lastRowLastColumn="0"/>
            <w:tcW w:w="1535" w:type="dxa"/>
          </w:tcPr>
          <w:p w14:paraId="48991C05"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1.25</w:t>
            </w:r>
          </w:p>
        </w:tc>
      </w:tr>
      <w:tr w:rsidR="00434A50" w:rsidRPr="00434A50" w14:paraId="2F2A1EA8" w14:textId="77777777" w:rsidTr="00434A50">
        <w:trPr>
          <w:trHeight w:val="530"/>
        </w:trPr>
        <w:tc>
          <w:tcPr>
            <w:cnfStyle w:val="000010000000" w:firstRow="0" w:lastRow="0" w:firstColumn="0" w:lastColumn="0" w:oddVBand="1" w:evenVBand="0" w:oddHBand="0" w:evenHBand="0" w:firstRowFirstColumn="0" w:firstRowLastColumn="0" w:lastRowFirstColumn="0" w:lastRowLastColumn="0"/>
            <w:tcW w:w="2240" w:type="dxa"/>
          </w:tcPr>
          <w:p w14:paraId="63A978F1"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Bozkurt_2021</w:t>
            </w:r>
          </w:p>
        </w:tc>
        <w:tc>
          <w:tcPr>
            <w:cnfStyle w:val="000001000000" w:firstRow="0" w:lastRow="0" w:firstColumn="0" w:lastColumn="0" w:oddVBand="0" w:evenVBand="1" w:oddHBand="0" w:evenHBand="0" w:firstRowFirstColumn="0" w:firstRowLastColumn="0" w:lastRowFirstColumn="0" w:lastRowLastColumn="0"/>
            <w:tcW w:w="4410" w:type="dxa"/>
          </w:tcPr>
          <w:p w14:paraId="77919289"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Proximity to urban green space (walkable access; closest vs farthest)</w:t>
            </w:r>
          </w:p>
        </w:tc>
        <w:tc>
          <w:tcPr>
            <w:cnfStyle w:val="000010000000" w:firstRow="0" w:lastRow="0" w:firstColumn="0" w:lastColumn="0" w:oddVBand="1" w:evenVBand="0" w:oddHBand="0" w:evenHBand="0" w:firstRowFirstColumn="0" w:firstRowLastColumn="0" w:lastRowFirstColumn="0" w:lastRowLastColumn="0"/>
            <w:tcW w:w="3060" w:type="dxa"/>
          </w:tcPr>
          <w:p w14:paraId="26AF7B92"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Park-based PA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352455CC"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1.09</w:t>
            </w:r>
          </w:p>
        </w:tc>
        <w:tc>
          <w:tcPr>
            <w:cnfStyle w:val="000010000000" w:firstRow="0" w:lastRow="0" w:firstColumn="0" w:lastColumn="0" w:oddVBand="1" w:evenVBand="0" w:oddHBand="0" w:evenHBand="0" w:firstRowFirstColumn="0" w:firstRowLastColumn="0" w:lastRowFirstColumn="0" w:lastRowLastColumn="0"/>
            <w:tcW w:w="1620" w:type="dxa"/>
          </w:tcPr>
          <w:p w14:paraId="4DFC5112"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0.56</w:t>
            </w:r>
          </w:p>
        </w:tc>
        <w:tc>
          <w:tcPr>
            <w:cnfStyle w:val="000001000000" w:firstRow="0" w:lastRow="0" w:firstColumn="0" w:lastColumn="0" w:oddVBand="0" w:evenVBand="1" w:oddHBand="0" w:evenHBand="0" w:firstRowFirstColumn="0" w:firstRowLastColumn="0" w:lastRowFirstColumn="0" w:lastRowLastColumn="0"/>
            <w:tcW w:w="1535" w:type="dxa"/>
          </w:tcPr>
          <w:p w14:paraId="63BEF0D6"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2.12</w:t>
            </w:r>
          </w:p>
        </w:tc>
      </w:tr>
      <w:tr w:rsidR="00434A50" w:rsidRPr="00434A50" w14:paraId="712BCC36" w14:textId="77777777" w:rsidTr="00434A50">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2240" w:type="dxa"/>
          </w:tcPr>
          <w:p w14:paraId="7DE6CF7F"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Schipperijn_2017</w:t>
            </w:r>
          </w:p>
        </w:tc>
        <w:tc>
          <w:tcPr>
            <w:cnfStyle w:val="000001000000" w:firstRow="0" w:lastRow="0" w:firstColumn="0" w:lastColumn="0" w:oddVBand="0" w:evenVBand="1" w:oddHBand="0" w:evenHBand="0" w:firstRowFirstColumn="0" w:firstRowLastColumn="0" w:lastRowFirstColumn="0" w:lastRowLastColumn="0"/>
            <w:tcW w:w="4410" w:type="dxa"/>
          </w:tcPr>
          <w:p w14:paraId="1AB32B62"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Distance/access to nearest park (best vs worst access)</w:t>
            </w:r>
          </w:p>
        </w:tc>
        <w:tc>
          <w:tcPr>
            <w:cnfStyle w:val="000010000000" w:firstRow="0" w:lastRow="0" w:firstColumn="0" w:lastColumn="0" w:oddVBand="1" w:evenVBand="0" w:oddHBand="0" w:evenHBand="0" w:firstRowFirstColumn="0" w:firstRowLastColumn="0" w:lastRowFirstColumn="0" w:lastRowLastColumn="0"/>
            <w:tcW w:w="3060" w:type="dxa"/>
          </w:tcPr>
          <w:p w14:paraId="669405F9"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Recreational PA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57B60436"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1.14</w:t>
            </w:r>
          </w:p>
        </w:tc>
        <w:tc>
          <w:tcPr>
            <w:cnfStyle w:val="000010000000" w:firstRow="0" w:lastRow="0" w:firstColumn="0" w:lastColumn="0" w:oddVBand="1" w:evenVBand="0" w:oddHBand="0" w:evenHBand="0" w:firstRowFirstColumn="0" w:firstRowLastColumn="0" w:lastRowFirstColumn="0" w:lastRowLastColumn="0"/>
            <w:tcW w:w="1620" w:type="dxa"/>
          </w:tcPr>
          <w:p w14:paraId="7CCC74E3"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0.94</w:t>
            </w:r>
          </w:p>
        </w:tc>
        <w:tc>
          <w:tcPr>
            <w:cnfStyle w:val="000001000000" w:firstRow="0" w:lastRow="0" w:firstColumn="0" w:lastColumn="0" w:oddVBand="0" w:evenVBand="1" w:oddHBand="0" w:evenHBand="0" w:firstRowFirstColumn="0" w:firstRowLastColumn="0" w:lastRowFirstColumn="0" w:lastRowLastColumn="0"/>
            <w:tcW w:w="1535" w:type="dxa"/>
          </w:tcPr>
          <w:p w14:paraId="4AAD3089"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1.37</w:t>
            </w:r>
          </w:p>
        </w:tc>
      </w:tr>
      <w:tr w:rsidR="00434A50" w:rsidRPr="00434A50" w14:paraId="5B7A70D9" w14:textId="77777777" w:rsidTr="00434A50">
        <w:trPr>
          <w:trHeight w:val="487"/>
        </w:trPr>
        <w:tc>
          <w:tcPr>
            <w:cnfStyle w:val="000010000000" w:firstRow="0" w:lastRow="0" w:firstColumn="0" w:lastColumn="0" w:oddVBand="1" w:evenVBand="0" w:oddHBand="0" w:evenHBand="0" w:firstRowFirstColumn="0" w:firstRowLastColumn="0" w:lastRowFirstColumn="0" w:lastRowLastColumn="0"/>
            <w:tcW w:w="13945" w:type="dxa"/>
            <w:gridSpan w:val="6"/>
            <w:vAlign w:val="center"/>
          </w:tcPr>
          <w:p w14:paraId="557097BF" w14:textId="66325552" w:rsidR="00434A50" w:rsidRPr="00434A50" w:rsidRDefault="00434A50" w:rsidP="00434A50">
            <w:pPr>
              <w:widowControl/>
              <w:autoSpaceDE w:val="0"/>
              <w:autoSpaceDN w:val="0"/>
              <w:adjustRightInd w:val="0"/>
              <w:jc w:val="center"/>
              <w:rPr>
                <w:rFonts w:asciiTheme="majorBidi" w:hAnsiTheme="majorBidi" w:cstheme="majorBidi"/>
                <w:b/>
                <w:bCs/>
                <w:color w:val="000000"/>
                <w:kern w:val="0"/>
              </w:rPr>
            </w:pPr>
            <w:r>
              <w:rPr>
                <w:rFonts w:asciiTheme="majorBidi" w:hAnsiTheme="majorBidi" w:cstheme="majorBidi"/>
                <w:b/>
                <w:bCs/>
                <w:color w:val="000000"/>
                <w:kern w:val="0"/>
              </w:rPr>
              <w:t>Group C: Walking</w:t>
            </w:r>
          </w:p>
        </w:tc>
      </w:tr>
      <w:tr w:rsidR="00434A50" w:rsidRPr="00434A50" w14:paraId="7B2B833D" w14:textId="77777777" w:rsidTr="00434A50">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2240" w:type="dxa"/>
          </w:tcPr>
          <w:p w14:paraId="03481558"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Sugiyama_2013</w:t>
            </w:r>
          </w:p>
        </w:tc>
        <w:tc>
          <w:tcPr>
            <w:cnfStyle w:val="000001000000" w:firstRow="0" w:lastRow="0" w:firstColumn="0" w:lastColumn="0" w:oddVBand="0" w:evenVBand="1" w:oddHBand="0" w:evenHBand="0" w:firstRowFirstColumn="0" w:firstRowLastColumn="0" w:lastRowFirstColumn="0" w:lastRowLastColumn="0"/>
            <w:tcW w:w="4410" w:type="dxa"/>
          </w:tcPr>
          <w:p w14:paraId="7F6782A5"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Objective walkable green/open space availability (highest vs lowest)</w:t>
            </w:r>
          </w:p>
        </w:tc>
        <w:tc>
          <w:tcPr>
            <w:cnfStyle w:val="000010000000" w:firstRow="0" w:lastRow="0" w:firstColumn="0" w:lastColumn="0" w:oddVBand="1" w:evenVBand="0" w:oddHBand="0" w:evenHBand="0" w:firstRowFirstColumn="0" w:firstRowLastColumn="0" w:lastRowFirstColumn="0" w:lastRowLastColumn="0"/>
            <w:tcW w:w="3060" w:type="dxa"/>
          </w:tcPr>
          <w:p w14:paraId="410BDE31"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Recreational walking participation (yes vs no)</w:t>
            </w:r>
          </w:p>
        </w:tc>
        <w:tc>
          <w:tcPr>
            <w:cnfStyle w:val="000001000000" w:firstRow="0" w:lastRow="0" w:firstColumn="0" w:lastColumn="0" w:oddVBand="0" w:evenVBand="1" w:oddHBand="0" w:evenHBand="0" w:firstRowFirstColumn="0" w:firstRowLastColumn="0" w:lastRowFirstColumn="0" w:lastRowLastColumn="0"/>
            <w:tcW w:w="1080" w:type="dxa"/>
          </w:tcPr>
          <w:p w14:paraId="7F57DE15"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1.33</w:t>
            </w:r>
          </w:p>
        </w:tc>
        <w:tc>
          <w:tcPr>
            <w:cnfStyle w:val="000010000000" w:firstRow="0" w:lastRow="0" w:firstColumn="0" w:lastColumn="0" w:oddVBand="1" w:evenVBand="0" w:oddHBand="0" w:evenHBand="0" w:firstRowFirstColumn="0" w:firstRowLastColumn="0" w:lastRowFirstColumn="0" w:lastRowLastColumn="0"/>
            <w:tcW w:w="1620" w:type="dxa"/>
          </w:tcPr>
          <w:p w14:paraId="68EFB520"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0.96</w:t>
            </w:r>
          </w:p>
        </w:tc>
        <w:tc>
          <w:tcPr>
            <w:cnfStyle w:val="000001000000" w:firstRow="0" w:lastRow="0" w:firstColumn="0" w:lastColumn="0" w:oddVBand="0" w:evenVBand="1" w:oddHBand="0" w:evenHBand="0" w:firstRowFirstColumn="0" w:firstRowLastColumn="0" w:lastRowFirstColumn="0" w:lastRowLastColumn="0"/>
            <w:tcW w:w="1535" w:type="dxa"/>
          </w:tcPr>
          <w:p w14:paraId="4F04833C"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1.84</w:t>
            </w:r>
          </w:p>
        </w:tc>
      </w:tr>
      <w:tr w:rsidR="00434A50" w:rsidRPr="00434A50" w14:paraId="3261928A" w14:textId="77777777" w:rsidTr="00434A50">
        <w:trPr>
          <w:trHeight w:val="449"/>
        </w:trPr>
        <w:tc>
          <w:tcPr>
            <w:cnfStyle w:val="000010000000" w:firstRow="0" w:lastRow="0" w:firstColumn="0" w:lastColumn="0" w:oddVBand="1" w:evenVBand="0" w:oddHBand="0" w:evenHBand="0" w:firstRowFirstColumn="0" w:firstRowLastColumn="0" w:lastRowFirstColumn="0" w:lastRowLastColumn="0"/>
            <w:tcW w:w="2240" w:type="dxa"/>
          </w:tcPr>
          <w:p w14:paraId="4F56B152"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VanCauwenberg_2015</w:t>
            </w:r>
          </w:p>
        </w:tc>
        <w:tc>
          <w:tcPr>
            <w:cnfStyle w:val="000001000000" w:firstRow="0" w:lastRow="0" w:firstColumn="0" w:lastColumn="0" w:oddVBand="0" w:evenVBand="1" w:oddHBand="0" w:evenHBand="0" w:firstRowFirstColumn="0" w:firstRowLastColumn="0" w:lastRowFirstColumn="0" w:lastRowLastColumn="0"/>
            <w:tcW w:w="4410" w:type="dxa"/>
          </w:tcPr>
          <w:p w14:paraId="4BDD81DC"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Distance to nearest park (per category closer)</w:t>
            </w:r>
          </w:p>
        </w:tc>
        <w:tc>
          <w:tcPr>
            <w:cnfStyle w:val="000010000000" w:firstRow="0" w:lastRow="0" w:firstColumn="0" w:lastColumn="0" w:oddVBand="1" w:evenVBand="0" w:oddHBand="0" w:evenHBand="0" w:firstRowFirstColumn="0" w:firstRowLastColumn="0" w:lastRowFirstColumn="0" w:lastRowLastColumn="0"/>
            <w:tcW w:w="3060" w:type="dxa"/>
          </w:tcPr>
          <w:p w14:paraId="0BCBC46B"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Recreational walking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233AFB23"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1.16</w:t>
            </w:r>
          </w:p>
        </w:tc>
        <w:tc>
          <w:tcPr>
            <w:cnfStyle w:val="000010000000" w:firstRow="0" w:lastRow="0" w:firstColumn="0" w:lastColumn="0" w:oddVBand="1" w:evenVBand="0" w:oddHBand="0" w:evenHBand="0" w:firstRowFirstColumn="0" w:firstRowLastColumn="0" w:lastRowFirstColumn="0" w:lastRowLastColumn="0"/>
            <w:tcW w:w="1620" w:type="dxa"/>
          </w:tcPr>
          <w:p w14:paraId="28C14562"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1.06</w:t>
            </w:r>
          </w:p>
        </w:tc>
        <w:tc>
          <w:tcPr>
            <w:cnfStyle w:val="000001000000" w:firstRow="0" w:lastRow="0" w:firstColumn="0" w:lastColumn="0" w:oddVBand="0" w:evenVBand="1" w:oddHBand="0" w:evenHBand="0" w:firstRowFirstColumn="0" w:firstRowLastColumn="0" w:lastRowFirstColumn="0" w:lastRowLastColumn="0"/>
            <w:tcW w:w="1535" w:type="dxa"/>
          </w:tcPr>
          <w:p w14:paraId="198F8803"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1.27</w:t>
            </w:r>
          </w:p>
        </w:tc>
      </w:tr>
      <w:tr w:rsidR="00434A50" w:rsidRPr="00434A50" w14:paraId="25FABB6E" w14:textId="77777777" w:rsidTr="00434A50">
        <w:trPr>
          <w:cnfStyle w:val="000000100000" w:firstRow="0" w:lastRow="0" w:firstColumn="0" w:lastColumn="0" w:oddVBand="0" w:evenVBand="0" w:oddHBand="1" w:evenHBand="0" w:firstRowFirstColumn="0" w:firstRowLastColumn="0" w:lastRowFirstColumn="0" w:lastRowLastColumn="0"/>
          <w:trHeight w:val="611"/>
        </w:trPr>
        <w:tc>
          <w:tcPr>
            <w:cnfStyle w:val="000010000000" w:firstRow="0" w:lastRow="0" w:firstColumn="0" w:lastColumn="0" w:oddVBand="1" w:evenVBand="0" w:oddHBand="0" w:evenHBand="0" w:firstRowFirstColumn="0" w:firstRowLastColumn="0" w:lastRowFirstColumn="0" w:lastRowLastColumn="0"/>
            <w:tcW w:w="2240" w:type="dxa"/>
          </w:tcPr>
          <w:p w14:paraId="643F7B7E"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Schipperijn_2017</w:t>
            </w:r>
          </w:p>
        </w:tc>
        <w:tc>
          <w:tcPr>
            <w:cnfStyle w:val="000001000000" w:firstRow="0" w:lastRow="0" w:firstColumn="0" w:lastColumn="0" w:oddVBand="0" w:evenVBand="1" w:oddHBand="0" w:evenHBand="0" w:firstRowFirstColumn="0" w:firstRowLastColumn="0" w:lastRowFirstColumn="0" w:lastRowLastColumn="0"/>
            <w:tcW w:w="4410" w:type="dxa"/>
          </w:tcPr>
          <w:p w14:paraId="727175ED"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Objective proximity to nearest park (best vs worst access)</w:t>
            </w:r>
          </w:p>
        </w:tc>
        <w:tc>
          <w:tcPr>
            <w:cnfStyle w:val="000010000000" w:firstRow="0" w:lastRow="0" w:firstColumn="0" w:lastColumn="0" w:oddVBand="1" w:evenVBand="0" w:oddHBand="0" w:evenHBand="0" w:firstRowFirstColumn="0" w:firstRowLastColumn="0" w:lastRowFirstColumn="0" w:lastRowLastColumn="0"/>
            <w:tcW w:w="3060" w:type="dxa"/>
          </w:tcPr>
          <w:p w14:paraId="05C5E72F"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Recreational walking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1442A0B6"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1.14</w:t>
            </w:r>
          </w:p>
        </w:tc>
        <w:tc>
          <w:tcPr>
            <w:cnfStyle w:val="000010000000" w:firstRow="0" w:lastRow="0" w:firstColumn="0" w:lastColumn="0" w:oddVBand="1" w:evenVBand="0" w:oddHBand="0" w:evenHBand="0" w:firstRowFirstColumn="0" w:firstRowLastColumn="0" w:lastRowFirstColumn="0" w:lastRowLastColumn="0"/>
            <w:tcW w:w="1620" w:type="dxa"/>
          </w:tcPr>
          <w:p w14:paraId="5B1C2727"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0.94</w:t>
            </w:r>
          </w:p>
        </w:tc>
        <w:tc>
          <w:tcPr>
            <w:cnfStyle w:val="000001000000" w:firstRow="0" w:lastRow="0" w:firstColumn="0" w:lastColumn="0" w:oddVBand="0" w:evenVBand="1" w:oddHBand="0" w:evenHBand="0" w:firstRowFirstColumn="0" w:firstRowLastColumn="0" w:lastRowFirstColumn="0" w:lastRowLastColumn="0"/>
            <w:tcW w:w="1535" w:type="dxa"/>
          </w:tcPr>
          <w:p w14:paraId="6216F67B"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1.37</w:t>
            </w:r>
          </w:p>
        </w:tc>
      </w:tr>
      <w:tr w:rsidR="00434A50" w:rsidRPr="00434A50" w14:paraId="57F8A5F1" w14:textId="77777777" w:rsidTr="00434A50">
        <w:trPr>
          <w:trHeight w:val="611"/>
        </w:trPr>
        <w:tc>
          <w:tcPr>
            <w:cnfStyle w:val="000010000000" w:firstRow="0" w:lastRow="0" w:firstColumn="0" w:lastColumn="0" w:oddVBand="1" w:evenVBand="0" w:oddHBand="0" w:evenHBand="0" w:firstRowFirstColumn="0" w:firstRowLastColumn="0" w:lastRowFirstColumn="0" w:lastRowLastColumn="0"/>
            <w:tcW w:w="2240" w:type="dxa"/>
          </w:tcPr>
          <w:p w14:paraId="1EF53046" w14:textId="77777777" w:rsidR="003A301E" w:rsidRPr="003B2FCF"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MakiOpas_2016</w:t>
            </w:r>
          </w:p>
        </w:tc>
        <w:tc>
          <w:tcPr>
            <w:cnfStyle w:val="000001000000" w:firstRow="0" w:lastRow="0" w:firstColumn="0" w:lastColumn="0" w:oddVBand="0" w:evenVBand="1" w:oddHBand="0" w:evenHBand="0" w:firstRowFirstColumn="0" w:firstRowLastColumn="0" w:lastRowFirstColumn="0" w:lastRowLastColumn="0"/>
            <w:tcW w:w="4410" w:type="dxa"/>
          </w:tcPr>
          <w:p w14:paraId="3F49A195"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Objective access to green space (closest vs farthest)</w:t>
            </w:r>
          </w:p>
        </w:tc>
        <w:tc>
          <w:tcPr>
            <w:cnfStyle w:val="000010000000" w:firstRow="0" w:lastRow="0" w:firstColumn="0" w:lastColumn="0" w:oddVBand="1" w:evenVBand="0" w:oddHBand="0" w:evenHBand="0" w:firstRowFirstColumn="0" w:firstRowLastColumn="0" w:lastRowFirstColumn="0" w:lastRowLastColumn="0"/>
            <w:tcW w:w="3060" w:type="dxa"/>
          </w:tcPr>
          <w:p w14:paraId="06C894CB" w14:textId="77777777" w:rsidR="003A301E" w:rsidRPr="00434A50" w:rsidRDefault="003A301E">
            <w:pPr>
              <w:widowControl/>
              <w:autoSpaceDE w:val="0"/>
              <w:autoSpaceDN w:val="0"/>
              <w:adjustRightInd w:val="0"/>
              <w:jc w:val="left"/>
              <w:rPr>
                <w:rFonts w:asciiTheme="majorBidi" w:hAnsiTheme="majorBidi" w:cstheme="majorBidi"/>
                <w:color w:val="000000"/>
                <w:kern w:val="0"/>
                <w:sz w:val="20"/>
                <w:szCs w:val="20"/>
              </w:rPr>
            </w:pPr>
            <w:r>
              <w:rPr>
                <w:rFonts w:asciiTheme="majorBidi" w:hAnsiTheme="majorBidi" w:cstheme="majorBidi"/>
                <w:color w:val="000000"/>
                <w:kern w:val="0"/>
                <w:sz w:val="20"/>
                <w:szCs w:val="20"/>
              </w:rPr>
              <w:t>Walking for transport (participation)</w:t>
            </w:r>
          </w:p>
        </w:tc>
        <w:tc>
          <w:tcPr>
            <w:cnfStyle w:val="000001000000" w:firstRow="0" w:lastRow="0" w:firstColumn="0" w:lastColumn="0" w:oddVBand="0" w:evenVBand="1" w:oddHBand="0" w:evenHBand="0" w:firstRowFirstColumn="0" w:firstRowLastColumn="0" w:lastRowFirstColumn="0" w:lastRowLastColumn="0"/>
            <w:tcW w:w="1080" w:type="dxa"/>
          </w:tcPr>
          <w:p w14:paraId="5800E40B"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1.12</w:t>
            </w:r>
          </w:p>
        </w:tc>
        <w:tc>
          <w:tcPr>
            <w:cnfStyle w:val="000010000000" w:firstRow="0" w:lastRow="0" w:firstColumn="0" w:lastColumn="0" w:oddVBand="1" w:evenVBand="0" w:oddHBand="0" w:evenHBand="0" w:firstRowFirstColumn="0" w:firstRowLastColumn="0" w:lastRowFirstColumn="0" w:lastRowLastColumn="0"/>
            <w:tcW w:w="1620" w:type="dxa"/>
          </w:tcPr>
          <w:p w14:paraId="353971F5"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1.06</w:t>
            </w:r>
          </w:p>
        </w:tc>
        <w:tc>
          <w:tcPr>
            <w:cnfStyle w:val="000001000000" w:firstRow="0" w:lastRow="0" w:firstColumn="0" w:lastColumn="0" w:oddVBand="0" w:evenVBand="1" w:oddHBand="0" w:evenHBand="0" w:firstRowFirstColumn="0" w:firstRowLastColumn="0" w:lastRowFirstColumn="0" w:lastRowLastColumn="0"/>
            <w:tcW w:w="1535" w:type="dxa"/>
          </w:tcPr>
          <w:p w14:paraId="77D5966C" w14:textId="77777777" w:rsidR="003A301E" w:rsidRPr="00434A50" w:rsidRDefault="003A301E">
            <w:pPr>
              <w:widowControl/>
              <w:autoSpaceDE w:val="0"/>
              <w:autoSpaceDN w:val="0"/>
              <w:adjustRightInd w:val="0"/>
              <w:jc w:val="right"/>
              <w:rPr>
                <w:rFonts w:asciiTheme="majorBidi" w:hAnsiTheme="majorBidi" w:cstheme="majorBidi"/>
                <w:color w:val="000000"/>
                <w:kern w:val="0"/>
                <w:sz w:val="20"/>
                <w:szCs w:val="20"/>
              </w:rPr>
            </w:pPr>
            <w:r>
              <w:rPr>
                <w:rFonts w:asciiTheme="majorBidi" w:hAnsiTheme="majorBidi" w:cstheme="majorBidi"/>
                <w:color w:val="000000"/>
                <w:kern w:val="0"/>
                <w:sz w:val="20"/>
                <w:szCs w:val="20"/>
              </w:rPr>
              <w:t>1.18</w:t>
            </w:r>
          </w:p>
        </w:tc>
      </w:tr>
    </w:tbl>
    <w:p w14:paraId="7B117AB7" w14:textId="77777777" w:rsidR="00E45623" w:rsidRDefault="00E45623">
      <w:pPr>
        <w:rPr>
          <w:rFonts w:asciiTheme="majorBidi" w:hAnsiTheme="majorBidi" w:cstheme="majorBidi"/>
          <w:szCs w:val="21"/>
          <w:shd w:val="clear" w:color="auto" w:fill="FFFFFF" w:themeFill="background1"/>
        </w:rPr>
      </w:pPr>
    </w:p>
    <w:p w14:paraId="047E4A5C" w14:textId="77777777" w:rsidR="00E45623" w:rsidRDefault="00E45623">
      <w:pPr>
        <w:rPr>
          <w:rFonts w:asciiTheme="majorBidi" w:hAnsiTheme="majorBidi" w:cstheme="majorBidi"/>
          <w:szCs w:val="21"/>
          <w:shd w:val="clear" w:color="auto" w:fill="FFFFFF" w:themeFill="background1"/>
        </w:rPr>
      </w:pPr>
    </w:p>
    <w:p w14:paraId="405B6A49" w14:textId="49CEED06" w:rsidR="00DB34C6" w:rsidRPr="009C5AD2" w:rsidRDefault="00DB34C6" w:rsidP="00DB34C6">
      <w:pPr>
        <w:pStyle w:val="Caption"/>
        <w:keepNext/>
        <w:rPr>
          <w:rFonts w:asciiTheme="majorBidi" w:hAnsiTheme="majorBidi" w:cstheme="majorBidi"/>
          <w:b/>
          <w:bCs/>
          <w:color w:val="auto"/>
          <w:sz w:val="24"/>
          <w:szCs w:val="24"/>
        </w:rPr>
      </w:pPr>
      <w:r>
        <w:rPr>
          <w:rFonts w:asciiTheme="majorBidi" w:hAnsiTheme="majorBidi" w:cstheme="majorBidi"/>
          <w:b/>
          <w:bCs/>
          <w:color w:val="auto"/>
          <w:sz w:val="24"/>
          <w:szCs w:val="24"/>
        </w:rPr>
        <w:lastRenderedPageBreak/>
        <w:t xml:space="preserve">Table S </w:t>
        <w:fldChar w:fldCharType="begin"/>
        <w:instrText xml:space="preserve"> SEQ Table_S \* ARABIC </w:instrText>
        <w:fldChar w:fldCharType="separate"/>
      </w:r>
      <w:r>
        <w:rPr>
          <w:rFonts w:asciiTheme="majorBidi" w:hAnsiTheme="majorBidi" w:cstheme="majorBidi"/>
          <w:b/>
          <w:bCs/>
          <w:noProof/>
          <w:color w:val="auto"/>
          <w:sz w:val="24"/>
          <w:szCs w:val="24"/>
        </w:rPr>
        <w:t>4</w:t>
      </w:r>
      <w:r>
        <w:rPr>
          <w:rFonts w:asciiTheme="majorBidi" w:hAnsiTheme="majorBidi" w:cstheme="majorBidi"/>
          <w:b/>
          <w:bCs/>
          <w:color w:val="auto"/>
          <w:sz w:val="24"/>
          <w:szCs w:val="24"/>
        </w:rPr>
        <w:fldChar w:fldCharType="end"/>
        <w:t>. Formula and descriptions for the indices of greenspace morphological metrics.</w:t>
      </w:r>
    </w:p>
    <w:tbl>
      <w:tblPr>
        <w:tblW w:w="13617"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7"/>
        <w:gridCol w:w="1350"/>
        <w:gridCol w:w="4770"/>
        <w:gridCol w:w="4950"/>
        <w:gridCol w:w="1460"/>
      </w:tblGrid>
      <w:tr w:rsidR="00CB0DEB" w:rsidRPr="009C5AD2" w14:paraId="53246BC3" w14:textId="77777777" w:rsidTr="00E5580A">
        <w:trPr>
          <w:trHeight w:val="300"/>
        </w:trPr>
        <w:tc>
          <w:tcPr>
            <w:tcW w:w="1087" w:type="dxa"/>
            <w:tcBorders>
              <w:top w:val="single" w:sz="6" w:space="0" w:color="auto"/>
              <w:left w:val="single" w:sz="6" w:space="0" w:color="auto"/>
              <w:bottom w:val="single" w:sz="6" w:space="0" w:color="auto"/>
              <w:right w:val="single" w:sz="6" w:space="0" w:color="auto"/>
            </w:tcBorders>
            <w:hideMark/>
          </w:tcPr>
          <w:p w14:paraId="19A2C3BB"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i/>
                <w:iCs/>
                <w:kern w:val="0"/>
                <w:sz w:val="20"/>
                <w:szCs w:val="20"/>
                <w:lang w:eastAsia="en-US"/>
              </w:rPr>
              <w:t>Criteria</w:t>
            </w:r>
            <w:r>
              <w:rPr>
                <w:rFonts w:asciiTheme="majorBidi" w:eastAsia="Times New Roman" w:hAnsiTheme="majorBidi" w:cstheme="majorBidi"/>
                <w:kern w:val="0"/>
                <w:sz w:val="20"/>
                <w:szCs w:val="20"/>
                <w:lang w:eastAsia="en-US"/>
              </w:rPr>
              <w:t> </w:t>
            </w:r>
          </w:p>
        </w:tc>
        <w:tc>
          <w:tcPr>
            <w:tcW w:w="1350" w:type="dxa"/>
            <w:tcBorders>
              <w:top w:val="single" w:sz="6" w:space="0" w:color="auto"/>
              <w:left w:val="single" w:sz="6" w:space="0" w:color="auto"/>
              <w:bottom w:val="single" w:sz="6" w:space="0" w:color="auto"/>
              <w:right w:val="single" w:sz="6" w:space="0" w:color="auto"/>
            </w:tcBorders>
            <w:hideMark/>
          </w:tcPr>
          <w:p w14:paraId="143B97FB"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i/>
                <w:iCs/>
                <w:kern w:val="0"/>
                <w:sz w:val="20"/>
                <w:szCs w:val="20"/>
                <w:lang w:eastAsia="en-US"/>
              </w:rPr>
              <w:t>Landscape indices (acronym)</w:t>
            </w:r>
            <w:r>
              <w:rPr>
                <w:rFonts w:asciiTheme="majorBidi" w:eastAsia="Times New Roman" w:hAnsiTheme="majorBidi" w:cstheme="majorBidi"/>
                <w:kern w:val="0"/>
                <w:sz w:val="20"/>
                <w:szCs w:val="20"/>
                <w:lang w:eastAsia="en-US"/>
              </w:rPr>
              <w:t> </w:t>
            </w:r>
          </w:p>
        </w:tc>
        <w:tc>
          <w:tcPr>
            <w:tcW w:w="4770" w:type="dxa"/>
            <w:tcBorders>
              <w:top w:val="single" w:sz="6" w:space="0" w:color="auto"/>
              <w:left w:val="single" w:sz="6" w:space="0" w:color="auto"/>
              <w:bottom w:val="single" w:sz="6" w:space="0" w:color="auto"/>
              <w:right w:val="single" w:sz="6" w:space="0" w:color="auto"/>
            </w:tcBorders>
            <w:hideMark/>
          </w:tcPr>
          <w:p w14:paraId="4D4230C1"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i/>
                <w:iCs/>
                <w:kern w:val="0"/>
                <w:sz w:val="20"/>
                <w:szCs w:val="20"/>
                <w:lang w:eastAsia="en-US"/>
              </w:rPr>
              <w:t>Formula</w:t>
            </w:r>
            <w:r>
              <w:rPr>
                <w:rFonts w:asciiTheme="majorBidi" w:eastAsia="Times New Roman" w:hAnsiTheme="majorBidi" w:cstheme="majorBidi"/>
                <w:kern w:val="0"/>
                <w:sz w:val="20"/>
                <w:szCs w:val="20"/>
                <w:lang w:eastAsia="en-US"/>
              </w:rPr>
              <w:t> </w:t>
            </w:r>
          </w:p>
        </w:tc>
        <w:tc>
          <w:tcPr>
            <w:tcW w:w="4950" w:type="dxa"/>
            <w:tcBorders>
              <w:top w:val="single" w:sz="6" w:space="0" w:color="auto"/>
              <w:left w:val="single" w:sz="6" w:space="0" w:color="auto"/>
              <w:bottom w:val="single" w:sz="6" w:space="0" w:color="auto"/>
              <w:right w:val="single" w:sz="6" w:space="0" w:color="auto"/>
            </w:tcBorders>
            <w:hideMark/>
          </w:tcPr>
          <w:p w14:paraId="7F553B45"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i/>
                <w:iCs/>
                <w:kern w:val="0"/>
                <w:sz w:val="20"/>
                <w:szCs w:val="20"/>
                <w:lang w:eastAsia="en-US"/>
              </w:rPr>
              <w:t>Description</w:t>
            </w:r>
            <w:r>
              <w:rPr>
                <w:rFonts w:asciiTheme="majorBidi" w:eastAsia="Times New Roman" w:hAnsiTheme="majorBidi" w:cstheme="majorBidi"/>
                <w:kern w:val="0"/>
                <w:sz w:val="20"/>
                <w:szCs w:val="20"/>
                <w:lang w:eastAsia="en-US"/>
              </w:rPr>
              <w:t> </w:t>
            </w:r>
          </w:p>
        </w:tc>
        <w:tc>
          <w:tcPr>
            <w:tcW w:w="1460" w:type="dxa"/>
            <w:tcBorders>
              <w:top w:val="single" w:sz="6" w:space="0" w:color="auto"/>
              <w:left w:val="single" w:sz="6" w:space="0" w:color="auto"/>
              <w:bottom w:val="single" w:sz="6" w:space="0" w:color="auto"/>
              <w:right w:val="single" w:sz="6" w:space="0" w:color="auto"/>
            </w:tcBorders>
            <w:hideMark/>
          </w:tcPr>
          <w:p w14:paraId="03CFBA22"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i/>
                <w:iCs/>
                <w:kern w:val="0"/>
                <w:sz w:val="20"/>
                <w:szCs w:val="20"/>
                <w:lang w:eastAsia="en-US"/>
              </w:rPr>
              <w:t>Unit (range)</w:t>
            </w:r>
            <w:r>
              <w:rPr>
                <w:rFonts w:asciiTheme="majorBidi" w:eastAsia="Times New Roman" w:hAnsiTheme="majorBidi" w:cstheme="majorBidi"/>
                <w:kern w:val="0"/>
                <w:sz w:val="20"/>
                <w:szCs w:val="20"/>
                <w:lang w:eastAsia="en-US"/>
              </w:rPr>
              <w:t> </w:t>
            </w:r>
          </w:p>
        </w:tc>
      </w:tr>
      <w:tr w:rsidR="00CB0DEB" w:rsidRPr="009C5AD2" w14:paraId="0765CC33" w14:textId="77777777" w:rsidTr="00E5580A">
        <w:trPr>
          <w:trHeight w:val="300"/>
        </w:trPr>
        <w:tc>
          <w:tcPr>
            <w:tcW w:w="1087" w:type="dxa"/>
            <w:vMerge w:val="restart"/>
            <w:tcBorders>
              <w:top w:val="single" w:sz="6" w:space="0" w:color="auto"/>
              <w:left w:val="single" w:sz="6" w:space="0" w:color="auto"/>
              <w:bottom w:val="single" w:sz="6" w:space="0" w:color="auto"/>
              <w:right w:val="single" w:sz="6" w:space="0" w:color="auto"/>
            </w:tcBorders>
            <w:hideMark/>
          </w:tcPr>
          <w:p w14:paraId="374707A2"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kern w:val="0"/>
                <w:sz w:val="20"/>
                <w:szCs w:val="20"/>
                <w:lang w:eastAsia="en-US"/>
              </w:rPr>
              <w:t>Size metrics</w:t>
            </w:r>
            <w:r>
              <w:rPr>
                <w:rFonts w:asciiTheme="majorBidi" w:eastAsia="Times New Roman" w:hAnsiTheme="majorBidi" w:cstheme="majorBidi"/>
                <w:kern w:val="0"/>
                <w:sz w:val="20"/>
                <w:szCs w:val="20"/>
                <w:lang w:eastAsia="en-US"/>
              </w:rPr>
              <w:t> </w:t>
            </w:r>
          </w:p>
        </w:tc>
        <w:tc>
          <w:tcPr>
            <w:tcW w:w="1350" w:type="dxa"/>
            <w:tcBorders>
              <w:top w:val="single" w:sz="6" w:space="0" w:color="auto"/>
              <w:left w:val="single" w:sz="6" w:space="0" w:color="auto"/>
              <w:bottom w:val="single" w:sz="6" w:space="0" w:color="auto"/>
              <w:right w:val="single" w:sz="6" w:space="0" w:color="auto"/>
            </w:tcBorders>
            <w:hideMark/>
          </w:tcPr>
          <w:p w14:paraId="3AFCABFE"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Mean Patch Area (AREA_MN) </w:t>
            </w:r>
          </w:p>
          <w:p w14:paraId="0A5EF675"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4770" w:type="dxa"/>
            <w:tcBorders>
              <w:top w:val="single" w:sz="6" w:space="0" w:color="auto"/>
              <w:left w:val="single" w:sz="6" w:space="0" w:color="auto"/>
              <w:bottom w:val="single" w:sz="6" w:space="0" w:color="auto"/>
              <w:right w:val="single" w:sz="6" w:space="0" w:color="auto"/>
            </w:tcBorders>
            <w:hideMark/>
          </w:tcPr>
          <w:p w14:paraId="3F531EDE" w14:textId="6F84368A" w:rsidR="00CB0DEB" w:rsidRPr="009C5AD2" w:rsidRDefault="00CB0DEB" w:rsidP="00052543">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noProof/>
                  <w:kern w:val="0"/>
                  <w:sz w:val="20"/>
                  <w:szCs w:val="20"/>
                  <w:lang w:eastAsia="en-US"/>
                </w:rPr>
                <m:t>AREA=</m:t>
              </m:r>
              <m:sSub>
                <m:sSubPr>
                  <m:ctrlPr>
                    <w:rPr>
                      <w:rFonts w:ascii="Cambria Math" w:eastAsia="Times New Roman" w:hAnsi="Cambria Math" w:cstheme="majorBidi"/>
                      <w:i/>
                      <w:noProof/>
                      <w:kern w:val="0"/>
                      <w:sz w:val="20"/>
                      <w:szCs w:val="20"/>
                      <w:lang w:eastAsia="en-US"/>
                    </w:rPr>
                  </m:ctrlPr>
                </m:sSubPr>
                <m:e>
                  <m:r>
                    <w:rPr>
                      <w:rFonts w:ascii="Cambria Math" w:eastAsia="Times New Roman" w:hAnsi="Cambria Math" w:cstheme="majorBidi"/>
                      <w:noProof/>
                      <w:kern w:val="0"/>
                      <w:sz w:val="20"/>
                      <w:szCs w:val="20"/>
                      <w:lang w:eastAsia="en-US"/>
                    </w:rPr>
                    <m:t>a</m:t>
                  </m:r>
                </m:e>
                <m:sub>
                  <m:r>
                    <w:rPr>
                      <w:rFonts w:ascii="Cambria Math" w:eastAsia="Times New Roman" w:hAnsi="Cambria Math" w:cstheme="majorBidi"/>
                      <w:noProof/>
                      <w:kern w:val="0"/>
                      <w:sz w:val="20"/>
                      <w:szCs w:val="20"/>
                      <w:lang w:eastAsia="en-US"/>
                    </w:rPr>
                    <m:t>ij</m:t>
                  </m:r>
                </m:sub>
              </m:sSub>
              <m:d>
                <m:dPr>
                  <m:ctrlPr>
                    <w:rPr>
                      <w:rFonts w:ascii="Cambria Math" w:eastAsia="Times New Roman" w:hAnsi="Cambria Math" w:cstheme="majorBidi"/>
                      <w:i/>
                      <w:noProof/>
                      <w:kern w:val="0"/>
                      <w:sz w:val="20"/>
                      <w:szCs w:val="20"/>
                      <w:lang w:eastAsia="en-US"/>
                    </w:rPr>
                  </m:ctrlPr>
                </m:dPr>
                <m:e>
                  <m:f>
                    <m:fPr>
                      <m:ctrlPr>
                        <w:rPr>
                          <w:rFonts w:ascii="Cambria Math" w:eastAsia="Times New Roman" w:hAnsi="Cambria Math" w:cstheme="majorBidi"/>
                          <w:i/>
                          <w:noProof/>
                          <w:kern w:val="0"/>
                          <w:sz w:val="20"/>
                          <w:szCs w:val="20"/>
                          <w:lang w:eastAsia="en-US"/>
                        </w:rPr>
                      </m:ctrlPr>
                    </m:fPr>
                    <m:num>
                      <m:r>
                        <w:rPr>
                          <w:rFonts w:ascii="Cambria Math" w:eastAsia="Times New Roman" w:hAnsi="Cambria Math" w:cstheme="majorBidi"/>
                          <w:noProof/>
                          <w:kern w:val="0"/>
                          <w:sz w:val="20"/>
                          <w:szCs w:val="20"/>
                          <w:lang w:eastAsia="en-US"/>
                        </w:rPr>
                        <m:t>1</m:t>
                      </m:r>
                    </m:num>
                    <m:den>
                      <m:r>
                        <w:rPr>
                          <w:rFonts w:ascii="Cambria Math" w:eastAsia="Times New Roman" w:hAnsi="Cambria Math" w:cstheme="majorBidi"/>
                          <w:noProof/>
                          <w:kern w:val="0"/>
                          <w:sz w:val="20"/>
                          <w:szCs w:val="20"/>
                          <w:lang w:eastAsia="en-US"/>
                        </w:rPr>
                        <m:t>10000</m:t>
                      </m:r>
                    </m:den>
                  </m:f>
                </m:e>
              </m:d>
            </m:oMath>
          </w:p>
          <w:p w14:paraId="21097CAD" w14:textId="6ADE3383" w:rsidR="00CB0DEB" w:rsidRPr="009C5AD2" w:rsidRDefault="00CB0DEB"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 </w:t>
            </w:r>
          </w:p>
          <w:p w14:paraId="72D40EAD" w14:textId="3CFE4A1C" w:rsidR="00052543" w:rsidRPr="009C5AD2" w:rsidRDefault="00052543"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w:t>
            </w:r>
            <w:r>
              <w:rPr>
                <w:rFonts w:asciiTheme="majorBidi" w:eastAsia="Times New Roman" w:hAnsiTheme="majorBidi" w:cstheme="majorBidi"/>
                <w:kern w:val="0"/>
                <w:sz w:val="18"/>
                <w:szCs w:val="18"/>
                <w:vertAlign w:val="subscript"/>
                <w:lang w:eastAsia="en-US"/>
              </w:rPr>
              <w:t xml:space="preserve">ij </w:t>
            </w:r>
            <w:r>
              <w:rPr>
                <w:rFonts w:asciiTheme="majorBidi" w:eastAsia="Times New Roman" w:hAnsiTheme="majorBidi" w:cstheme="majorBidi"/>
                <w:kern w:val="0"/>
                <w:sz w:val="18"/>
                <w:szCs w:val="18"/>
                <w:lang w:eastAsia="en-US"/>
              </w:rPr>
              <w:t>=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 xml:space="preserve">) of patch ij.</w:t>
            </w:r>
          </w:p>
        </w:tc>
        <w:tc>
          <w:tcPr>
            <w:tcW w:w="4950" w:type="dxa"/>
            <w:tcBorders>
              <w:top w:val="single" w:sz="6" w:space="0" w:color="auto"/>
              <w:left w:val="single" w:sz="6" w:space="0" w:color="auto"/>
              <w:bottom w:val="single" w:sz="6" w:space="0" w:color="auto"/>
              <w:right w:val="single" w:sz="6" w:space="0" w:color="auto"/>
            </w:tcBorders>
            <w:hideMark/>
          </w:tcPr>
          <w:p w14:paraId="4C43EF7E"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The average size of patches at the class or landscape level.  </w:t>
            </w:r>
          </w:p>
          <w:p w14:paraId="65479D4C" w14:textId="77777777" w:rsidR="00CB0DEB" w:rsidRPr="009C5AD2" w:rsidRDefault="00CB0DEB" w:rsidP="00052543">
            <w:pPr>
              <w:widowControl/>
              <w:numPr>
                <w:ilvl w:val="0"/>
                <w:numId w:val="3"/>
              </w:numPr>
              <w:tabs>
                <w:tab w:val="clear" w:pos="720"/>
                <w:tab w:val="num" w:pos="271"/>
              </w:tabs>
              <w:ind w:left="91" w:firstLine="0"/>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higher value indicates a larger average size of greenspaces, and vice versa. </w:t>
            </w:r>
          </w:p>
        </w:tc>
        <w:tc>
          <w:tcPr>
            <w:tcW w:w="1460" w:type="dxa"/>
            <w:tcBorders>
              <w:top w:val="single" w:sz="6" w:space="0" w:color="auto"/>
              <w:left w:val="single" w:sz="6" w:space="0" w:color="auto"/>
              <w:bottom w:val="single" w:sz="6" w:space="0" w:color="auto"/>
              <w:right w:val="single" w:sz="6" w:space="0" w:color="auto"/>
            </w:tcBorders>
            <w:hideMark/>
          </w:tcPr>
          <w:p w14:paraId="076A555D" w14:textId="77777777" w:rsidR="00CB0DEB" w:rsidRPr="009C5AD2" w:rsidRDefault="00CB0DEB" w:rsidP="00CB0DEB">
            <w:pPr>
              <w:widowControl/>
              <w:jc w:val="left"/>
              <w:textAlignment w:val="baseline"/>
              <w:rPr>
                <w:rFonts w:asciiTheme="majorBidi" w:eastAsia="Times New Roman" w:hAnsiTheme="majorBidi" w:cstheme="majorBidi"/>
                <w:kern w:val="0"/>
                <w:sz w:val="14"/>
                <w:szCs w:val="14"/>
                <w:lang w:eastAsia="en-US"/>
              </w:rPr>
            </w:pPr>
            <w:r>
              <w:rPr>
                <w:rFonts w:asciiTheme="majorBidi" w:eastAsia="Times New Roman" w:hAnsiTheme="majorBidi" w:cstheme="majorBidi"/>
                <w:kern w:val="0"/>
                <w:sz w:val="16"/>
                <w:szCs w:val="16"/>
                <w:lang w:eastAsia="en-US"/>
              </w:rPr>
              <w:t>Hectares </w:t>
            </w:r>
          </w:p>
          <w:p w14:paraId="155981B7" w14:textId="77777777" w:rsidR="00CB0DEB" w:rsidRPr="009C5AD2" w:rsidRDefault="00CB0DEB" w:rsidP="00CB0DEB">
            <w:pPr>
              <w:widowControl/>
              <w:jc w:val="left"/>
              <w:textAlignment w:val="baseline"/>
              <w:rPr>
                <w:rFonts w:asciiTheme="majorBidi" w:eastAsia="Times New Roman" w:hAnsiTheme="majorBidi" w:cstheme="majorBidi"/>
                <w:kern w:val="0"/>
                <w:sz w:val="14"/>
                <w:szCs w:val="14"/>
                <w:lang w:eastAsia="en-US"/>
              </w:rPr>
            </w:pPr>
            <w:r>
              <w:rPr>
                <w:rFonts w:asciiTheme="majorBidi" w:eastAsia="Times New Roman" w:hAnsiTheme="majorBidi" w:cstheme="majorBidi"/>
                <w:kern w:val="0"/>
                <w:sz w:val="16"/>
                <w:szCs w:val="16"/>
                <w:lang w:eastAsia="en-US"/>
              </w:rPr>
              <w:t> </w:t>
            </w:r>
          </w:p>
          <w:p w14:paraId="25D21469"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(AREA &gt; 0, without limit) </w:t>
            </w:r>
          </w:p>
        </w:tc>
      </w:tr>
      <w:tr w:rsidR="00052543" w:rsidRPr="009C5AD2" w14:paraId="27321C0E"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tcPr>
          <w:p w14:paraId="5F88B625" w14:textId="77777777" w:rsidR="00052543" w:rsidRPr="009C5AD2" w:rsidRDefault="00052543" w:rsidP="00CB0DEB">
            <w:pPr>
              <w:widowControl/>
              <w:jc w:val="left"/>
              <w:textAlignment w:val="baseline"/>
              <w:rPr>
                <w:rFonts w:asciiTheme="majorBidi" w:eastAsia="Times New Roman" w:hAnsiTheme="majorBidi" w:cstheme="majorBidi"/>
                <w:b/>
                <w:bCs/>
                <w:kern w:val="0"/>
                <w:sz w:val="20"/>
                <w:szCs w:val="20"/>
                <w:lang w:eastAsia="en-US"/>
              </w:rPr>
            </w:pPr>
          </w:p>
        </w:tc>
        <w:tc>
          <w:tcPr>
            <w:tcW w:w="1350" w:type="dxa"/>
            <w:tcBorders>
              <w:top w:val="single" w:sz="6" w:space="0" w:color="auto"/>
              <w:left w:val="single" w:sz="6" w:space="0" w:color="auto"/>
              <w:bottom w:val="single" w:sz="6" w:space="0" w:color="auto"/>
              <w:right w:val="single" w:sz="6" w:space="0" w:color="auto"/>
            </w:tcBorders>
          </w:tcPr>
          <w:p w14:paraId="1AC09471" w14:textId="2450FADA" w:rsidR="00052543" w:rsidRPr="009C5AD2" w:rsidRDefault="00CB5B35"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Class Area (CA)</w:t>
            </w:r>
          </w:p>
        </w:tc>
        <w:tc>
          <w:tcPr>
            <w:tcW w:w="4770" w:type="dxa"/>
            <w:tcBorders>
              <w:top w:val="single" w:sz="6" w:space="0" w:color="auto"/>
              <w:left w:val="single" w:sz="6" w:space="0" w:color="auto"/>
              <w:bottom w:val="single" w:sz="6" w:space="0" w:color="auto"/>
              <w:right w:val="single" w:sz="6" w:space="0" w:color="auto"/>
            </w:tcBorders>
          </w:tcPr>
          <w:p w14:paraId="0DC7681C" w14:textId="7270AE40" w:rsidR="00CB5B35" w:rsidRPr="009C5AD2" w:rsidRDefault="00774216" w:rsidP="00CB5B35">
            <w:pPr>
              <w:widowControl/>
              <w:jc w:val="left"/>
              <w:textAlignment w:val="baseline"/>
              <w:rPr>
                <w:rFonts w:asciiTheme="majorBidi" w:eastAsia="Times New Roman" w:hAnsiTheme="majorBidi" w:cstheme="majorBidi"/>
                <w:noProof/>
                <w:kern w:val="0"/>
                <w:sz w:val="20"/>
                <w:szCs w:val="20"/>
                <w:lang w:eastAsia="en-US"/>
              </w:rPr>
            </w:pPr>
            <m:oMathPara>
              <m:oMathParaPr>
                <m:jc m:val="left"/>
              </m:oMathParaPr>
              <m:oMath>
                <m:r>
                  <w:rPr>
                    <w:rFonts w:ascii="Cambria Math" w:eastAsia="Times New Roman" w:hAnsi="Cambria Math" w:cstheme="majorBidi"/>
                    <w:noProof/>
                    <w:kern w:val="0"/>
                    <w:sz w:val="20"/>
                    <w:szCs w:val="20"/>
                    <w:lang w:eastAsia="en-US"/>
                  </w:rPr>
                  <m:t>CA=</m:t>
                </m:r>
                <m:nary>
                  <m:naryPr>
                    <m:chr m:val="∑"/>
                    <m:limLoc m:val="undOvr"/>
                    <m:grow m:val="1"/>
                    <m:ctrlPr>
                      <w:rPr>
                        <w:rFonts w:ascii="Cambria Math" w:eastAsia="Times New Roman" w:hAnsi="Cambria Math" w:cstheme="majorBidi"/>
                        <w:i/>
                        <w:noProof/>
                        <w:kern w:val="0"/>
                        <w:sz w:val="20"/>
                        <w:szCs w:val="20"/>
                        <w:lang w:eastAsia="en-US"/>
                      </w:rPr>
                    </m:ctrlPr>
                  </m:naryPr>
                  <m:sub>
                    <m:r>
                      <w:rPr>
                        <w:rFonts w:ascii="Cambria Math" w:eastAsia="Times New Roman" w:hAnsi="Cambria Math" w:cstheme="majorBidi"/>
                        <w:noProof/>
                        <w:kern w:val="0"/>
                        <w:sz w:val="20"/>
                        <w:szCs w:val="20"/>
                        <w:lang w:eastAsia="en-US"/>
                      </w:rPr>
                      <m:t>j=1</m:t>
                    </m:r>
                  </m:sub>
                  <m:sup>
                    <m:r>
                      <w:rPr>
                        <w:rFonts w:ascii="Cambria Math" w:eastAsia="Times New Roman" w:hAnsi="Cambria Math" w:cstheme="majorBidi"/>
                        <w:noProof/>
                        <w:kern w:val="0"/>
                        <w:sz w:val="20"/>
                        <w:szCs w:val="20"/>
                        <w:lang w:eastAsia="en-US"/>
                      </w:rPr>
                      <m:t>n</m:t>
                    </m:r>
                  </m:sup>
                  <m:e>
                    <m:sSub>
                      <m:sSubPr>
                        <m:ctrlPr>
                          <w:rPr>
                            <w:rFonts w:ascii="Cambria Math" w:eastAsia="Times New Roman" w:hAnsi="Cambria Math" w:cstheme="majorBidi"/>
                            <w:i/>
                            <w:noProof/>
                            <w:kern w:val="0"/>
                            <w:sz w:val="20"/>
                            <w:szCs w:val="20"/>
                            <w:lang w:eastAsia="en-US"/>
                          </w:rPr>
                        </m:ctrlPr>
                      </m:sSubPr>
                      <m:e>
                        <m:r>
                          <w:rPr>
                            <w:rFonts w:ascii="Cambria Math" w:eastAsia="Times New Roman" w:hAnsi="Cambria Math" w:cstheme="majorBidi"/>
                            <w:noProof/>
                            <w:kern w:val="0"/>
                            <w:sz w:val="20"/>
                            <w:szCs w:val="20"/>
                            <w:lang w:eastAsia="en-US"/>
                          </w:rPr>
                          <m:t>a</m:t>
                        </m:r>
                      </m:e>
                      <m:sub>
                        <m:r>
                          <w:rPr>
                            <w:rFonts w:ascii="Cambria Math" w:eastAsia="Times New Roman" w:hAnsi="Cambria Math" w:cstheme="majorBidi"/>
                            <w:noProof/>
                            <w:kern w:val="0"/>
                            <w:sz w:val="20"/>
                            <w:szCs w:val="20"/>
                            <w:lang w:eastAsia="en-US"/>
                          </w:rPr>
                          <m:t>ij</m:t>
                        </m:r>
                      </m:sub>
                    </m:sSub>
                  </m:e>
                </m:nary>
              </m:oMath>
            </m:oMathPara>
          </w:p>
          <w:p w14:paraId="5B707C8F" w14:textId="77777777" w:rsidR="00CB5B35" w:rsidRPr="009C5AD2" w:rsidRDefault="00CB5B35" w:rsidP="00CB5B35">
            <w:pPr>
              <w:widowControl/>
              <w:jc w:val="left"/>
              <w:textAlignment w:val="baseline"/>
              <w:rPr>
                <w:rFonts w:asciiTheme="majorBidi" w:eastAsia="Times New Roman" w:hAnsiTheme="majorBidi" w:cstheme="majorBidi"/>
                <w:noProof/>
                <w:kern w:val="0"/>
                <w:sz w:val="20"/>
                <w:szCs w:val="20"/>
                <w:lang w:eastAsia="en-US"/>
              </w:rPr>
            </w:pPr>
          </w:p>
          <w:p w14:paraId="40560061" w14:textId="0808FA21" w:rsidR="00CB5B35" w:rsidRPr="009C5AD2" w:rsidRDefault="00CB5B35" w:rsidP="00CB5B35">
            <w:pPr>
              <w:widowControl/>
              <w:jc w:val="left"/>
              <w:textAlignment w:val="baseline"/>
              <w:rPr>
                <w:rFonts w:asciiTheme="majorBidi" w:eastAsia="Times New Roman" w:hAnsiTheme="majorBidi" w:cstheme="majorBidi"/>
                <w:noProof/>
                <w:kern w:val="0"/>
                <w:sz w:val="18"/>
                <w:szCs w:val="18"/>
                <w:lang w:eastAsia="en-US"/>
              </w:rPr>
            </w:pPr>
            <w:r>
              <w:rPr>
                <w:rFonts w:asciiTheme="majorBidi" w:eastAsia="Times New Roman" w:hAnsiTheme="majorBidi" w:cstheme="majorBidi"/>
                <w:noProof/>
                <w:kern w:val="0"/>
                <w:sz w:val="18"/>
                <w:szCs w:val="18"/>
                <w:lang w:eastAsia="en-US"/>
              </w:rPr>
              <w:t xml:space="preserve">CA = Class area for class </w:t>
            </w:r>
            <w:r>
              <w:rPr>
                <w:rFonts w:asciiTheme="majorBidi" w:eastAsia="Times New Roman" w:hAnsiTheme="majorBidi" w:cstheme="majorBidi"/>
                <w:i/>
                <w:iCs/>
                <w:noProof/>
                <w:kern w:val="0"/>
                <w:sz w:val="18"/>
                <w:szCs w:val="18"/>
                <w:lang w:eastAsia="en-US"/>
              </w:rPr>
              <w:t>i</w:t>
            </w:r>
            <w:r>
              <w:rPr>
                <w:rFonts w:asciiTheme="majorBidi" w:eastAsia="Times New Roman" w:hAnsiTheme="majorBidi" w:cstheme="majorBidi"/>
                <w:noProof/>
                <w:kern w:val="0"/>
                <w:sz w:val="18"/>
                <w:szCs w:val="18"/>
                <w:lang w:eastAsia="en-US"/>
              </w:rPr>
              <w:t xml:space="preserve"> (e.g., all greenspace patches)</w:t>
            </w:r>
          </w:p>
          <w:p w14:paraId="3E597044" w14:textId="612DBF40" w:rsidR="00CB5B35" w:rsidRPr="009C5AD2" w:rsidRDefault="00CB5B35" w:rsidP="00CB5B35">
            <w:pPr>
              <w:widowControl/>
              <w:jc w:val="left"/>
              <w:textAlignment w:val="baseline"/>
              <w:rPr>
                <w:rFonts w:asciiTheme="majorBidi" w:eastAsia="Times New Roman" w:hAnsiTheme="majorBidi" w:cstheme="majorBidi"/>
                <w:noProof/>
                <w:kern w:val="0"/>
                <w:sz w:val="18"/>
                <w:szCs w:val="18"/>
                <w:lang w:eastAsia="en-US"/>
              </w:rPr>
            </w:pPr>
            <w:r>
              <w:rPr>
                <w:rFonts w:asciiTheme="majorBidi" w:eastAsia="Times New Roman" w:hAnsiTheme="majorBidi" w:cstheme="majorBidi"/>
                <w:noProof/>
                <w:kern w:val="0"/>
                <w:sz w:val="18"/>
                <w:szCs w:val="18"/>
                <w:lang w:eastAsia="en-US"/>
              </w:rPr>
              <w:t>a</w:t>
            </w:r>
            <w:r>
              <w:rPr>
                <w:rFonts w:asciiTheme="majorBidi" w:eastAsia="Times New Roman" w:hAnsiTheme="majorBidi" w:cstheme="majorBidi"/>
                <w:noProof/>
                <w:kern w:val="0"/>
                <w:sz w:val="18"/>
                <w:szCs w:val="18"/>
                <w:vertAlign w:val="subscript"/>
                <w:lang w:eastAsia="en-US"/>
              </w:rPr>
              <w:t>ij</w:t>
            </w:r>
            <w:r>
              <w:rPr>
                <w:rFonts w:asciiTheme="majorBidi" w:eastAsia="Times New Roman" w:hAnsiTheme="majorBidi" w:cstheme="majorBidi"/>
                <w:noProof/>
                <w:kern w:val="0"/>
                <w:sz w:val="18"/>
                <w:szCs w:val="18"/>
                <w:lang w:eastAsia="en-US"/>
              </w:rPr>
              <w:t xml:space="preserve"> = Area (in square meters or hectares) of patch </w:t>
            </w:r>
            <w:r>
              <w:rPr>
                <w:rFonts w:asciiTheme="majorBidi" w:eastAsia="Times New Roman" w:hAnsiTheme="majorBidi" w:cstheme="majorBidi"/>
                <w:i/>
                <w:iCs/>
                <w:noProof/>
                <w:kern w:val="0"/>
                <w:sz w:val="18"/>
                <w:szCs w:val="18"/>
                <w:lang w:eastAsia="en-US"/>
              </w:rPr>
              <w:t>j</w:t>
            </w:r>
            <w:r>
              <w:rPr>
                <w:rFonts w:asciiTheme="majorBidi" w:eastAsia="Times New Roman" w:hAnsiTheme="majorBidi" w:cstheme="majorBidi"/>
                <w:noProof/>
                <w:kern w:val="0"/>
                <w:sz w:val="18"/>
                <w:szCs w:val="18"/>
                <w:lang w:eastAsia="en-US"/>
              </w:rPr>
              <w:t xml:space="preserve"> of class </w:t>
            </w:r>
            <w:r>
              <w:rPr>
                <w:rFonts w:asciiTheme="majorBidi" w:eastAsia="Times New Roman" w:hAnsiTheme="majorBidi" w:cstheme="majorBidi"/>
                <w:i/>
                <w:iCs/>
                <w:noProof/>
                <w:kern w:val="0"/>
                <w:sz w:val="18"/>
                <w:szCs w:val="18"/>
                <w:lang w:eastAsia="en-US"/>
              </w:rPr>
              <w:t>i</w:t>
            </w:r>
          </w:p>
          <w:p w14:paraId="690B7536" w14:textId="0567591D" w:rsidR="00052543" w:rsidRPr="009C5AD2" w:rsidRDefault="00CB5B35" w:rsidP="00CB5B35">
            <w:pPr>
              <w:widowControl/>
              <w:jc w:val="left"/>
              <w:textAlignment w:val="baseline"/>
              <w:rPr>
                <w:rFonts w:asciiTheme="majorBidi" w:eastAsia="Times New Roman" w:hAnsiTheme="majorBidi" w:cstheme="majorBidi"/>
                <w:noProof/>
                <w:kern w:val="0"/>
                <w:sz w:val="18"/>
                <w:szCs w:val="18"/>
                <w:lang w:eastAsia="en-US"/>
              </w:rPr>
            </w:pPr>
            <w:r>
              <w:rPr>
                <w:rFonts w:asciiTheme="majorBidi" w:eastAsia="Times New Roman" w:hAnsiTheme="majorBidi" w:cstheme="majorBidi"/>
                <w:noProof/>
                <w:kern w:val="0"/>
                <w:sz w:val="18"/>
                <w:szCs w:val="18"/>
                <w:lang w:eastAsia="en-US"/>
              </w:rPr>
              <w:t xml:space="preserve">n = Total number of patches of class </w:t>
            </w:r>
            <w:r>
              <w:rPr>
                <w:rFonts w:asciiTheme="majorBidi" w:eastAsia="Times New Roman" w:hAnsiTheme="majorBidi" w:cstheme="majorBidi"/>
                <w:i/>
                <w:iCs/>
                <w:noProof/>
                <w:kern w:val="0"/>
                <w:sz w:val="18"/>
                <w:szCs w:val="18"/>
                <w:lang w:eastAsia="en-US"/>
              </w:rPr>
              <w:t>i</w:t>
            </w:r>
          </w:p>
        </w:tc>
        <w:tc>
          <w:tcPr>
            <w:tcW w:w="4950" w:type="dxa"/>
            <w:tcBorders>
              <w:top w:val="single" w:sz="6" w:space="0" w:color="auto"/>
              <w:left w:val="single" w:sz="6" w:space="0" w:color="auto"/>
              <w:bottom w:val="single" w:sz="6" w:space="0" w:color="auto"/>
              <w:right w:val="single" w:sz="6" w:space="0" w:color="auto"/>
            </w:tcBorders>
          </w:tcPr>
          <w:p w14:paraId="64FB31CA" w14:textId="77777777" w:rsidR="00CB5B35" w:rsidRPr="009C5AD2" w:rsidRDefault="00CB5B35" w:rsidP="00CB5B35">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This metric quantifies the total landscape area occupied by all patches of a specific land cover class.</w:t>
            </w:r>
          </w:p>
          <w:p w14:paraId="779C815D" w14:textId="13B20C25" w:rsidR="00052543" w:rsidRPr="009C5AD2" w:rsidRDefault="00CB5B35" w:rsidP="00CB5B35">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 A higher value indicates greater spatial dominance of the class within the landscape.</w:t>
            </w:r>
          </w:p>
        </w:tc>
        <w:tc>
          <w:tcPr>
            <w:tcW w:w="1460" w:type="dxa"/>
            <w:tcBorders>
              <w:top w:val="single" w:sz="6" w:space="0" w:color="auto"/>
              <w:left w:val="single" w:sz="6" w:space="0" w:color="auto"/>
              <w:bottom w:val="single" w:sz="6" w:space="0" w:color="auto"/>
              <w:right w:val="single" w:sz="6" w:space="0" w:color="auto"/>
            </w:tcBorders>
          </w:tcPr>
          <w:p w14:paraId="525C58C1" w14:textId="77777777" w:rsidR="00CB5B35" w:rsidRPr="009C5AD2" w:rsidRDefault="00CB5B35" w:rsidP="00CB5B35">
            <w:pPr>
              <w:widowControl/>
              <w:jc w:val="left"/>
              <w:textAlignment w:val="baseline"/>
              <w:rPr>
                <w:rFonts w:asciiTheme="majorBidi" w:eastAsia="Times New Roman" w:hAnsiTheme="majorBidi" w:cstheme="majorBidi"/>
                <w:kern w:val="0"/>
                <w:sz w:val="14"/>
                <w:szCs w:val="14"/>
                <w:lang w:eastAsia="en-US"/>
              </w:rPr>
            </w:pPr>
            <w:r>
              <w:rPr>
                <w:rFonts w:asciiTheme="majorBidi" w:eastAsia="Times New Roman" w:hAnsiTheme="majorBidi" w:cstheme="majorBidi"/>
                <w:kern w:val="0"/>
                <w:sz w:val="16"/>
                <w:szCs w:val="16"/>
                <w:lang w:eastAsia="en-US"/>
              </w:rPr>
              <w:t>Hectares </w:t>
            </w:r>
          </w:p>
          <w:p w14:paraId="4A1BCA71" w14:textId="4D2AD5D1" w:rsidR="00052543" w:rsidRPr="009C5AD2" w:rsidRDefault="00CB5B35" w:rsidP="00CB5B35">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6"/>
                <w:szCs w:val="16"/>
                <w:lang w:eastAsia="en-US"/>
              </w:rPr>
              <w:t>CA ≥ 0 (no upper limit; constrained by total landscape area)</w:t>
            </w:r>
          </w:p>
        </w:tc>
      </w:tr>
      <w:tr w:rsidR="005013AA" w:rsidRPr="009C5AD2" w14:paraId="3F8E394D"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tcPr>
          <w:p w14:paraId="3204B396" w14:textId="77777777" w:rsidR="005013AA" w:rsidRPr="009C5AD2" w:rsidRDefault="005013AA" w:rsidP="00CB0DEB">
            <w:pPr>
              <w:widowControl/>
              <w:jc w:val="left"/>
              <w:textAlignment w:val="baseline"/>
              <w:rPr>
                <w:rFonts w:asciiTheme="majorBidi" w:eastAsia="Times New Roman" w:hAnsiTheme="majorBidi" w:cstheme="majorBidi"/>
                <w:b/>
                <w:bCs/>
                <w:kern w:val="0"/>
                <w:sz w:val="20"/>
                <w:szCs w:val="20"/>
                <w:lang w:eastAsia="en-US"/>
              </w:rPr>
            </w:pPr>
          </w:p>
        </w:tc>
        <w:tc>
          <w:tcPr>
            <w:tcW w:w="1350" w:type="dxa"/>
            <w:tcBorders>
              <w:top w:val="single" w:sz="6" w:space="0" w:color="auto"/>
              <w:left w:val="single" w:sz="6" w:space="0" w:color="auto"/>
              <w:bottom w:val="single" w:sz="6" w:space="0" w:color="auto"/>
              <w:right w:val="single" w:sz="6" w:space="0" w:color="auto"/>
            </w:tcBorders>
          </w:tcPr>
          <w:p w14:paraId="38F06799" w14:textId="77777777" w:rsidR="005013AA" w:rsidRPr="009C5AD2" w:rsidRDefault="00774216"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Patch Area</w:t>
            </w:r>
          </w:p>
          <w:p w14:paraId="796A5ABB" w14:textId="602770C0" w:rsidR="00774216" w:rsidRPr="009C5AD2" w:rsidRDefault="00774216"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(AREA)</w:t>
            </w:r>
          </w:p>
        </w:tc>
        <w:tc>
          <w:tcPr>
            <w:tcW w:w="4770" w:type="dxa"/>
            <w:tcBorders>
              <w:top w:val="single" w:sz="6" w:space="0" w:color="auto"/>
              <w:left w:val="single" w:sz="6" w:space="0" w:color="auto"/>
              <w:bottom w:val="single" w:sz="6" w:space="0" w:color="auto"/>
              <w:right w:val="single" w:sz="6" w:space="0" w:color="auto"/>
            </w:tcBorders>
          </w:tcPr>
          <w:p w14:paraId="73453A5E" w14:textId="39B18497" w:rsidR="005013AA" w:rsidRPr="009C5AD2" w:rsidRDefault="00CB5B35" w:rsidP="00052543">
            <w:pPr>
              <w:widowControl/>
              <w:jc w:val="left"/>
              <w:textAlignment w:val="baseline"/>
              <w:rPr>
                <w:rFonts w:asciiTheme="majorBidi" w:eastAsia="Times New Roman" w:hAnsiTheme="majorBidi" w:cstheme="majorBidi"/>
                <w:noProof/>
                <w:kern w:val="0"/>
                <w:sz w:val="20"/>
                <w:szCs w:val="20"/>
                <w:lang w:eastAsia="en-US"/>
              </w:rPr>
            </w:pPr>
            <m:oMathPara>
              <m:oMathParaPr>
                <m:jc m:val="left"/>
              </m:oMathParaPr>
              <m:oMath>
                <m:r>
                  <w:rPr>
                    <w:rFonts w:ascii="Cambria Math" w:eastAsia="Times New Roman" w:hAnsi="Cambria Math" w:cstheme="majorBidi"/>
                    <w:noProof/>
                    <w:kern w:val="0"/>
                    <w:sz w:val="20"/>
                    <w:szCs w:val="20"/>
                    <w:lang w:eastAsia="en-US"/>
                  </w:rPr>
                  <m:t>AREA -</m:t>
                </m:r>
                <m:sSub>
                  <m:sSubPr>
                    <m:ctrlPr>
                      <w:rPr>
                        <w:rFonts w:ascii="Cambria Math" w:eastAsia="Times New Roman" w:hAnsi="Cambria Math" w:cstheme="majorBidi"/>
                        <w:i/>
                        <w:noProof/>
                        <w:kern w:val="0"/>
                        <w:sz w:val="20"/>
                        <w:szCs w:val="20"/>
                        <w:lang w:eastAsia="en-US"/>
                      </w:rPr>
                    </m:ctrlPr>
                  </m:sSubPr>
                  <m:e>
                    <m:r>
                      <w:rPr>
                        <w:rFonts w:ascii="Cambria Math" w:eastAsia="Times New Roman" w:hAnsi="Cambria Math" w:cstheme="majorBidi"/>
                        <w:noProof/>
                        <w:kern w:val="0"/>
                        <w:sz w:val="20"/>
                        <w:szCs w:val="20"/>
                        <w:lang w:eastAsia="en-US"/>
                      </w:rPr>
                      <m:t>a</m:t>
                    </m:r>
                  </m:e>
                  <m:sub>
                    <m:r>
                      <w:rPr>
                        <w:rFonts w:ascii="Cambria Math" w:eastAsia="Times New Roman" w:hAnsi="Cambria Math" w:cstheme="majorBidi"/>
                        <w:noProof/>
                        <w:kern w:val="0"/>
                        <w:sz w:val="20"/>
                        <w:szCs w:val="20"/>
                        <w:lang w:eastAsia="en-US"/>
                      </w:rPr>
                      <m:t>ij</m:t>
                    </m:r>
                  </m:sub>
                </m:sSub>
                <m:d>
                  <m:dPr>
                    <m:ctrlPr>
                      <w:rPr>
                        <w:rFonts w:ascii="Cambria Math" w:eastAsia="Times New Roman" w:hAnsi="Cambria Math" w:cstheme="majorBidi"/>
                        <w:i/>
                        <w:noProof/>
                        <w:kern w:val="0"/>
                        <w:sz w:val="20"/>
                        <w:szCs w:val="20"/>
                        <w:lang w:eastAsia="en-US"/>
                      </w:rPr>
                    </m:ctrlPr>
                  </m:dPr>
                  <m:e>
                    <m:f>
                      <m:fPr>
                        <m:ctrlPr>
                          <w:rPr>
                            <w:rFonts w:ascii="Cambria Math" w:eastAsia="Times New Roman" w:hAnsi="Cambria Math" w:cstheme="majorBidi"/>
                            <w:i/>
                            <w:noProof/>
                            <w:kern w:val="0"/>
                            <w:sz w:val="20"/>
                            <w:szCs w:val="20"/>
                            <w:lang w:eastAsia="en-US"/>
                          </w:rPr>
                        </m:ctrlPr>
                      </m:fPr>
                      <m:num>
                        <m:r>
                          <w:rPr>
                            <w:rFonts w:ascii="Cambria Math" w:eastAsia="Times New Roman" w:hAnsi="Cambria Math" w:cstheme="majorBidi"/>
                            <w:noProof/>
                            <w:kern w:val="0"/>
                            <w:sz w:val="20"/>
                            <w:szCs w:val="20"/>
                            <w:lang w:eastAsia="en-US"/>
                          </w:rPr>
                          <m:t>1</m:t>
                        </m:r>
                      </m:num>
                      <m:den>
                        <m:r>
                          <w:rPr>
                            <w:rFonts w:ascii="Cambria Math" w:eastAsia="Times New Roman" w:hAnsi="Cambria Math" w:cstheme="majorBidi"/>
                            <w:noProof/>
                            <w:kern w:val="0"/>
                            <w:sz w:val="20"/>
                            <w:szCs w:val="20"/>
                            <w:lang w:eastAsia="en-US"/>
                          </w:rPr>
                          <m:t>10000</m:t>
                        </m:r>
                      </m:den>
                    </m:f>
                  </m:e>
                </m:d>
              </m:oMath>
            </m:oMathPara>
          </w:p>
          <w:p w14:paraId="7662733C" w14:textId="77777777" w:rsidR="00774216" w:rsidRPr="009C5AD2" w:rsidRDefault="00774216" w:rsidP="00052543">
            <w:pPr>
              <w:widowControl/>
              <w:jc w:val="left"/>
              <w:textAlignment w:val="baseline"/>
              <w:rPr>
                <w:rFonts w:asciiTheme="majorBidi" w:eastAsia="Times New Roman" w:hAnsiTheme="majorBidi" w:cstheme="majorBidi"/>
                <w:noProof/>
                <w:kern w:val="0"/>
                <w:sz w:val="20"/>
                <w:szCs w:val="20"/>
                <w:lang w:eastAsia="en-US"/>
              </w:rPr>
            </w:pPr>
          </w:p>
          <w:p w14:paraId="3D8419F5" w14:textId="2003FC18" w:rsidR="00774216" w:rsidRPr="009C5AD2" w:rsidRDefault="00774216" w:rsidP="00774216">
            <w:pPr>
              <w:widowControl/>
              <w:jc w:val="left"/>
              <w:textAlignment w:val="baseline"/>
              <w:rPr>
                <w:rFonts w:asciiTheme="majorBidi" w:eastAsia="Times New Roman" w:hAnsiTheme="majorBidi" w:cstheme="majorBidi"/>
                <w:noProof/>
                <w:kern w:val="0"/>
                <w:sz w:val="18"/>
                <w:szCs w:val="18"/>
                <w:lang w:eastAsia="en-US"/>
              </w:rPr>
            </w:pPr>
            <w:r>
              <w:rPr>
                <w:rFonts w:asciiTheme="majorBidi" w:eastAsia="Times New Roman" w:hAnsiTheme="majorBidi" w:cstheme="majorBidi"/>
                <w:noProof/>
                <w:kern w:val="0"/>
                <w:sz w:val="18"/>
                <w:szCs w:val="18"/>
                <w:lang w:eastAsia="en-US"/>
              </w:rPr>
              <w:t>aij = area (m2) of patch ij.</w:t>
            </w:r>
          </w:p>
          <w:p w14:paraId="00279E97" w14:textId="484C1967" w:rsidR="00CB5B35" w:rsidRPr="009C5AD2" w:rsidRDefault="00CB5B35" w:rsidP="00052543">
            <w:pPr>
              <w:widowControl/>
              <w:jc w:val="left"/>
              <w:textAlignment w:val="baseline"/>
              <w:rPr>
                <w:rFonts w:asciiTheme="majorBidi" w:eastAsia="Times New Roman" w:hAnsiTheme="majorBidi" w:cstheme="majorBidi"/>
                <w:noProof/>
                <w:kern w:val="0"/>
                <w:sz w:val="20"/>
                <w:szCs w:val="20"/>
                <w:lang w:eastAsia="en-US"/>
              </w:rPr>
            </w:pPr>
          </w:p>
        </w:tc>
        <w:tc>
          <w:tcPr>
            <w:tcW w:w="4950" w:type="dxa"/>
            <w:tcBorders>
              <w:top w:val="single" w:sz="6" w:space="0" w:color="auto"/>
              <w:left w:val="single" w:sz="6" w:space="0" w:color="auto"/>
              <w:bottom w:val="single" w:sz="6" w:space="0" w:color="auto"/>
              <w:right w:val="single" w:sz="6" w:space="0" w:color="auto"/>
            </w:tcBorders>
          </w:tcPr>
          <w:p w14:paraId="0AFBB4A4" w14:textId="5D346A40" w:rsidR="005013AA" w:rsidRPr="009C5AD2" w:rsidRDefault="00774216"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The range in AREA is limited by the grain and extent of the image; in a particular application, AREA may be further limited by the specification of a minimum patch size that is larger than the grain.</w:t>
            </w:r>
          </w:p>
        </w:tc>
        <w:tc>
          <w:tcPr>
            <w:tcW w:w="1460" w:type="dxa"/>
            <w:tcBorders>
              <w:top w:val="single" w:sz="6" w:space="0" w:color="auto"/>
              <w:left w:val="single" w:sz="6" w:space="0" w:color="auto"/>
              <w:bottom w:val="single" w:sz="6" w:space="0" w:color="auto"/>
              <w:right w:val="single" w:sz="6" w:space="0" w:color="auto"/>
            </w:tcBorders>
          </w:tcPr>
          <w:p w14:paraId="4EAD5D0C" w14:textId="77777777" w:rsidR="005013AA" w:rsidRPr="009C5AD2" w:rsidRDefault="00774216" w:rsidP="00CB0DEB">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6"/>
                <w:szCs w:val="16"/>
                <w:lang w:eastAsia="en-US"/>
              </w:rPr>
              <w:t>Hectares</w:t>
            </w:r>
          </w:p>
          <w:p w14:paraId="754DAA61" w14:textId="023DBB93" w:rsidR="00774216" w:rsidRPr="009C5AD2" w:rsidRDefault="00774216" w:rsidP="00774216">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6"/>
                <w:szCs w:val="16"/>
                <w:lang w:eastAsia="en-US"/>
              </w:rPr>
              <w:t>AREA &gt; 0, without limit.</w:t>
            </w:r>
          </w:p>
        </w:tc>
      </w:tr>
      <w:tr w:rsidR="00CB0DEB" w:rsidRPr="009C5AD2" w14:paraId="7CB8D677"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vAlign w:val="center"/>
            <w:hideMark/>
          </w:tcPr>
          <w:p w14:paraId="67578203" w14:textId="77777777" w:rsidR="00CB0DEB" w:rsidRPr="009C5AD2" w:rsidRDefault="00CB0DEB" w:rsidP="00CB0DEB">
            <w:pPr>
              <w:widowControl/>
              <w:jc w:val="left"/>
              <w:rPr>
                <w:rFonts w:asciiTheme="majorBidi" w:eastAsia="Times New Roman" w:hAnsiTheme="majorBidi" w:cstheme="majorBidi"/>
                <w:kern w:val="0"/>
                <w:sz w:val="18"/>
                <w:szCs w:val="18"/>
                <w:lang w:eastAsia="en-US"/>
              </w:rPr>
            </w:pPr>
          </w:p>
        </w:tc>
        <w:tc>
          <w:tcPr>
            <w:tcW w:w="1350" w:type="dxa"/>
            <w:tcBorders>
              <w:top w:val="single" w:sz="6" w:space="0" w:color="auto"/>
              <w:left w:val="single" w:sz="6" w:space="0" w:color="auto"/>
              <w:bottom w:val="single" w:sz="6" w:space="0" w:color="auto"/>
              <w:right w:val="single" w:sz="6" w:space="0" w:color="auto"/>
            </w:tcBorders>
            <w:hideMark/>
          </w:tcPr>
          <w:p w14:paraId="2323A3DA"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Largest Patch Index (LPI) </w:t>
            </w:r>
          </w:p>
        </w:tc>
        <w:tc>
          <w:tcPr>
            <w:tcW w:w="4770" w:type="dxa"/>
            <w:tcBorders>
              <w:top w:val="single" w:sz="6" w:space="0" w:color="auto"/>
              <w:left w:val="single" w:sz="6" w:space="0" w:color="auto"/>
              <w:bottom w:val="single" w:sz="6" w:space="0" w:color="auto"/>
              <w:right w:val="single" w:sz="6" w:space="0" w:color="auto"/>
            </w:tcBorders>
            <w:hideMark/>
          </w:tcPr>
          <w:p w14:paraId="3F14DD8A" w14:textId="5D33B35A"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kern w:val="0"/>
                  <w:sz w:val="20"/>
                  <w:szCs w:val="20"/>
                  <w:lang w:eastAsia="en-US"/>
                </w:rPr>
                <m:t>LPI=</m:t>
              </m:r>
              <m:f>
                <m:fPr>
                  <m:ctrlPr>
                    <w:rPr>
                      <w:rFonts w:ascii="Cambria Math" w:eastAsia="Times New Roman" w:hAnsi="Cambria Math" w:cstheme="majorBidi"/>
                      <w:i/>
                      <w:kern w:val="0"/>
                      <w:sz w:val="20"/>
                      <w:szCs w:val="20"/>
                      <w:lang w:eastAsia="en-US"/>
                    </w:rPr>
                  </m:ctrlPr>
                </m:fPr>
                <m:num>
                  <m:limLow>
                    <m:limLowPr>
                      <m:ctrlPr>
                        <w:rPr>
                          <w:rFonts w:ascii="Cambria Math" w:eastAsia="Times New Roman" w:hAnsi="Cambria Math" w:cstheme="majorBidi"/>
                          <w:i/>
                          <w:kern w:val="0"/>
                          <w:sz w:val="20"/>
                          <w:szCs w:val="20"/>
                          <w:lang w:eastAsia="en-US"/>
                        </w:rPr>
                      </m:ctrlPr>
                    </m:limLowPr>
                    <m:e>
                      <m:r>
                        <w:rPr>
                          <w:rFonts w:ascii="Cambria Math" w:eastAsia="Times New Roman" w:hAnsi="Cambria Math" w:cstheme="majorBidi"/>
                          <w:kern w:val="0"/>
                          <w:sz w:val="20"/>
                          <w:szCs w:val="20"/>
                          <w:lang w:eastAsia="en-US"/>
                        </w:rPr>
                        <m:t>max</m:t>
                      </m:r>
                    </m:e>
                    <m:lim>
                      <m:r>
                        <w:rPr>
                          <w:rFonts w:ascii="Cambria Math" w:eastAsia="Times New Roman" w:hAnsi="Cambria Math" w:cstheme="majorBidi"/>
                          <w:kern w:val="0"/>
                          <w:sz w:val="20"/>
                          <w:szCs w:val="20"/>
                          <w:lang w:eastAsia="en-US"/>
                        </w:rPr>
                        <m:t>j=1</m:t>
                      </m:r>
                    </m:lim>
                  </m:limLow>
                  <m:d>
                    <m:dPr>
                      <m:ctrlPr>
                        <w:rPr>
                          <w:rFonts w:ascii="Cambria Math" w:eastAsia="Times New Roman" w:hAnsi="Cambria Math" w:cstheme="majorBidi"/>
                          <w:i/>
                          <w:kern w:val="0"/>
                          <w:sz w:val="20"/>
                          <w:szCs w:val="20"/>
                          <w:lang w:eastAsia="en-US"/>
                        </w:rPr>
                      </m:ctrlPr>
                    </m:dPr>
                    <m:e>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a</m:t>
                          </m:r>
                        </m:e>
                        <m:sub>
                          <m:r>
                            <w:rPr>
                              <w:rFonts w:ascii="Cambria Math" w:eastAsia="Times New Roman" w:hAnsi="Cambria Math" w:cstheme="majorBidi"/>
                              <w:kern w:val="0"/>
                              <w:sz w:val="20"/>
                              <w:szCs w:val="20"/>
                              <w:lang w:eastAsia="en-US"/>
                            </w:rPr>
                            <m:t>i</m:t>
                          </m:r>
                          <m:acc>
                            <m:accPr>
                              <m:chr m:val="̇"/>
                              <m:ctrlPr>
                                <w:rPr>
                                  <w:rFonts w:ascii="Cambria Math" w:eastAsia="Times New Roman" w:hAnsi="Cambria Math" w:cstheme="majorBidi"/>
                                  <w:i/>
                                  <w:kern w:val="0"/>
                                  <w:sz w:val="20"/>
                                  <w:szCs w:val="20"/>
                                  <w:lang w:eastAsia="en-US"/>
                                </w:rPr>
                              </m:ctrlPr>
                            </m:accPr>
                            <m:e>
                              <m:r>
                                <w:rPr>
                                  <w:rFonts w:ascii="Cambria Math" w:eastAsia="Times New Roman" w:hAnsi="Cambria Math" w:cstheme="majorBidi"/>
                                  <w:kern w:val="0"/>
                                  <w:sz w:val="20"/>
                                  <w:szCs w:val="20"/>
                                  <w:lang w:eastAsia="en-US"/>
                                </w:rPr>
                                <m:t>J</m:t>
                              </m:r>
                            </m:e>
                          </m:acc>
                        </m:sub>
                      </m:sSub>
                    </m:e>
                  </m:d>
                </m:num>
                <m:den>
                  <m:r>
                    <w:rPr>
                      <w:rFonts w:ascii="Cambria Math" w:eastAsia="Times New Roman" w:hAnsi="Cambria Math" w:cstheme="majorBidi"/>
                      <w:kern w:val="0"/>
                      <w:sz w:val="20"/>
                      <w:szCs w:val="20"/>
                      <w:lang w:eastAsia="en-US"/>
                    </w:rPr>
                    <m:t>A</m:t>
                  </m:r>
                </m:den>
              </m:f>
              <m:d>
                <m:dPr>
                  <m:ctrlPr>
                    <w:rPr>
                      <w:rFonts w:ascii="Cambria Math" w:eastAsia="Times New Roman" w:hAnsi="Cambria Math" w:cstheme="majorBidi"/>
                      <w:i/>
                      <w:kern w:val="0"/>
                      <w:sz w:val="20"/>
                      <w:szCs w:val="20"/>
                      <w:lang w:eastAsia="en-US"/>
                    </w:rPr>
                  </m:ctrlPr>
                </m:dPr>
                <m:e>
                  <m:r>
                    <w:rPr>
                      <w:rFonts w:ascii="Cambria Math" w:eastAsia="Times New Roman" w:hAnsi="Cambria Math" w:cstheme="majorBidi"/>
                      <w:kern w:val="0"/>
                      <w:sz w:val="20"/>
                      <w:szCs w:val="20"/>
                      <w:lang w:eastAsia="en-US"/>
                    </w:rPr>
                    <m:t>100</m:t>
                  </m:r>
                </m:e>
              </m:d>
            </m:oMath>
          </w:p>
          <w:p w14:paraId="4FD3EDCC" w14:textId="0AB47BF2" w:rsidR="00CB0DEB" w:rsidRPr="009C5AD2" w:rsidRDefault="00CB0DEB" w:rsidP="00CB0DEB">
            <w:pPr>
              <w:widowControl/>
              <w:jc w:val="left"/>
              <w:textAlignment w:val="baseline"/>
              <w:rPr>
                <w:rFonts w:asciiTheme="majorBidi" w:eastAsia="Times New Roman" w:hAnsiTheme="majorBidi" w:cstheme="majorBidi"/>
                <w:kern w:val="0"/>
                <w:sz w:val="20"/>
                <w:szCs w:val="20"/>
                <w:lang w:eastAsia="en-US"/>
              </w:rPr>
            </w:pPr>
          </w:p>
          <w:p w14:paraId="06D7205D" w14:textId="77777777" w:rsidR="00052543" w:rsidRPr="009C5AD2" w:rsidRDefault="00052543"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w:t>
            </w:r>
            <w:r>
              <w:rPr>
                <w:rFonts w:asciiTheme="majorBidi" w:eastAsia="Times New Roman" w:hAnsiTheme="majorBidi" w:cstheme="majorBidi"/>
                <w:kern w:val="0"/>
                <w:sz w:val="18"/>
                <w:szCs w:val="18"/>
                <w:vertAlign w:val="subscript"/>
                <w:lang w:eastAsia="en-US"/>
              </w:rPr>
              <w:t xml:space="preserve">ij </w:t>
            </w:r>
            <w:r>
              <w:rPr>
                <w:rFonts w:asciiTheme="majorBidi" w:eastAsia="Times New Roman" w:hAnsiTheme="majorBidi" w:cstheme="majorBidi"/>
                <w:kern w:val="0"/>
                <w:sz w:val="18"/>
                <w:szCs w:val="18"/>
                <w:lang w:eastAsia="en-US"/>
              </w:rPr>
              <w:t>=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 xml:space="preserve">) of patch ij.</w:t>
            </w:r>
          </w:p>
          <w:p w14:paraId="1E83BC85" w14:textId="59549A52" w:rsidR="00052543" w:rsidRPr="009C5AD2" w:rsidRDefault="00052543"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 total landscape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w:t>
            </w:r>
          </w:p>
        </w:tc>
        <w:tc>
          <w:tcPr>
            <w:tcW w:w="4950" w:type="dxa"/>
            <w:tcBorders>
              <w:top w:val="single" w:sz="6" w:space="0" w:color="auto"/>
              <w:left w:val="single" w:sz="6" w:space="0" w:color="auto"/>
              <w:bottom w:val="single" w:sz="6" w:space="0" w:color="auto"/>
              <w:right w:val="single" w:sz="6" w:space="0" w:color="auto"/>
            </w:tcBorders>
            <w:hideMark/>
          </w:tcPr>
          <w:p w14:paraId="3EE3F56F" w14:textId="77777777" w:rsidR="00CB0DEB" w:rsidRPr="009C5AD2" w:rsidRDefault="00CB0DEB" w:rsidP="00CB0DEB">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8"/>
                <w:szCs w:val="18"/>
                <w:lang w:eastAsia="en-US"/>
              </w:rPr>
              <w:t>Largest patch index quantifies the percentage of total landscape area comprised by the largest patch.  </w:t>
            </w:r>
          </w:p>
          <w:p w14:paraId="4A4B893A" w14:textId="77777777" w:rsidR="00CB0DEB" w:rsidRPr="009C5AD2" w:rsidRDefault="00CB0DEB" w:rsidP="005013AA">
            <w:pPr>
              <w:widowControl/>
              <w:numPr>
                <w:ilvl w:val="0"/>
                <w:numId w:val="4"/>
              </w:numPr>
              <w:tabs>
                <w:tab w:val="clear" w:pos="720"/>
              </w:tabs>
              <w:ind w:left="91" w:firstLine="0"/>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higher value indicates that the largest greenspace in an area occupies a higher proportion of the total land, and vice versa. </w:t>
            </w:r>
          </w:p>
          <w:p w14:paraId="4EDC511C" w14:textId="77777777" w:rsidR="00CB0DEB" w:rsidRPr="009C5AD2" w:rsidRDefault="00CB0DEB" w:rsidP="00CB0DEB">
            <w:pPr>
              <w:widowControl/>
              <w:ind w:left="330"/>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1460" w:type="dxa"/>
            <w:tcBorders>
              <w:top w:val="single" w:sz="6" w:space="0" w:color="auto"/>
              <w:left w:val="single" w:sz="6" w:space="0" w:color="auto"/>
              <w:bottom w:val="single" w:sz="6" w:space="0" w:color="auto"/>
              <w:right w:val="single" w:sz="6" w:space="0" w:color="auto"/>
            </w:tcBorders>
            <w:hideMark/>
          </w:tcPr>
          <w:p w14:paraId="75206D3F" w14:textId="77777777" w:rsidR="00CB0DEB" w:rsidRPr="009C5AD2" w:rsidRDefault="00CB0DEB" w:rsidP="00CB0DEB">
            <w:pPr>
              <w:widowControl/>
              <w:jc w:val="left"/>
              <w:textAlignment w:val="baseline"/>
              <w:rPr>
                <w:rFonts w:asciiTheme="majorBidi" w:eastAsia="Times New Roman" w:hAnsiTheme="majorBidi" w:cstheme="majorBidi"/>
                <w:kern w:val="0"/>
                <w:sz w:val="14"/>
                <w:szCs w:val="14"/>
                <w:lang w:eastAsia="en-US"/>
              </w:rPr>
            </w:pPr>
            <w:r>
              <w:rPr>
                <w:rFonts w:asciiTheme="majorBidi" w:eastAsia="Times New Roman" w:hAnsiTheme="majorBidi" w:cstheme="majorBidi"/>
                <w:kern w:val="0"/>
                <w:sz w:val="16"/>
                <w:szCs w:val="16"/>
                <w:lang w:eastAsia="en-US"/>
              </w:rPr>
              <w:t>Percent </w:t>
            </w:r>
          </w:p>
          <w:p w14:paraId="780BEE10"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 (0 &lt; LPI &lt; 100) </w:t>
            </w:r>
          </w:p>
        </w:tc>
      </w:tr>
      <w:tr w:rsidR="00CB0DEB" w:rsidRPr="009C5AD2" w14:paraId="3691CFEF" w14:textId="77777777" w:rsidTr="00E5580A">
        <w:trPr>
          <w:trHeight w:val="300"/>
        </w:trPr>
        <w:tc>
          <w:tcPr>
            <w:tcW w:w="1087" w:type="dxa"/>
            <w:vMerge w:val="restart"/>
            <w:tcBorders>
              <w:top w:val="single" w:sz="6" w:space="0" w:color="auto"/>
              <w:left w:val="single" w:sz="6" w:space="0" w:color="auto"/>
              <w:bottom w:val="single" w:sz="6" w:space="0" w:color="auto"/>
              <w:right w:val="single" w:sz="6" w:space="0" w:color="auto"/>
            </w:tcBorders>
            <w:hideMark/>
          </w:tcPr>
          <w:p w14:paraId="5A08A0C5"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kern w:val="0"/>
                <w:sz w:val="20"/>
                <w:szCs w:val="20"/>
                <w:lang w:eastAsia="en-US"/>
              </w:rPr>
              <w:t>Shape metrics:</w:t>
            </w:r>
            <w:r>
              <w:rPr>
                <w:rFonts w:asciiTheme="majorBidi" w:eastAsia="Times New Roman" w:hAnsiTheme="majorBidi" w:cstheme="majorBidi"/>
                <w:kern w:val="0"/>
                <w:sz w:val="20"/>
                <w:szCs w:val="20"/>
                <w:lang w:eastAsia="en-US"/>
              </w:rPr>
              <w:t> </w:t>
            </w:r>
          </w:p>
          <w:p w14:paraId="180C840E"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1350" w:type="dxa"/>
            <w:tcBorders>
              <w:top w:val="single" w:sz="6" w:space="0" w:color="auto"/>
              <w:left w:val="single" w:sz="6" w:space="0" w:color="auto"/>
              <w:bottom w:val="single" w:sz="6" w:space="0" w:color="auto"/>
              <w:right w:val="single" w:sz="6" w:space="0" w:color="auto"/>
            </w:tcBorders>
            <w:hideMark/>
          </w:tcPr>
          <w:p w14:paraId="3332C270"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Shape Index (SHAPE) </w:t>
            </w:r>
          </w:p>
        </w:tc>
        <w:tc>
          <w:tcPr>
            <w:tcW w:w="4770" w:type="dxa"/>
            <w:tcBorders>
              <w:top w:val="single" w:sz="6" w:space="0" w:color="auto"/>
              <w:left w:val="single" w:sz="6" w:space="0" w:color="auto"/>
              <w:bottom w:val="single" w:sz="6" w:space="0" w:color="auto"/>
              <w:right w:val="single" w:sz="6" w:space="0" w:color="auto"/>
            </w:tcBorders>
            <w:hideMark/>
          </w:tcPr>
          <w:p w14:paraId="3D5A02C0" w14:textId="58638CBC"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kern w:val="0"/>
                  <w:sz w:val="20"/>
                  <w:szCs w:val="20"/>
                  <w:lang w:eastAsia="en-US"/>
                </w:rPr>
                <m:t>SHAPE=</m:t>
              </m:r>
              <m:f>
                <m:fPr>
                  <m:ctrlPr>
                    <w:rPr>
                      <w:rFonts w:ascii="Cambria Math" w:eastAsia="Times New Roman" w:hAnsi="Cambria Math" w:cstheme="majorBidi"/>
                      <w:i/>
                      <w:kern w:val="0"/>
                      <w:sz w:val="20"/>
                      <w:szCs w:val="20"/>
                      <w:lang w:eastAsia="en-US"/>
                    </w:rPr>
                  </m:ctrlPr>
                </m:fPr>
                <m:num>
                  <m:r>
                    <w:rPr>
                      <w:rFonts w:ascii="Cambria Math" w:eastAsia="Times New Roman" w:hAnsi="Cambria Math" w:cstheme="majorBidi"/>
                      <w:kern w:val="0"/>
                      <w:sz w:val="20"/>
                      <w:szCs w:val="20"/>
                      <w:lang w:eastAsia="en-US"/>
                    </w:rPr>
                    <m:t>.25</m:t>
                  </m:r>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ij</m:t>
                      </m:r>
                    </m:sub>
                  </m:sSub>
                </m:num>
                <m:den>
                  <m:rad>
                    <m:radPr>
                      <m:degHide m:val="1"/>
                      <m:ctrlPr>
                        <w:rPr>
                          <w:rFonts w:ascii="Cambria Math" w:eastAsia="Times New Roman" w:hAnsi="Cambria Math" w:cstheme="majorBidi"/>
                          <w:i/>
                          <w:kern w:val="0"/>
                          <w:sz w:val="20"/>
                          <w:szCs w:val="20"/>
                          <w:lang w:eastAsia="en-US"/>
                        </w:rPr>
                      </m:ctrlPr>
                    </m:radPr>
                    <m:deg/>
                    <m:e>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a</m:t>
                          </m:r>
                        </m:e>
                        <m:sub>
                          <m:r>
                            <w:rPr>
                              <w:rFonts w:ascii="Cambria Math" w:eastAsia="Times New Roman" w:hAnsi="Cambria Math" w:cstheme="majorBidi"/>
                              <w:kern w:val="0"/>
                              <w:sz w:val="20"/>
                              <w:szCs w:val="20"/>
                              <w:lang w:eastAsia="en-US"/>
                            </w:rPr>
                            <m:t>ij</m:t>
                          </m:r>
                        </m:sub>
                      </m:sSub>
                    </m:e>
                  </m:rad>
                </m:den>
              </m:f>
            </m:oMath>
          </w:p>
          <w:p w14:paraId="28C61B61" w14:textId="4602E922" w:rsidR="00CB0DEB" w:rsidRPr="009C5AD2" w:rsidRDefault="00CB0DEB" w:rsidP="00666B26">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p w14:paraId="008A145A" w14:textId="0F12B2BB" w:rsidR="00774216" w:rsidRPr="009C5AD2" w:rsidRDefault="00666B26"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p</w:t>
            </w:r>
            <w:r>
              <w:rPr>
                <w:rFonts w:asciiTheme="majorBidi" w:eastAsia="Times New Roman" w:hAnsiTheme="majorBidi" w:cstheme="majorBidi"/>
                <w:kern w:val="0"/>
                <w:sz w:val="18"/>
                <w:szCs w:val="18"/>
                <w:vertAlign w:val="subscript"/>
                <w:lang w:eastAsia="en-US"/>
              </w:rPr>
              <w:t>ij</w:t>
            </w:r>
            <w:r>
              <w:rPr>
                <w:rFonts w:asciiTheme="majorBidi" w:eastAsia="Times New Roman" w:hAnsiTheme="majorBidi" w:cstheme="majorBidi"/>
                <w:kern w:val="0"/>
                <w:sz w:val="18"/>
                <w:szCs w:val="18"/>
                <w:lang w:eastAsia="en-US"/>
              </w:rPr>
              <w:t xml:space="preserve"> = perimeter (m) of patch ij.</w:t>
            </w:r>
          </w:p>
          <w:p w14:paraId="45BF537B" w14:textId="75F11F41" w:rsidR="00666B26" w:rsidRPr="009C5AD2" w:rsidRDefault="00666B26"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w:t>
            </w:r>
            <w:r>
              <w:rPr>
                <w:rFonts w:asciiTheme="majorBidi" w:eastAsia="Times New Roman" w:hAnsiTheme="majorBidi" w:cstheme="majorBidi"/>
                <w:kern w:val="0"/>
                <w:sz w:val="18"/>
                <w:szCs w:val="18"/>
                <w:vertAlign w:val="subscript"/>
                <w:lang w:eastAsia="en-US"/>
              </w:rPr>
              <w:t>ij</w:t>
            </w:r>
            <w:r>
              <w:rPr>
                <w:rFonts w:asciiTheme="majorBidi" w:eastAsia="Times New Roman" w:hAnsiTheme="majorBidi" w:cstheme="majorBidi"/>
                <w:kern w:val="0"/>
                <w:sz w:val="18"/>
                <w:szCs w:val="18"/>
                <w:lang w:eastAsia="en-US"/>
              </w:rPr>
              <w:t xml:space="preserve"> =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 xml:space="preserve">) of patch ij.</w:t>
            </w:r>
          </w:p>
        </w:tc>
        <w:tc>
          <w:tcPr>
            <w:tcW w:w="4950" w:type="dxa"/>
            <w:tcBorders>
              <w:top w:val="single" w:sz="6" w:space="0" w:color="auto"/>
              <w:left w:val="single" w:sz="6" w:space="0" w:color="auto"/>
              <w:bottom w:val="single" w:sz="6" w:space="0" w:color="auto"/>
              <w:right w:val="single" w:sz="6" w:space="0" w:color="auto"/>
            </w:tcBorders>
            <w:hideMark/>
          </w:tcPr>
          <w:p w14:paraId="57F27C7C"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SHAPE equals patch perimeter (m) divided by the square root of patch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 adjusted by a constant to adjust for a square standard. </w:t>
            </w:r>
          </w:p>
          <w:p w14:paraId="0C9E82FB" w14:textId="77777777" w:rsidR="00CB0DEB" w:rsidRPr="009C5AD2" w:rsidRDefault="00CB0DEB" w:rsidP="00666B26">
            <w:pPr>
              <w:widowControl/>
              <w:numPr>
                <w:ilvl w:val="0"/>
                <w:numId w:val="5"/>
              </w:numPr>
              <w:tabs>
                <w:tab w:val="clear" w:pos="720"/>
              </w:tabs>
              <w:ind w:left="181" w:firstLine="0"/>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18"/>
                <w:szCs w:val="18"/>
                <w:lang w:eastAsia="en-US"/>
              </w:rPr>
              <w:t>A higher value signifies a more complex shape of greenspace, and vice versa.</w:t>
            </w:r>
            <w:r>
              <w:rPr>
                <w:rFonts w:asciiTheme="majorBidi" w:eastAsia="Times New Roman" w:hAnsiTheme="majorBidi" w:cstheme="majorBidi"/>
                <w:kern w:val="0"/>
                <w:sz w:val="20"/>
                <w:szCs w:val="20"/>
                <w:lang w:eastAsia="en-US"/>
              </w:rPr>
              <w:t> </w:t>
            </w:r>
          </w:p>
        </w:tc>
        <w:tc>
          <w:tcPr>
            <w:tcW w:w="1460" w:type="dxa"/>
            <w:tcBorders>
              <w:top w:val="single" w:sz="6" w:space="0" w:color="auto"/>
              <w:left w:val="single" w:sz="6" w:space="0" w:color="auto"/>
              <w:bottom w:val="single" w:sz="6" w:space="0" w:color="auto"/>
              <w:right w:val="single" w:sz="6" w:space="0" w:color="auto"/>
            </w:tcBorders>
            <w:hideMark/>
          </w:tcPr>
          <w:p w14:paraId="38139A2C" w14:textId="77777777" w:rsidR="00CB0DEB" w:rsidRPr="009C5AD2" w:rsidRDefault="00CB0DEB" w:rsidP="00CB0DEB">
            <w:pPr>
              <w:widowControl/>
              <w:jc w:val="left"/>
              <w:textAlignment w:val="baseline"/>
              <w:rPr>
                <w:rFonts w:asciiTheme="majorBidi" w:eastAsia="Times New Roman" w:hAnsiTheme="majorBidi" w:cstheme="majorBidi"/>
                <w:kern w:val="0"/>
                <w:sz w:val="14"/>
                <w:szCs w:val="14"/>
                <w:lang w:eastAsia="en-US"/>
              </w:rPr>
            </w:pPr>
            <w:r>
              <w:rPr>
                <w:rFonts w:asciiTheme="majorBidi" w:eastAsia="Times New Roman" w:hAnsiTheme="majorBidi" w:cstheme="majorBidi"/>
                <w:kern w:val="0"/>
                <w:sz w:val="16"/>
                <w:szCs w:val="16"/>
                <w:lang w:eastAsia="en-US"/>
              </w:rPr>
              <w:t>None </w:t>
            </w:r>
          </w:p>
          <w:p w14:paraId="630E4C4B"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 (SHAPE &gt; 1, without limit.) </w:t>
            </w:r>
          </w:p>
        </w:tc>
      </w:tr>
      <w:tr w:rsidR="00CB0DEB" w:rsidRPr="009C5AD2" w14:paraId="0EAC7C3A"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vAlign w:val="center"/>
            <w:hideMark/>
          </w:tcPr>
          <w:p w14:paraId="12E2D2E0" w14:textId="77777777" w:rsidR="00CB0DEB" w:rsidRPr="009C5AD2" w:rsidRDefault="00CB0DEB" w:rsidP="00CB0DEB">
            <w:pPr>
              <w:widowControl/>
              <w:jc w:val="left"/>
              <w:rPr>
                <w:rFonts w:asciiTheme="majorBidi" w:eastAsia="Times New Roman" w:hAnsiTheme="majorBidi" w:cstheme="majorBidi"/>
                <w:kern w:val="0"/>
                <w:sz w:val="18"/>
                <w:szCs w:val="18"/>
                <w:lang w:eastAsia="en-US"/>
              </w:rPr>
            </w:pPr>
          </w:p>
        </w:tc>
        <w:tc>
          <w:tcPr>
            <w:tcW w:w="1350" w:type="dxa"/>
            <w:tcBorders>
              <w:top w:val="single" w:sz="6" w:space="0" w:color="auto"/>
              <w:left w:val="single" w:sz="6" w:space="0" w:color="auto"/>
              <w:bottom w:val="single" w:sz="6" w:space="0" w:color="auto"/>
              <w:right w:val="single" w:sz="6" w:space="0" w:color="auto"/>
            </w:tcBorders>
            <w:hideMark/>
          </w:tcPr>
          <w:p w14:paraId="22C0A70E"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Edge Density (ED) </w:t>
            </w:r>
          </w:p>
        </w:tc>
        <w:tc>
          <w:tcPr>
            <w:tcW w:w="4770" w:type="dxa"/>
            <w:tcBorders>
              <w:top w:val="single" w:sz="6" w:space="0" w:color="auto"/>
              <w:left w:val="single" w:sz="6" w:space="0" w:color="auto"/>
              <w:bottom w:val="single" w:sz="6" w:space="0" w:color="auto"/>
              <w:right w:val="single" w:sz="6" w:space="0" w:color="auto"/>
            </w:tcBorders>
            <w:hideMark/>
          </w:tcPr>
          <w:p w14:paraId="53D58918" w14:textId="34A7FB7B"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kern w:val="0"/>
                  <w:sz w:val="20"/>
                  <w:szCs w:val="20"/>
                  <w:lang w:eastAsia="en-US"/>
                </w:rPr>
                <m:t>ED=</m:t>
              </m:r>
              <m:f>
                <m:fPr>
                  <m:ctrlPr>
                    <w:rPr>
                      <w:rFonts w:ascii="Cambria Math" w:eastAsia="Times New Roman" w:hAnsi="Cambria Math" w:cstheme="majorBidi"/>
                      <w:i/>
                      <w:kern w:val="0"/>
                      <w:sz w:val="20"/>
                      <w:szCs w:val="20"/>
                      <w:lang w:eastAsia="en-US"/>
                    </w:rPr>
                  </m:ctrlPr>
                </m:fPr>
                <m:num>
                  <m:r>
                    <w:rPr>
                      <w:rFonts w:ascii="Cambria Math" w:eastAsia="Times New Roman" w:hAnsi="Cambria Math" w:cstheme="majorBidi"/>
                      <w:kern w:val="0"/>
                      <w:sz w:val="20"/>
                      <w:szCs w:val="20"/>
                      <w:lang w:eastAsia="en-US"/>
                    </w:rPr>
                    <m:t>E</m:t>
                  </m:r>
                </m:num>
                <m:den>
                  <m:r>
                    <w:rPr>
                      <w:rFonts w:ascii="Cambria Math" w:eastAsia="Times New Roman" w:hAnsi="Cambria Math" w:cstheme="majorBidi"/>
                      <w:kern w:val="0"/>
                      <w:sz w:val="20"/>
                      <w:szCs w:val="20"/>
                      <w:lang w:eastAsia="en-US"/>
                    </w:rPr>
                    <m:t>A</m:t>
                  </m:r>
                </m:den>
              </m:f>
              <m:d>
                <m:dPr>
                  <m:ctrlPr>
                    <w:rPr>
                      <w:rFonts w:ascii="Cambria Math" w:eastAsia="Times New Roman" w:hAnsi="Cambria Math" w:cstheme="majorBidi"/>
                      <w:i/>
                      <w:kern w:val="0"/>
                      <w:sz w:val="20"/>
                      <w:szCs w:val="20"/>
                      <w:lang w:eastAsia="en-US"/>
                    </w:rPr>
                  </m:ctrlPr>
                </m:dPr>
                <m:e>
                  <m:r>
                    <w:rPr>
                      <w:rFonts w:ascii="Cambria Math" w:eastAsia="Times New Roman" w:hAnsi="Cambria Math" w:cstheme="majorBidi"/>
                      <w:kern w:val="0"/>
                      <w:sz w:val="20"/>
                      <w:szCs w:val="20"/>
                      <w:lang w:eastAsia="en-US"/>
                    </w:rPr>
                    <m:t>10,000</m:t>
                  </m:r>
                </m:e>
              </m:d>
            </m:oMath>
          </w:p>
          <w:p w14:paraId="3C955F25" w14:textId="0F36AC34" w:rsidR="00CB0DEB" w:rsidRPr="009C5AD2" w:rsidRDefault="00CB0DEB"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 </w:t>
            </w:r>
          </w:p>
          <w:p w14:paraId="32B0DB1A" w14:textId="77777777" w:rsidR="00666B26" w:rsidRPr="009C5AD2" w:rsidRDefault="00666B26"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E = total length (m) of edge in landscape.</w:t>
            </w:r>
          </w:p>
          <w:p w14:paraId="41F942B9" w14:textId="26A7E7F3" w:rsidR="00666B26" w:rsidRPr="009C5AD2" w:rsidRDefault="00666B26"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 total landscape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w:t>
            </w:r>
          </w:p>
        </w:tc>
        <w:tc>
          <w:tcPr>
            <w:tcW w:w="4950" w:type="dxa"/>
            <w:tcBorders>
              <w:top w:val="single" w:sz="6" w:space="0" w:color="auto"/>
              <w:left w:val="single" w:sz="6" w:space="0" w:color="auto"/>
              <w:bottom w:val="single" w:sz="6" w:space="0" w:color="auto"/>
              <w:right w:val="single" w:sz="6" w:space="0" w:color="auto"/>
            </w:tcBorders>
            <w:hideMark/>
          </w:tcPr>
          <w:p w14:paraId="3DBAB79B" w14:textId="2C292049" w:rsidR="00CB0DEB" w:rsidRPr="009C5AD2" w:rsidRDefault="00CB0DEB" w:rsidP="00666B26">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ED equals the sum of the lengths (m) of all edge segments in the landscape, divided by the total landscape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 multiplied by 10,000 (to convert to hectares).  </w:t>
            </w:r>
            <w:r>
              <w:rPr>
                <w:rFonts w:asciiTheme="majorBidi" w:eastAsia="Times New Roman" w:hAnsiTheme="majorBidi" w:cstheme="majorBidi"/>
                <w:kern w:val="0"/>
                <w:sz w:val="20"/>
                <w:szCs w:val="20"/>
                <w:lang w:eastAsia="en-US"/>
              </w:rPr>
              <w:t> </w:t>
            </w:r>
          </w:p>
        </w:tc>
        <w:tc>
          <w:tcPr>
            <w:tcW w:w="1460" w:type="dxa"/>
            <w:tcBorders>
              <w:top w:val="single" w:sz="6" w:space="0" w:color="auto"/>
              <w:left w:val="single" w:sz="6" w:space="0" w:color="auto"/>
              <w:bottom w:val="single" w:sz="6" w:space="0" w:color="auto"/>
              <w:right w:val="single" w:sz="6" w:space="0" w:color="auto"/>
            </w:tcBorders>
            <w:hideMark/>
          </w:tcPr>
          <w:p w14:paraId="3F228D6D" w14:textId="77777777" w:rsidR="00CB0DEB" w:rsidRPr="009C5AD2" w:rsidRDefault="00CB0DEB" w:rsidP="00CB0DEB">
            <w:pPr>
              <w:widowControl/>
              <w:jc w:val="left"/>
              <w:textAlignment w:val="baseline"/>
              <w:rPr>
                <w:rFonts w:asciiTheme="majorBidi" w:eastAsia="Times New Roman" w:hAnsiTheme="majorBidi" w:cstheme="majorBidi"/>
                <w:kern w:val="0"/>
                <w:sz w:val="14"/>
                <w:szCs w:val="14"/>
                <w:lang w:eastAsia="en-US"/>
              </w:rPr>
            </w:pPr>
            <w:r>
              <w:rPr>
                <w:rFonts w:asciiTheme="majorBidi" w:eastAsia="Times New Roman" w:hAnsiTheme="majorBidi" w:cstheme="majorBidi"/>
                <w:kern w:val="0"/>
                <w:sz w:val="16"/>
                <w:szCs w:val="16"/>
                <w:lang w:eastAsia="en-US"/>
              </w:rPr>
              <w:t>Meters per hectare </w:t>
            </w:r>
          </w:p>
          <w:p w14:paraId="2B985974"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(ED &gt;= 0, without limit.) </w:t>
            </w:r>
          </w:p>
        </w:tc>
      </w:tr>
      <w:tr w:rsidR="00CB0DEB" w:rsidRPr="009C5AD2" w14:paraId="08F781A7"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vAlign w:val="center"/>
            <w:hideMark/>
          </w:tcPr>
          <w:p w14:paraId="0A2682AF" w14:textId="77777777" w:rsidR="00CB0DEB" w:rsidRPr="009C5AD2" w:rsidRDefault="00CB0DEB" w:rsidP="00CB0DEB">
            <w:pPr>
              <w:widowControl/>
              <w:jc w:val="left"/>
              <w:rPr>
                <w:rFonts w:asciiTheme="majorBidi" w:eastAsia="Times New Roman" w:hAnsiTheme="majorBidi" w:cstheme="majorBidi"/>
                <w:kern w:val="0"/>
                <w:sz w:val="18"/>
                <w:szCs w:val="18"/>
                <w:lang w:eastAsia="en-US"/>
              </w:rPr>
            </w:pPr>
          </w:p>
        </w:tc>
        <w:tc>
          <w:tcPr>
            <w:tcW w:w="1350" w:type="dxa"/>
            <w:tcBorders>
              <w:top w:val="single" w:sz="6" w:space="0" w:color="auto"/>
              <w:left w:val="single" w:sz="6" w:space="0" w:color="auto"/>
              <w:bottom w:val="single" w:sz="6" w:space="0" w:color="auto"/>
              <w:right w:val="single" w:sz="6" w:space="0" w:color="auto"/>
            </w:tcBorders>
            <w:hideMark/>
          </w:tcPr>
          <w:p w14:paraId="091163F3" w14:textId="77777777" w:rsidR="00CB0DEB" w:rsidRPr="009C5AD2" w:rsidRDefault="002914F8"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Edge Contrast Index</w:t>
            </w:r>
          </w:p>
          <w:p w14:paraId="02701D3D" w14:textId="15CE9925" w:rsidR="002914F8" w:rsidRPr="009C5AD2" w:rsidRDefault="002914F8"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(ECON)</w:t>
            </w:r>
          </w:p>
        </w:tc>
        <w:tc>
          <w:tcPr>
            <w:tcW w:w="4770" w:type="dxa"/>
            <w:tcBorders>
              <w:top w:val="single" w:sz="6" w:space="0" w:color="auto"/>
              <w:left w:val="single" w:sz="6" w:space="0" w:color="auto"/>
              <w:bottom w:val="single" w:sz="6" w:space="0" w:color="auto"/>
              <w:right w:val="single" w:sz="6" w:space="0" w:color="auto"/>
            </w:tcBorders>
            <w:hideMark/>
          </w:tcPr>
          <w:p w14:paraId="221E6057" w14:textId="5B1C1C3B"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kern w:val="0"/>
                  <w:sz w:val="20"/>
                  <w:szCs w:val="20"/>
                  <w:lang w:eastAsia="en-US"/>
                </w:rPr>
                <m:t>ECON=</m:t>
              </m:r>
              <m:d>
                <m:dPr>
                  <m:ctrlPr>
                    <w:rPr>
                      <w:rFonts w:ascii="Cambria Math" w:eastAsia="Times New Roman" w:hAnsi="Cambria Math" w:cstheme="majorBidi"/>
                      <w:i/>
                      <w:kern w:val="0"/>
                      <w:sz w:val="20"/>
                      <w:szCs w:val="20"/>
                      <w:lang w:eastAsia="en-US"/>
                    </w:rPr>
                  </m:ctrlPr>
                </m:dPr>
                <m:e>
                  <m:f>
                    <m:fPr>
                      <m:ctrlPr>
                        <w:rPr>
                          <w:rFonts w:ascii="Cambria Math" w:eastAsia="Times New Roman" w:hAnsi="Cambria Math" w:cstheme="majorBidi"/>
                          <w:i/>
                          <w:kern w:val="0"/>
                          <w:sz w:val="20"/>
                          <w:szCs w:val="20"/>
                          <w:lang w:eastAsia="en-US"/>
                        </w:rPr>
                      </m:ctrlPr>
                    </m:fPr>
                    <m:num>
                      <m:nary>
                        <m:naryPr>
                          <m:chr m:val="∑"/>
                          <m:limLoc m:val="undOvr"/>
                          <m:grow m:val="1"/>
                          <m:ctrlPr>
                            <w:rPr>
                              <w:rFonts w:ascii="Cambria Math" w:eastAsia="Times New Roman" w:hAnsi="Cambria Math" w:cstheme="majorBidi"/>
                              <w:i/>
                              <w:kern w:val="0"/>
                              <w:sz w:val="20"/>
                              <w:szCs w:val="20"/>
                              <w:lang w:eastAsia="en-US"/>
                            </w:rPr>
                          </m:ctrlPr>
                        </m:naryPr>
                        <m:sub>
                          <m:r>
                            <w:rPr>
                              <w:rFonts w:ascii="Cambria Math" w:eastAsia="Times New Roman" w:hAnsi="Cambria Math" w:cstheme="majorBidi"/>
                              <w:kern w:val="0"/>
                              <w:sz w:val="20"/>
                              <w:szCs w:val="20"/>
                              <w:lang w:eastAsia="en-US"/>
                            </w:rPr>
                            <m:t>k=1</m:t>
                          </m:r>
                        </m:sub>
                        <m:sup>
                          <m:r>
                            <w:rPr>
                              <w:rFonts w:ascii="Cambria Math" w:eastAsia="Times New Roman" w:hAnsi="Cambria Math" w:cstheme="majorBidi"/>
                              <w:kern w:val="0"/>
                              <w:sz w:val="20"/>
                              <w:szCs w:val="20"/>
                              <w:lang w:eastAsia="en-US"/>
                            </w:rPr>
                            <m:t>m</m:t>
                          </m:r>
                        </m:sup>
                        <m:e>
                          <m:d>
                            <m:dPr>
                              <m:ctrlPr>
                                <w:rPr>
                                  <w:rFonts w:ascii="Cambria Math" w:eastAsia="Times New Roman" w:hAnsi="Cambria Math" w:cstheme="majorBidi"/>
                                  <w:i/>
                                  <w:kern w:val="0"/>
                                  <w:sz w:val="20"/>
                                  <w:szCs w:val="20"/>
                                  <w:lang w:eastAsia="en-US"/>
                                </w:rPr>
                              </m:ctrlPr>
                            </m:dPr>
                            <m:e>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ijk</m:t>
                                  </m:r>
                                </m:sub>
                              </m:sSub>
                              <m:r>
                                <w:rPr>
                                  <w:rFonts w:ascii="Cambria Math" w:eastAsia="Times New Roman" w:hAnsi="Cambria Math" w:cstheme="majorBidi"/>
                                  <w:kern w:val="0"/>
                                  <w:sz w:val="20"/>
                                  <w:szCs w:val="20"/>
                                  <w:lang w:eastAsia="en-US"/>
                                </w:rPr>
                                <m:t>⋅</m:t>
                              </m:r>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ⅆ</m:t>
                                  </m:r>
                                </m:e>
                                <m:sub>
                                  <m:r>
                                    <w:rPr>
                                      <w:rFonts w:ascii="Cambria Math" w:eastAsia="Times New Roman" w:hAnsi="Cambria Math" w:cstheme="majorBidi"/>
                                      <w:kern w:val="0"/>
                                      <w:sz w:val="20"/>
                                      <w:szCs w:val="20"/>
                                      <w:lang w:eastAsia="en-US"/>
                                    </w:rPr>
                                    <m:t>ik</m:t>
                                  </m:r>
                                </m:sub>
                              </m:sSub>
                            </m:e>
                          </m:d>
                        </m:e>
                      </m:nary>
                    </m:num>
                    <m:den>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ij</m:t>
                          </m:r>
                        </m:sub>
                      </m:sSub>
                    </m:den>
                  </m:f>
                </m:e>
              </m:d>
              <m:r>
                <w:rPr>
                  <w:rFonts w:ascii="Cambria Math" w:eastAsia="Times New Roman" w:hAnsi="Cambria Math" w:cstheme="majorBidi"/>
                  <w:kern w:val="0"/>
                  <w:sz w:val="20"/>
                  <w:szCs w:val="20"/>
                  <w:lang w:eastAsia="en-US"/>
                </w:rPr>
                <m:t>⋅100</m:t>
              </m:r>
            </m:oMath>
          </w:p>
          <w:p w14:paraId="0DBA3391" w14:textId="77777777" w:rsidR="00F70BDD" w:rsidRPr="009C5AD2" w:rsidRDefault="00CB0DEB" w:rsidP="00F70BDD">
            <w:pPr>
              <w:widowControl/>
              <w:textAlignment w:val="baseline"/>
              <w:rPr>
                <w:rFonts w:asciiTheme="majorBidi" w:eastAsia="Times New Roman" w:hAnsiTheme="majorBidi" w:cstheme="majorBidi"/>
                <w:kern w:val="0"/>
                <w:sz w:val="17"/>
                <w:szCs w:val="17"/>
                <w:lang w:eastAsia="en-US"/>
              </w:rPr>
            </w:pPr>
            <w:r>
              <w:rPr>
                <w:rFonts w:asciiTheme="majorBidi" w:eastAsia="Times New Roman" w:hAnsiTheme="majorBidi" w:cstheme="majorBidi"/>
                <w:kern w:val="0"/>
                <w:sz w:val="18"/>
                <w:szCs w:val="18"/>
                <w:lang w:eastAsia="en-US"/>
              </w:rPr>
              <w:t> </w:t>
            </w:r>
            <w:r>
              <w:rPr>
                <w:rFonts w:asciiTheme="majorBidi" w:eastAsia="Times New Roman" w:hAnsiTheme="majorBidi" w:cstheme="majorBidi"/>
                <w:kern w:val="0"/>
                <w:sz w:val="17"/>
                <w:szCs w:val="17"/>
                <w:lang w:eastAsia="en-US"/>
              </w:rPr>
              <w:t>p</w:t>
            </w:r>
            <w:r>
              <w:rPr>
                <w:rFonts w:asciiTheme="majorBidi" w:eastAsia="Times New Roman" w:hAnsiTheme="majorBidi" w:cstheme="majorBidi"/>
                <w:kern w:val="0"/>
                <w:sz w:val="17"/>
                <w:szCs w:val="17"/>
                <w:vertAlign w:val="subscript"/>
                <w:lang w:eastAsia="en-US"/>
              </w:rPr>
              <w:t>ijk</w:t>
            </w:r>
            <w:r>
              <w:rPr>
                <w:rFonts w:asciiTheme="majorBidi" w:eastAsia="Times New Roman" w:hAnsiTheme="majorBidi" w:cstheme="majorBidi"/>
                <w:kern w:val="0"/>
                <w:sz w:val="17"/>
                <w:szCs w:val="17"/>
                <w:lang w:eastAsia="en-US"/>
              </w:rPr>
              <w:t xml:space="preserve"> = length (m) of edge of patch ij adjacent to patch type (class) k.</w:t>
            </w:r>
          </w:p>
          <w:p w14:paraId="3B58FF0B" w14:textId="77777777" w:rsidR="00F70BDD" w:rsidRPr="009C5AD2" w:rsidRDefault="00F70BDD" w:rsidP="00F70BDD">
            <w:pPr>
              <w:widowControl/>
              <w:textAlignment w:val="baseline"/>
              <w:rPr>
                <w:rFonts w:asciiTheme="majorBidi" w:eastAsia="Times New Roman" w:hAnsiTheme="majorBidi" w:cstheme="majorBidi"/>
                <w:kern w:val="0"/>
                <w:sz w:val="17"/>
                <w:szCs w:val="17"/>
                <w:lang w:eastAsia="en-US"/>
              </w:rPr>
            </w:pPr>
            <w:r>
              <w:rPr>
                <w:rFonts w:asciiTheme="majorBidi" w:eastAsia="Times New Roman" w:hAnsiTheme="majorBidi" w:cstheme="majorBidi"/>
                <w:kern w:val="0"/>
                <w:sz w:val="17"/>
                <w:szCs w:val="17"/>
                <w:lang w:eastAsia="en-US"/>
              </w:rPr>
              <w:t>d</w:t>
            </w:r>
            <w:r>
              <w:rPr>
                <w:rFonts w:asciiTheme="majorBidi" w:eastAsia="Times New Roman" w:hAnsiTheme="majorBidi" w:cstheme="majorBidi"/>
                <w:kern w:val="0"/>
                <w:sz w:val="17"/>
                <w:szCs w:val="17"/>
                <w:vertAlign w:val="subscript"/>
                <w:lang w:eastAsia="en-US"/>
              </w:rPr>
              <w:t>ik</w:t>
            </w:r>
            <w:r>
              <w:rPr>
                <w:rFonts w:asciiTheme="majorBidi" w:eastAsia="Times New Roman" w:hAnsiTheme="majorBidi" w:cstheme="majorBidi"/>
                <w:kern w:val="0"/>
                <w:sz w:val="17"/>
                <w:szCs w:val="17"/>
                <w:lang w:eastAsia="en-US"/>
              </w:rPr>
              <w:t xml:space="preserve"> = dissimilarity (edge contrast weight) between patch types i and k.</w:t>
            </w:r>
          </w:p>
          <w:p w14:paraId="02629F69" w14:textId="603D19C4" w:rsidR="00CB0DEB" w:rsidRPr="009C5AD2" w:rsidRDefault="00F70BDD" w:rsidP="00F70BDD">
            <w:pPr>
              <w:widowControl/>
              <w:jc w:val="left"/>
              <w:textAlignment w:val="baseline"/>
              <w:rPr>
                <w:rFonts w:asciiTheme="majorBidi" w:eastAsia="Times New Roman" w:hAnsiTheme="majorBidi" w:cstheme="majorBidi"/>
                <w:kern w:val="0"/>
                <w:sz w:val="17"/>
                <w:szCs w:val="17"/>
                <w:lang w:eastAsia="en-US"/>
              </w:rPr>
            </w:pPr>
            <w:r>
              <w:rPr>
                <w:rFonts w:asciiTheme="majorBidi" w:eastAsia="Times New Roman" w:hAnsiTheme="majorBidi" w:cstheme="majorBidi"/>
                <w:kern w:val="0"/>
                <w:sz w:val="17"/>
                <w:szCs w:val="17"/>
                <w:lang w:eastAsia="en-US"/>
              </w:rPr>
              <w:t>p</w:t>
            </w:r>
            <w:r>
              <w:rPr>
                <w:rFonts w:asciiTheme="majorBidi" w:eastAsia="Times New Roman" w:hAnsiTheme="majorBidi" w:cstheme="majorBidi"/>
                <w:kern w:val="0"/>
                <w:sz w:val="17"/>
                <w:szCs w:val="17"/>
                <w:vertAlign w:val="subscript"/>
                <w:lang w:eastAsia="en-US"/>
              </w:rPr>
              <w:t>ij</w:t>
            </w:r>
            <w:r>
              <w:rPr>
                <w:rFonts w:asciiTheme="majorBidi" w:eastAsia="Times New Roman" w:hAnsiTheme="majorBidi" w:cstheme="majorBidi"/>
                <w:kern w:val="0"/>
                <w:sz w:val="17"/>
                <w:szCs w:val="17"/>
                <w:lang w:eastAsia="en-US"/>
              </w:rPr>
              <w:t xml:space="preserve"> = length (m) of perimeter of patch ij.</w:t>
            </w:r>
          </w:p>
          <w:p w14:paraId="1C8A334C" w14:textId="5EAA5512"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4950" w:type="dxa"/>
            <w:tcBorders>
              <w:top w:val="single" w:sz="6" w:space="0" w:color="auto"/>
              <w:left w:val="single" w:sz="6" w:space="0" w:color="auto"/>
              <w:bottom w:val="single" w:sz="6" w:space="0" w:color="auto"/>
              <w:right w:val="single" w:sz="6" w:space="0" w:color="auto"/>
            </w:tcBorders>
            <w:hideMark/>
          </w:tcPr>
          <w:p w14:paraId="51F552DD" w14:textId="77777777" w:rsidR="00F70BDD" w:rsidRPr="009C5AD2" w:rsidRDefault="00CB0DEB" w:rsidP="00F70BDD">
            <w:pPr>
              <w:widowControl/>
              <w:ind w:left="105"/>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18"/>
                <w:szCs w:val="18"/>
                <w:lang w:eastAsia="en-US"/>
              </w:rPr>
              <w:t>Edge contrast index quantifies the proportion of a patch’s perimeter that is adjacent to contrasting land cover types.</w:t>
            </w:r>
          </w:p>
          <w:p w14:paraId="2A9ABAE7" w14:textId="4B78D0E2" w:rsidR="00CB0DEB" w:rsidRPr="009C5AD2" w:rsidRDefault="00F70BDD" w:rsidP="00F70BDD">
            <w:pPr>
              <w:widowControl/>
              <w:ind w:left="105"/>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 A higher value indicates that a greater share of the patch boundary lies next to highly contrasting covers (e.g., greenspace next to roads), and vice versa.</w:t>
            </w:r>
          </w:p>
        </w:tc>
        <w:tc>
          <w:tcPr>
            <w:tcW w:w="1460" w:type="dxa"/>
            <w:tcBorders>
              <w:top w:val="single" w:sz="6" w:space="0" w:color="auto"/>
              <w:left w:val="single" w:sz="6" w:space="0" w:color="auto"/>
              <w:bottom w:val="single" w:sz="6" w:space="0" w:color="auto"/>
              <w:right w:val="single" w:sz="6" w:space="0" w:color="auto"/>
            </w:tcBorders>
            <w:hideMark/>
          </w:tcPr>
          <w:p w14:paraId="2EC535D3" w14:textId="77777777" w:rsidR="00F70BDD" w:rsidRPr="009C5AD2" w:rsidRDefault="00F70BDD" w:rsidP="00F70BDD">
            <w:pPr>
              <w:widowControl/>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6"/>
                <w:szCs w:val="16"/>
                <w:lang w:eastAsia="en-US"/>
              </w:rPr>
              <w:t>Percent</w:t>
            </w:r>
          </w:p>
          <w:p w14:paraId="7BEE8880" w14:textId="6ECA170E" w:rsidR="00CB0DEB" w:rsidRPr="009C5AD2" w:rsidRDefault="00F70BDD" w:rsidP="00F70BDD">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 xml:space="preserve">0 </w:t>
            </w:r>
            <w:r>
              <w:rPr>
                <w:rFonts w:ascii="Cambria Math" w:eastAsia="Times New Roman" w:hAnsi="Cambria Math" w:cs="Cambria Math"/>
                <w:kern w:val="0"/>
                <w:sz w:val="16"/>
                <w:szCs w:val="16"/>
                <w:lang w:eastAsia="en-US"/>
              </w:rPr>
              <w:t>≦</w:t>
            </w:r>
            <w:r>
              <w:rPr>
                <w:rFonts w:asciiTheme="majorBidi" w:eastAsia="Times New Roman" w:hAnsiTheme="majorBidi" w:cstheme="majorBidi"/>
                <w:kern w:val="0"/>
                <w:sz w:val="16"/>
                <w:szCs w:val="16"/>
                <w:lang w:eastAsia="en-US"/>
              </w:rPr>
              <w:t xml:space="preserve"> ECON </w:t>
            </w:r>
            <w:r>
              <w:rPr>
                <w:rFonts w:ascii="Cambria Math" w:eastAsia="Times New Roman" w:hAnsi="Cambria Math" w:cs="Cambria Math"/>
                <w:kern w:val="0"/>
                <w:sz w:val="16"/>
                <w:szCs w:val="16"/>
                <w:lang w:eastAsia="en-US"/>
              </w:rPr>
              <w:t>≦</w:t>
            </w:r>
            <w:r>
              <w:rPr>
                <w:rFonts w:asciiTheme="majorBidi" w:eastAsia="Times New Roman" w:hAnsiTheme="majorBidi" w:cstheme="majorBidi"/>
                <w:kern w:val="0"/>
                <w:sz w:val="16"/>
                <w:szCs w:val="16"/>
                <w:lang w:eastAsia="en-US"/>
              </w:rPr>
              <w:t xml:space="preserve"> 100</w:t>
            </w:r>
          </w:p>
        </w:tc>
      </w:tr>
      <w:tr w:rsidR="00CB0DEB" w:rsidRPr="009C5AD2" w14:paraId="39E275D7"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vAlign w:val="center"/>
            <w:hideMark/>
          </w:tcPr>
          <w:p w14:paraId="1A358D8E" w14:textId="77777777" w:rsidR="00CB0DEB" w:rsidRPr="009C5AD2" w:rsidRDefault="00CB0DEB" w:rsidP="00CB0DEB">
            <w:pPr>
              <w:widowControl/>
              <w:jc w:val="left"/>
              <w:rPr>
                <w:rFonts w:asciiTheme="majorBidi" w:eastAsia="Times New Roman" w:hAnsiTheme="majorBidi" w:cstheme="majorBidi"/>
                <w:kern w:val="0"/>
                <w:sz w:val="18"/>
                <w:szCs w:val="18"/>
                <w:lang w:eastAsia="en-US"/>
              </w:rPr>
            </w:pPr>
          </w:p>
        </w:tc>
        <w:tc>
          <w:tcPr>
            <w:tcW w:w="1350" w:type="dxa"/>
            <w:tcBorders>
              <w:top w:val="single" w:sz="6" w:space="0" w:color="auto"/>
              <w:left w:val="single" w:sz="6" w:space="0" w:color="auto"/>
              <w:bottom w:val="single" w:sz="6" w:space="0" w:color="auto"/>
              <w:right w:val="single" w:sz="6" w:space="0" w:color="auto"/>
            </w:tcBorders>
            <w:hideMark/>
          </w:tcPr>
          <w:p w14:paraId="54E497EB" w14:textId="3A4238DF"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xml:space="preserve"> Relative Circumscribing </w:t>
            </w:r>
          </w:p>
        </w:tc>
        <w:tc>
          <w:tcPr>
            <w:tcW w:w="4770" w:type="dxa"/>
            <w:tcBorders>
              <w:top w:val="single" w:sz="6" w:space="0" w:color="auto"/>
              <w:left w:val="single" w:sz="6" w:space="0" w:color="auto"/>
              <w:bottom w:val="single" w:sz="6" w:space="0" w:color="auto"/>
              <w:right w:val="single" w:sz="6" w:space="0" w:color="auto"/>
            </w:tcBorders>
            <w:hideMark/>
          </w:tcPr>
          <w:p w14:paraId="60A4FD5E" w14:textId="5E4E3653" w:rsidR="00CB0DEB" w:rsidRPr="009C5AD2" w:rsidRDefault="00CB0DEB" w:rsidP="00911D10">
            <w:pPr>
              <w:widowControl/>
              <w:jc w:val="left"/>
              <w:textAlignment w:val="baseline"/>
              <w:rPr>
                <w:rFonts w:asciiTheme="majorBidi" w:eastAsia="Times New Roman" w:hAnsiTheme="majorBidi" w:cstheme="majorBidi"/>
                <w:bCs/>
                <w:kern w:val="0"/>
                <w:sz w:val="18"/>
                <w:szCs w:val="18"/>
                <w:lang w:eastAsia="en-US"/>
              </w:rPr>
            </w:pPr>
            <w:r>
              <w:rPr>
                <w:rFonts w:asciiTheme="majorBidi" w:eastAsia="Times New Roman" w:hAnsiTheme="majorBidi" w:cstheme="majorBidi"/>
                <w:bCs/>
                <w:kern w:val="0"/>
                <w:sz w:val="20"/>
                <w:szCs w:val="20"/>
                <w:lang w:eastAsia="en-US"/>
              </w:rPr>
              <w:t> </w:t>
            </w:r>
            <m:oMath>
              <m:r>
                <w:rPr>
                  <w:rFonts w:ascii="Cambria Math" w:eastAsia="Times New Roman" w:hAnsi="Cambria Math" w:cstheme="majorBidi"/>
                  <w:kern w:val="0"/>
                  <w:sz w:val="20"/>
                  <w:szCs w:val="20"/>
                  <w:lang w:eastAsia="en-US"/>
                </w:rPr>
                <m:t>RCC=1-</m:t>
              </m:r>
              <m:f>
                <m:fPr>
                  <m:ctrlPr>
                    <w:rPr>
                      <w:rFonts w:ascii="Cambria Math" w:eastAsia="Times New Roman" w:hAnsi="Cambria Math" w:cstheme="majorBidi"/>
                      <w:bCs/>
                      <w:i/>
                      <w:kern w:val="0"/>
                      <w:sz w:val="20"/>
                      <w:szCs w:val="20"/>
                      <w:lang w:eastAsia="en-US"/>
                    </w:rPr>
                  </m:ctrlPr>
                </m:fPr>
                <m:num>
                  <m:r>
                    <w:rPr>
                      <w:rFonts w:ascii="Cambria Math" w:eastAsia="Times New Roman" w:hAnsi="Cambria Math" w:cstheme="majorBidi"/>
                      <w:kern w:val="0"/>
                      <w:sz w:val="20"/>
                      <w:szCs w:val="20"/>
                      <w:lang w:eastAsia="en-US"/>
                    </w:rPr>
                    <m:t>A</m:t>
                  </m:r>
                </m:num>
                <m:den>
                  <m:sSub>
                    <m:sSubPr>
                      <m:ctrlPr>
                        <w:rPr>
                          <w:rFonts w:ascii="Cambria Math" w:eastAsia="Times New Roman" w:hAnsi="Cambria Math" w:cstheme="majorBidi"/>
                          <w:bCs/>
                          <w:i/>
                          <w:kern w:val="0"/>
                          <w:sz w:val="20"/>
                          <w:szCs w:val="20"/>
                          <w:lang w:eastAsia="en-US"/>
                        </w:rPr>
                      </m:ctrlPr>
                    </m:sSubPr>
                    <m:e>
                      <m:r>
                        <w:rPr>
                          <w:rFonts w:ascii="Cambria Math" w:eastAsia="Times New Roman" w:hAnsi="Cambria Math" w:cstheme="majorBidi"/>
                          <w:kern w:val="0"/>
                          <w:sz w:val="20"/>
                          <w:szCs w:val="20"/>
                          <w:lang w:eastAsia="en-US"/>
                        </w:rPr>
                        <m:t>A</m:t>
                      </m:r>
                    </m:e>
                    <m:sub>
                      <m:r>
                        <w:rPr>
                          <w:rFonts w:ascii="Cambria Math" w:eastAsia="Times New Roman" w:hAnsi="Cambria Math" w:cstheme="majorBidi"/>
                          <w:kern w:val="0"/>
                          <w:sz w:val="20"/>
                          <w:szCs w:val="20"/>
                          <w:lang w:eastAsia="en-US"/>
                        </w:rPr>
                        <m:t>s</m:t>
                      </m:r>
                    </m:sub>
                  </m:sSub>
                </m:den>
              </m:f>
            </m:oMath>
          </w:p>
          <w:p w14:paraId="5C27892D" w14:textId="77777777" w:rsidR="00911D10" w:rsidRPr="009C5AD2" w:rsidRDefault="00CB0DEB" w:rsidP="00911D10">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18"/>
                <w:szCs w:val="18"/>
                <w:lang w:eastAsia="en-US"/>
              </w:rPr>
              <w:t>A = area (m²) of the park</w:t>
            </w:r>
          </w:p>
          <w:p w14:paraId="3498E7AD" w14:textId="119471AF" w:rsidR="00CB0DEB" w:rsidRPr="009C5AD2" w:rsidRDefault="00911D10" w:rsidP="00911D10">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8"/>
                <w:szCs w:val="18"/>
                <w:lang w:eastAsia="en-US"/>
              </w:rPr>
              <w:t>A</w:t>
            </w:r>
            <w:r>
              <w:rPr>
                <w:rFonts w:asciiTheme="majorBidi" w:eastAsia="Times New Roman" w:hAnsiTheme="majorBidi" w:cstheme="majorBidi"/>
                <w:kern w:val="0"/>
                <w:sz w:val="18"/>
                <w:szCs w:val="18"/>
                <w:vertAlign w:val="subscript"/>
                <w:lang w:eastAsia="en-US"/>
              </w:rPr>
              <w:t>s</w:t>
            </w:r>
            <w:r>
              <w:rPr>
                <w:rFonts w:asciiTheme="majorBidi" w:eastAsia="Times New Roman" w:hAnsiTheme="majorBidi" w:cstheme="majorBidi"/>
                <w:kern w:val="0"/>
                <w:sz w:val="18"/>
                <w:szCs w:val="18"/>
                <w:lang w:eastAsia="en-US"/>
              </w:rPr>
              <w:t xml:space="preserve"> = area (m²) of the park's minimal circumscribing circle</w:t>
            </w:r>
          </w:p>
          <w:p w14:paraId="68FC9A3B" w14:textId="305F7342"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p w14:paraId="3DB5C717"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4950" w:type="dxa"/>
            <w:tcBorders>
              <w:top w:val="single" w:sz="6" w:space="0" w:color="auto"/>
              <w:left w:val="single" w:sz="6" w:space="0" w:color="auto"/>
              <w:bottom w:val="single" w:sz="6" w:space="0" w:color="auto"/>
              <w:right w:val="single" w:sz="6" w:space="0" w:color="auto"/>
            </w:tcBorders>
            <w:hideMark/>
          </w:tcPr>
          <w:p w14:paraId="40AFC115" w14:textId="77777777" w:rsidR="00154FC0" w:rsidRPr="009C5AD2" w:rsidRDefault="00CB0DEB" w:rsidP="00154FC0">
            <w:pPr>
              <w:widowControl/>
              <w:ind w:left="105"/>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16"/>
                <w:szCs w:val="16"/>
                <w:lang w:eastAsia="en-US"/>
              </w:rPr>
              <w:t>Roundness compactness coefficient (RCC) quantifies how closely the shape of a park approximates a circle.</w:t>
            </w:r>
          </w:p>
          <w:p w14:paraId="318F1833" w14:textId="77777777" w:rsidR="00154FC0" w:rsidRPr="009C5AD2" w:rsidRDefault="00154FC0" w:rsidP="00154FC0">
            <w:pPr>
              <w:widowControl/>
              <w:ind w:left="105"/>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6"/>
                <w:szCs w:val="16"/>
                <w:lang w:eastAsia="en-US"/>
              </w:rPr>
              <w:t>• Calculated as 1 minus the ratio of the park area to the area of its minimal circumscribing circle.</w:t>
            </w:r>
          </w:p>
          <w:p w14:paraId="1261F2C5" w14:textId="59A020A3" w:rsidR="00CB0DEB" w:rsidRPr="009C5AD2" w:rsidRDefault="00154FC0" w:rsidP="00154FC0">
            <w:pPr>
              <w:widowControl/>
              <w:ind w:left="105"/>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 A lower value (closer to 0) indicates a more circular, compact shape; a higher value (closer to 1) reflects a more irregular, elongated, or fragmented shape.</w:t>
            </w:r>
          </w:p>
        </w:tc>
        <w:tc>
          <w:tcPr>
            <w:tcW w:w="1460" w:type="dxa"/>
            <w:tcBorders>
              <w:top w:val="single" w:sz="6" w:space="0" w:color="auto"/>
              <w:left w:val="single" w:sz="6" w:space="0" w:color="auto"/>
              <w:bottom w:val="single" w:sz="6" w:space="0" w:color="auto"/>
              <w:right w:val="single" w:sz="6" w:space="0" w:color="auto"/>
            </w:tcBorders>
            <w:hideMark/>
          </w:tcPr>
          <w:p w14:paraId="6BF7FBC0" w14:textId="77777777" w:rsidR="00CB0DEB" w:rsidRPr="009C5AD2" w:rsidRDefault="00CB0DEB" w:rsidP="00CB0DEB">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16"/>
                <w:szCs w:val="16"/>
                <w:lang w:eastAsia="en-US"/>
              </w:rPr>
              <w:t>None</w:t>
            </w:r>
          </w:p>
          <w:p w14:paraId="61ACB682" w14:textId="3F16B2C6" w:rsidR="00154FC0" w:rsidRPr="009C5AD2" w:rsidRDefault="00154FC0" w:rsidP="00154FC0">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0 ≤ RCC &lt; 1</w:t>
            </w:r>
          </w:p>
        </w:tc>
      </w:tr>
      <w:tr w:rsidR="00CB0DEB" w:rsidRPr="009C5AD2" w14:paraId="4F44B6A5" w14:textId="77777777" w:rsidTr="00E5580A">
        <w:trPr>
          <w:trHeight w:val="300"/>
        </w:trPr>
        <w:tc>
          <w:tcPr>
            <w:tcW w:w="1087" w:type="dxa"/>
            <w:tcBorders>
              <w:top w:val="single" w:sz="6" w:space="0" w:color="auto"/>
              <w:left w:val="single" w:sz="6" w:space="0" w:color="auto"/>
              <w:bottom w:val="single" w:sz="6" w:space="0" w:color="auto"/>
              <w:right w:val="single" w:sz="6" w:space="0" w:color="auto"/>
            </w:tcBorders>
            <w:hideMark/>
          </w:tcPr>
          <w:p w14:paraId="146F2831"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kern w:val="0"/>
                <w:sz w:val="20"/>
                <w:szCs w:val="20"/>
                <w:lang w:eastAsia="en-US"/>
              </w:rPr>
              <w:t>Fragmentation metrics</w:t>
            </w:r>
            <w:r>
              <w:rPr>
                <w:rFonts w:asciiTheme="majorBidi" w:eastAsia="Times New Roman" w:hAnsiTheme="majorBidi" w:cstheme="majorBidi"/>
                <w:kern w:val="0"/>
                <w:sz w:val="20"/>
                <w:szCs w:val="20"/>
                <w:lang w:eastAsia="en-US"/>
              </w:rPr>
              <w:t> </w:t>
            </w:r>
          </w:p>
          <w:p w14:paraId="07658BDD"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1350" w:type="dxa"/>
            <w:tcBorders>
              <w:top w:val="single" w:sz="6" w:space="0" w:color="auto"/>
              <w:left w:val="single" w:sz="6" w:space="0" w:color="auto"/>
              <w:bottom w:val="single" w:sz="6" w:space="0" w:color="auto"/>
              <w:right w:val="single" w:sz="6" w:space="0" w:color="auto"/>
            </w:tcBorders>
            <w:hideMark/>
          </w:tcPr>
          <w:p w14:paraId="5DB34944"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Patch Density (PD) </w:t>
            </w:r>
          </w:p>
        </w:tc>
        <w:tc>
          <w:tcPr>
            <w:tcW w:w="4770" w:type="dxa"/>
            <w:tcBorders>
              <w:top w:val="single" w:sz="6" w:space="0" w:color="auto"/>
              <w:left w:val="single" w:sz="6" w:space="0" w:color="auto"/>
              <w:bottom w:val="single" w:sz="6" w:space="0" w:color="auto"/>
              <w:right w:val="single" w:sz="6" w:space="0" w:color="auto"/>
            </w:tcBorders>
            <w:hideMark/>
          </w:tcPr>
          <w:p w14:paraId="420EA772" w14:textId="6CD0993D"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kern w:val="0"/>
                  <w:sz w:val="20"/>
                  <w:szCs w:val="20"/>
                  <w:lang w:eastAsia="en-US"/>
                </w:rPr>
                <m:t>PD=</m:t>
              </m:r>
              <m:f>
                <m:fPr>
                  <m:ctrlPr>
                    <w:rPr>
                      <w:rFonts w:ascii="Cambria Math" w:eastAsia="Times New Roman" w:hAnsi="Cambria Math" w:cstheme="majorBidi"/>
                      <w:i/>
                      <w:kern w:val="0"/>
                      <w:sz w:val="20"/>
                      <w:szCs w:val="20"/>
                      <w:lang w:eastAsia="en-US"/>
                    </w:rPr>
                  </m:ctrlPr>
                </m:fPr>
                <m:num>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n</m:t>
                      </m:r>
                    </m:e>
                    <m:sub>
                      <m:r>
                        <w:rPr>
                          <w:rFonts w:ascii="Cambria Math" w:eastAsia="Times New Roman" w:hAnsi="Cambria Math" w:cstheme="majorBidi"/>
                          <w:kern w:val="0"/>
                          <w:sz w:val="20"/>
                          <w:szCs w:val="20"/>
                          <w:lang w:eastAsia="en-US"/>
                        </w:rPr>
                        <m:t>i</m:t>
                      </m:r>
                    </m:sub>
                  </m:sSub>
                </m:num>
                <m:den>
                  <m:r>
                    <w:rPr>
                      <w:rFonts w:ascii="Cambria Math" w:eastAsia="Times New Roman" w:hAnsi="Cambria Math" w:cstheme="majorBidi"/>
                      <w:kern w:val="0"/>
                      <w:sz w:val="20"/>
                      <w:szCs w:val="20"/>
                      <w:lang w:eastAsia="en-US"/>
                    </w:rPr>
                    <m:t>A</m:t>
                  </m:r>
                </m:den>
              </m:f>
              <m:d>
                <m:dPr>
                  <m:ctrlPr>
                    <w:rPr>
                      <w:rFonts w:ascii="Cambria Math" w:eastAsia="Times New Roman" w:hAnsi="Cambria Math" w:cstheme="majorBidi"/>
                      <w:i/>
                      <w:kern w:val="0"/>
                      <w:sz w:val="20"/>
                      <w:szCs w:val="20"/>
                      <w:lang w:eastAsia="en-US"/>
                    </w:rPr>
                  </m:ctrlPr>
                </m:dPr>
                <m:e>
                  <m:r>
                    <w:rPr>
                      <w:rFonts w:ascii="Cambria Math" w:eastAsia="Times New Roman" w:hAnsi="Cambria Math" w:cstheme="majorBidi"/>
                      <w:kern w:val="0"/>
                      <w:sz w:val="20"/>
                      <w:szCs w:val="20"/>
                      <w:lang w:eastAsia="en-US"/>
                    </w:rPr>
                    <m:t>10000</m:t>
                  </m:r>
                </m:e>
              </m:d>
              <m:d>
                <m:dPr>
                  <m:ctrlPr>
                    <w:rPr>
                      <w:rFonts w:ascii="Cambria Math" w:eastAsia="Times New Roman" w:hAnsi="Cambria Math" w:cstheme="majorBidi"/>
                      <w:i/>
                      <w:kern w:val="0"/>
                      <w:sz w:val="20"/>
                      <w:szCs w:val="20"/>
                      <w:lang w:eastAsia="en-US"/>
                    </w:rPr>
                  </m:ctrlPr>
                </m:dPr>
                <m:e>
                  <m:r>
                    <w:rPr>
                      <w:rFonts w:ascii="Cambria Math" w:eastAsia="Times New Roman" w:hAnsi="Cambria Math" w:cstheme="majorBidi"/>
                      <w:kern w:val="0"/>
                      <w:sz w:val="20"/>
                      <w:szCs w:val="20"/>
                      <w:lang w:eastAsia="en-US"/>
                    </w:rPr>
                    <m:t>100</m:t>
                  </m:r>
                </m:e>
              </m:d>
            </m:oMath>
          </w:p>
          <w:p w14:paraId="473A8FEA"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p w14:paraId="372AB85D" w14:textId="5E060B9A"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18"/>
                <w:szCs w:val="18"/>
                <w:lang w:eastAsia="en-US"/>
              </w:rPr>
              <w:t>n</w:t>
            </w:r>
            <w:r>
              <w:rPr>
                <w:rFonts w:asciiTheme="majorBidi" w:eastAsia="Times New Roman" w:hAnsiTheme="majorBidi" w:cstheme="majorBidi"/>
                <w:kern w:val="0"/>
                <w:sz w:val="18"/>
                <w:szCs w:val="18"/>
                <w:vertAlign w:val="subscript"/>
                <w:lang w:eastAsia="en-US"/>
              </w:rPr>
              <w:t>i</w:t>
            </w:r>
            <w:r>
              <w:rPr>
                <w:rFonts w:asciiTheme="majorBidi" w:eastAsia="Times New Roman" w:hAnsiTheme="majorBidi" w:cstheme="majorBidi"/>
                <w:kern w:val="0"/>
                <w:sz w:val="18"/>
                <w:szCs w:val="18"/>
                <w:lang w:eastAsia="en-US"/>
              </w:rPr>
              <w:t xml:space="preserve"> = number of patches in the landscape type (class) i.</w:t>
            </w:r>
          </w:p>
          <w:p w14:paraId="2CAFD322" w14:textId="38890F28" w:rsidR="00B816B2" w:rsidRPr="009C5AD2" w:rsidRDefault="00B816B2"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 total landscape area (m</w:t>
            </w:r>
            <w:r>
              <w:rPr>
                <w:rFonts w:asciiTheme="majorBidi" w:eastAsia="Times New Roman" w:hAnsiTheme="majorBidi" w:cstheme="majorBidi"/>
                <w:kern w:val="0"/>
                <w:sz w:val="18"/>
                <w:szCs w:val="18"/>
                <w:vertAlign w:val="superscript"/>
                <w:lang w:eastAsia="en-US"/>
              </w:rPr>
              <w:t>2</w:t>
            </w:r>
            <w:r>
              <w:rPr>
                <w:rFonts w:asciiTheme="majorBidi" w:eastAsia="Times New Roman" w:hAnsiTheme="majorBidi" w:cstheme="majorBidi"/>
                <w:kern w:val="0"/>
                <w:sz w:val="18"/>
                <w:szCs w:val="18"/>
                <w:lang w:eastAsia="en-US"/>
              </w:rPr>
              <w:t>).</w:t>
            </w:r>
          </w:p>
        </w:tc>
        <w:tc>
          <w:tcPr>
            <w:tcW w:w="4950" w:type="dxa"/>
            <w:tcBorders>
              <w:top w:val="single" w:sz="6" w:space="0" w:color="auto"/>
              <w:left w:val="single" w:sz="6" w:space="0" w:color="auto"/>
              <w:bottom w:val="single" w:sz="6" w:space="0" w:color="auto"/>
              <w:right w:val="single" w:sz="6" w:space="0" w:color="auto"/>
            </w:tcBorders>
            <w:hideMark/>
          </w:tcPr>
          <w:p w14:paraId="704391FF" w14:textId="77777777" w:rsidR="00CB0DEB" w:rsidRPr="009C5AD2" w:rsidRDefault="00CB0DEB" w:rsidP="00CB0DEB">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8"/>
                <w:szCs w:val="18"/>
                <w:lang w:eastAsia="en-US"/>
              </w:rPr>
              <w:t>PD equals the number of patches of the corresponding patch type divided by total landscape area (m2), multiplied by 10,000 and 100 (to convert to 100 hectares). </w:t>
            </w:r>
          </w:p>
          <w:p w14:paraId="6B44CAE3" w14:textId="77777777" w:rsidR="00CB0DEB" w:rsidRPr="009C5AD2" w:rsidRDefault="00CB0DEB" w:rsidP="00C16836">
            <w:pPr>
              <w:widowControl/>
              <w:numPr>
                <w:ilvl w:val="0"/>
                <w:numId w:val="11"/>
              </w:numPr>
              <w:tabs>
                <w:tab w:val="clear" w:pos="720"/>
                <w:tab w:val="num" w:pos="361"/>
              </w:tabs>
              <w:ind w:left="181" w:firstLine="0"/>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higher value denotes a more fragmented distribution of greenspace, while a lower value suggests the opposite. </w:t>
            </w:r>
          </w:p>
          <w:p w14:paraId="49284BFE" w14:textId="77777777" w:rsidR="00CB0DEB" w:rsidRPr="009C5AD2" w:rsidRDefault="00CB0DEB" w:rsidP="00CB0DEB">
            <w:pPr>
              <w:widowControl/>
              <w:ind w:left="105"/>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1460" w:type="dxa"/>
            <w:tcBorders>
              <w:top w:val="single" w:sz="6" w:space="0" w:color="auto"/>
              <w:left w:val="single" w:sz="6" w:space="0" w:color="auto"/>
              <w:bottom w:val="single" w:sz="6" w:space="0" w:color="auto"/>
              <w:right w:val="single" w:sz="6" w:space="0" w:color="auto"/>
            </w:tcBorders>
            <w:hideMark/>
          </w:tcPr>
          <w:p w14:paraId="29F82DE9" w14:textId="77777777" w:rsidR="00CB0DEB" w:rsidRPr="009C5AD2" w:rsidRDefault="00CB0DEB" w:rsidP="00CB0DEB">
            <w:pPr>
              <w:widowControl/>
              <w:jc w:val="left"/>
              <w:textAlignment w:val="baseline"/>
              <w:rPr>
                <w:rFonts w:asciiTheme="majorBidi" w:eastAsia="Times New Roman" w:hAnsiTheme="majorBidi" w:cstheme="majorBidi"/>
                <w:kern w:val="0"/>
                <w:sz w:val="14"/>
                <w:szCs w:val="14"/>
                <w:lang w:eastAsia="en-US"/>
              </w:rPr>
            </w:pPr>
            <w:r>
              <w:rPr>
                <w:rFonts w:asciiTheme="majorBidi" w:eastAsia="Times New Roman" w:hAnsiTheme="majorBidi" w:cstheme="majorBidi"/>
                <w:kern w:val="0"/>
                <w:sz w:val="16"/>
                <w:szCs w:val="16"/>
                <w:lang w:eastAsia="en-US"/>
              </w:rPr>
              <w:t>Number per 100 hectares </w:t>
            </w:r>
          </w:p>
          <w:p w14:paraId="310606EE"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6"/>
                <w:szCs w:val="16"/>
                <w:lang w:eastAsia="en-US"/>
              </w:rPr>
              <w:t>(PD &gt; 0, constrained by cell size) </w:t>
            </w:r>
          </w:p>
        </w:tc>
      </w:tr>
      <w:tr w:rsidR="00CB0DEB" w:rsidRPr="009C5AD2" w14:paraId="743C6BE1" w14:textId="77777777" w:rsidTr="00E5580A">
        <w:trPr>
          <w:trHeight w:val="300"/>
        </w:trPr>
        <w:tc>
          <w:tcPr>
            <w:tcW w:w="1087" w:type="dxa"/>
            <w:tcBorders>
              <w:top w:val="single" w:sz="6" w:space="0" w:color="auto"/>
              <w:left w:val="single" w:sz="6" w:space="0" w:color="auto"/>
              <w:bottom w:val="single" w:sz="6" w:space="0" w:color="auto"/>
              <w:right w:val="single" w:sz="6" w:space="0" w:color="auto"/>
            </w:tcBorders>
            <w:hideMark/>
          </w:tcPr>
          <w:p w14:paraId="1A1FBE25"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kern w:val="0"/>
                <w:sz w:val="20"/>
                <w:szCs w:val="20"/>
                <w:lang w:eastAsia="en-US"/>
              </w:rPr>
              <w:t>Connectedness metrics</w:t>
            </w:r>
            <w:r>
              <w:rPr>
                <w:rFonts w:asciiTheme="majorBidi" w:eastAsia="Times New Roman" w:hAnsiTheme="majorBidi" w:cstheme="majorBidi"/>
                <w:kern w:val="0"/>
                <w:sz w:val="20"/>
                <w:szCs w:val="20"/>
                <w:lang w:eastAsia="en-US"/>
              </w:rPr>
              <w:t> </w:t>
            </w:r>
          </w:p>
        </w:tc>
        <w:tc>
          <w:tcPr>
            <w:tcW w:w="1350" w:type="dxa"/>
            <w:tcBorders>
              <w:top w:val="single" w:sz="6" w:space="0" w:color="auto"/>
              <w:left w:val="single" w:sz="6" w:space="0" w:color="auto"/>
              <w:bottom w:val="single" w:sz="6" w:space="0" w:color="auto"/>
              <w:right w:val="single" w:sz="6" w:space="0" w:color="auto"/>
            </w:tcBorders>
            <w:hideMark/>
          </w:tcPr>
          <w:p w14:paraId="4ECE61FD"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Patch Cohesion Index (COHESION) </w:t>
            </w:r>
          </w:p>
        </w:tc>
        <w:tc>
          <w:tcPr>
            <w:tcW w:w="4770" w:type="dxa"/>
            <w:tcBorders>
              <w:top w:val="single" w:sz="6" w:space="0" w:color="auto"/>
              <w:left w:val="single" w:sz="6" w:space="0" w:color="auto"/>
              <w:bottom w:val="single" w:sz="6" w:space="0" w:color="auto"/>
              <w:right w:val="single" w:sz="6" w:space="0" w:color="auto"/>
            </w:tcBorders>
            <w:hideMark/>
          </w:tcPr>
          <w:p w14:paraId="5E920ADD" w14:textId="5F7B5285"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p w14:paraId="23B7A5F7" w14:textId="6BAF4FE2"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kern w:val="0"/>
                  <w:sz w:val="20"/>
                  <w:szCs w:val="20"/>
                  <w:lang w:eastAsia="en-US"/>
                </w:rPr>
                <m:t xml:space="preserve">COHESION = </m:t>
              </m:r>
              <m:d>
                <m:dPr>
                  <m:begChr m:val="["/>
                  <m:endChr m:val="]"/>
                  <m:ctrlPr>
                    <w:rPr>
                      <w:rFonts w:ascii="Cambria Math" w:eastAsia="Times New Roman" w:hAnsi="Cambria Math" w:cstheme="majorBidi"/>
                      <w:i/>
                      <w:kern w:val="0"/>
                      <w:sz w:val="20"/>
                      <w:szCs w:val="20"/>
                      <w:lang w:eastAsia="en-US"/>
                    </w:rPr>
                  </m:ctrlPr>
                </m:dPr>
                <m:e>
                  <m:r>
                    <w:rPr>
                      <w:rFonts w:ascii="Cambria Math" w:eastAsia="Times New Roman" w:hAnsi="Cambria Math" w:cstheme="majorBidi"/>
                      <w:kern w:val="0"/>
                      <w:sz w:val="20"/>
                      <w:szCs w:val="20"/>
                      <w:lang w:eastAsia="en-US"/>
                    </w:rPr>
                    <m:t>1-</m:t>
                  </m:r>
                  <m:f>
                    <m:fPr>
                      <m:ctrlPr>
                        <w:rPr>
                          <w:rFonts w:ascii="Cambria Math" w:eastAsia="Times New Roman" w:hAnsi="Cambria Math" w:cstheme="majorBidi"/>
                          <w:i/>
                          <w:kern w:val="0"/>
                          <w:sz w:val="20"/>
                          <w:szCs w:val="20"/>
                          <w:lang w:eastAsia="en-US"/>
                        </w:rPr>
                      </m:ctrlPr>
                    </m:fPr>
                    <m:num>
                      <m:nary>
                        <m:naryPr>
                          <m:chr m:val="∑"/>
                          <m:limLoc m:val="undOvr"/>
                          <m:grow m:val="1"/>
                          <m:ctrlPr>
                            <w:rPr>
                              <w:rFonts w:ascii="Cambria Math" w:eastAsia="Times New Roman" w:hAnsi="Cambria Math" w:cstheme="majorBidi"/>
                              <w:i/>
                              <w:kern w:val="0"/>
                              <w:sz w:val="20"/>
                              <w:szCs w:val="20"/>
                              <w:lang w:eastAsia="en-US"/>
                            </w:rPr>
                          </m:ctrlPr>
                        </m:naryPr>
                        <m:sub>
                          <m:r>
                            <w:rPr>
                              <w:rFonts w:ascii="Cambria Math" w:eastAsia="Times New Roman" w:hAnsi="Cambria Math" w:cstheme="majorBidi"/>
                              <w:kern w:val="0"/>
                              <w:sz w:val="20"/>
                              <w:szCs w:val="20"/>
                              <w:lang w:eastAsia="en-US"/>
                            </w:rPr>
                            <m:t>j=1</m:t>
                          </m:r>
                        </m:sub>
                        <m:sup>
                          <m:r>
                            <w:rPr>
                              <w:rFonts w:ascii="Cambria Math" w:eastAsia="Times New Roman" w:hAnsi="Cambria Math" w:cstheme="majorBidi"/>
                              <w:kern w:val="0"/>
                              <w:sz w:val="20"/>
                              <w:szCs w:val="20"/>
                              <w:lang w:eastAsia="en-US"/>
                            </w:rPr>
                            <m:t>n</m:t>
                          </m:r>
                        </m:sup>
                        <m:e>
                          <m:sSubSup>
                            <m:sSubSupPr>
                              <m:ctrlPr>
                                <w:rPr>
                                  <w:rFonts w:ascii="Cambria Math" w:eastAsia="Times New Roman" w:hAnsi="Cambria Math" w:cstheme="majorBidi"/>
                                  <w:i/>
                                  <w:kern w:val="0"/>
                                  <w:sz w:val="20"/>
                                  <w:szCs w:val="20"/>
                                  <w:lang w:eastAsia="en-US"/>
                                </w:rPr>
                              </m:ctrlPr>
                            </m:sSubSup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ⅈj</m:t>
                              </m:r>
                            </m:sub>
                            <m:sup>
                              <m:r>
                                <w:rPr>
                                  <w:rFonts w:ascii="Cambria Math" w:eastAsia="Times New Roman" w:hAnsi="Cambria Math" w:cstheme="majorBidi"/>
                                  <w:kern w:val="0"/>
                                  <w:sz w:val="20"/>
                                  <w:szCs w:val="20"/>
                                  <w:lang w:eastAsia="en-US"/>
                                </w:rPr>
                                <m:t>*</m:t>
                              </m:r>
                            </m:sup>
                          </m:sSubSup>
                        </m:e>
                      </m:nary>
                    </m:num>
                    <m:den>
                      <m:nary>
                        <m:naryPr>
                          <m:chr m:val="∑"/>
                          <m:limLoc m:val="undOvr"/>
                          <m:grow m:val="1"/>
                          <m:ctrlPr>
                            <w:rPr>
                              <w:rFonts w:ascii="Cambria Math" w:eastAsia="Times New Roman" w:hAnsi="Cambria Math" w:cstheme="majorBidi"/>
                              <w:i/>
                              <w:kern w:val="0"/>
                              <w:sz w:val="20"/>
                              <w:szCs w:val="20"/>
                              <w:lang w:eastAsia="en-US"/>
                            </w:rPr>
                          </m:ctrlPr>
                        </m:naryPr>
                        <m:sub>
                          <m:r>
                            <w:rPr>
                              <w:rFonts w:ascii="Cambria Math" w:eastAsia="Times New Roman" w:hAnsi="Cambria Math" w:cstheme="majorBidi"/>
                              <w:kern w:val="0"/>
                              <w:sz w:val="20"/>
                              <w:szCs w:val="20"/>
                              <w:lang w:eastAsia="en-US"/>
                            </w:rPr>
                            <m:t>j=1</m:t>
                          </m:r>
                        </m:sub>
                        <m:sup>
                          <m:r>
                            <w:rPr>
                              <w:rFonts w:ascii="Cambria Math" w:eastAsia="Times New Roman" w:hAnsi="Cambria Math" w:cstheme="majorBidi"/>
                              <w:kern w:val="0"/>
                              <w:sz w:val="20"/>
                              <w:szCs w:val="20"/>
                              <w:lang w:eastAsia="en-US"/>
                            </w:rPr>
                            <m:t>n</m:t>
                          </m:r>
                        </m:sup>
                        <m:e>
                          <m:r>
                            <w:rPr>
                              <w:rFonts w:ascii="Cambria Math" w:eastAsia="Times New Roman" w:hAnsi="Cambria Math" w:cstheme="majorBidi"/>
                              <w:kern w:val="0"/>
                              <w:sz w:val="20"/>
                              <w:szCs w:val="20"/>
                              <w:lang w:eastAsia="en-US"/>
                            </w:rPr>
                            <m:t>p</m:t>
                          </m:r>
                        </m:e>
                      </m:nary>
                      <m:sSubSup>
                        <m:sSubSupPr>
                          <m:ctrlPr>
                            <w:rPr>
                              <w:rFonts w:ascii="Cambria Math" w:eastAsia="Times New Roman" w:hAnsi="Cambria Math" w:cstheme="majorBidi"/>
                              <w:i/>
                              <w:kern w:val="0"/>
                              <w:sz w:val="20"/>
                              <w:szCs w:val="20"/>
                              <w:lang w:eastAsia="en-US"/>
                            </w:rPr>
                          </m:ctrlPr>
                        </m:sSubSupPr>
                        <m:e>
                          <m:r>
                            <w:rPr>
                              <w:rFonts w:ascii="Cambria Math" w:eastAsia="Times New Roman" w:hAnsi="Cambria Math" w:cstheme="majorBidi"/>
                              <w:kern w:val="0"/>
                              <w:sz w:val="20"/>
                              <w:szCs w:val="20"/>
                              <w:lang w:eastAsia="en-US"/>
                            </w:rPr>
                            <m:t>i</m:t>
                          </m:r>
                        </m:e>
                        <m:sub>
                          <m:r>
                            <w:rPr>
                              <w:rFonts w:ascii="Cambria Math" w:eastAsia="Times New Roman" w:hAnsi="Cambria Math" w:cstheme="majorBidi"/>
                              <w:kern w:val="0"/>
                              <w:sz w:val="20"/>
                              <w:szCs w:val="20"/>
                              <w:lang w:eastAsia="en-US"/>
                            </w:rPr>
                            <m:t>j</m:t>
                          </m:r>
                        </m:sub>
                        <m:sup>
                          <m:r>
                            <w:rPr>
                              <w:rFonts w:ascii="Cambria Math" w:eastAsia="Times New Roman" w:hAnsi="Cambria Math" w:cstheme="majorBidi"/>
                              <w:kern w:val="0"/>
                              <w:sz w:val="20"/>
                              <w:szCs w:val="20"/>
                              <w:lang w:eastAsia="en-US"/>
                            </w:rPr>
                            <m:t>*</m:t>
                          </m:r>
                        </m:sup>
                      </m:sSubSup>
                      <m:rad>
                        <m:radPr>
                          <m:degHide m:val="1"/>
                          <m:ctrlPr>
                            <w:rPr>
                              <w:rFonts w:ascii="Cambria Math" w:eastAsia="Times New Roman" w:hAnsi="Cambria Math" w:cstheme="majorBidi"/>
                              <w:i/>
                              <w:kern w:val="0"/>
                              <w:sz w:val="20"/>
                              <w:szCs w:val="20"/>
                              <w:lang w:eastAsia="en-US"/>
                            </w:rPr>
                          </m:ctrlPr>
                        </m:radPr>
                        <m:deg/>
                        <m:e>
                          <m:sSubSup>
                            <m:sSubSupPr>
                              <m:ctrlPr>
                                <w:rPr>
                                  <w:rFonts w:ascii="Cambria Math" w:eastAsia="Times New Roman" w:hAnsi="Cambria Math" w:cstheme="majorBidi"/>
                                  <w:i/>
                                  <w:kern w:val="0"/>
                                  <w:sz w:val="20"/>
                                  <w:szCs w:val="20"/>
                                  <w:lang w:eastAsia="en-US"/>
                                </w:rPr>
                              </m:ctrlPr>
                            </m:sSubSupPr>
                            <m:e>
                              <m:r>
                                <w:rPr>
                                  <w:rFonts w:ascii="Cambria Math" w:eastAsia="Times New Roman" w:hAnsi="Cambria Math" w:cstheme="majorBidi"/>
                                  <w:kern w:val="0"/>
                                  <w:sz w:val="20"/>
                                  <w:szCs w:val="20"/>
                                  <w:lang w:eastAsia="en-US"/>
                                </w:rPr>
                                <m:t>a</m:t>
                              </m:r>
                            </m:e>
                            <m:sub>
                              <m:sSubSup>
                                <m:sSubSupPr>
                                  <m:ctrlPr>
                                    <w:rPr>
                                      <w:rFonts w:ascii="Cambria Math" w:eastAsia="Times New Roman" w:hAnsi="Cambria Math" w:cstheme="majorBidi"/>
                                      <w:i/>
                                      <w:kern w:val="0"/>
                                      <w:sz w:val="20"/>
                                      <w:szCs w:val="20"/>
                                      <w:lang w:eastAsia="en-US"/>
                                    </w:rPr>
                                  </m:ctrlPr>
                                </m:sSubSupPr>
                                <m:e>
                                  <m:r>
                                    <w:rPr>
                                      <w:rFonts w:ascii="Cambria Math" w:eastAsia="Times New Roman" w:hAnsi="Cambria Math" w:cstheme="majorBidi"/>
                                      <w:kern w:val="0"/>
                                      <w:sz w:val="20"/>
                                      <w:szCs w:val="20"/>
                                      <w:lang w:eastAsia="en-US"/>
                                    </w:rPr>
                                    <m:t>i</m:t>
                                  </m:r>
                                </m:e>
                                <m:sub>
                                  <m:r>
                                    <w:rPr>
                                      <w:rFonts w:ascii="Cambria Math" w:eastAsia="Times New Roman" w:hAnsi="Cambria Math" w:cstheme="majorBidi"/>
                                      <w:kern w:val="0"/>
                                      <w:sz w:val="20"/>
                                      <w:szCs w:val="20"/>
                                      <w:lang w:eastAsia="en-US"/>
                                    </w:rPr>
                                    <m:t>5</m:t>
                                  </m:r>
                                </m:sub>
                                <m:sup>
                                  <m:r>
                                    <w:rPr>
                                      <w:rFonts w:ascii="Cambria Math" w:eastAsia="Times New Roman" w:hAnsi="Cambria Math" w:cstheme="majorBidi"/>
                                      <w:kern w:val="0"/>
                                      <w:sz w:val="20"/>
                                      <w:szCs w:val="20"/>
                                      <w:lang w:eastAsia="en-US"/>
                                    </w:rPr>
                                    <m:t>1</m:t>
                                  </m:r>
                                </m:sup>
                              </m:sSubSup>
                            </m:sub>
                            <m:sup>
                              <m:r>
                                <w:rPr>
                                  <w:rFonts w:ascii="Cambria Math" w:eastAsia="Times New Roman" w:hAnsi="Cambria Math" w:cstheme="majorBidi"/>
                                  <w:kern w:val="0"/>
                                  <w:sz w:val="20"/>
                                  <w:szCs w:val="20"/>
                                  <w:lang w:eastAsia="en-US"/>
                                </w:rPr>
                                <m:t>*</m:t>
                              </m:r>
                            </m:sup>
                          </m:sSubSup>
                        </m:e>
                      </m:rad>
                    </m:den>
                  </m:f>
                </m:e>
              </m:d>
              <m:r>
                <w:rPr>
                  <w:rFonts w:ascii="Cambria Math" w:eastAsia="Times New Roman" w:hAnsi="Cambria Math" w:cstheme="majorBidi"/>
                  <w:kern w:val="0"/>
                  <w:sz w:val="20"/>
                  <w:szCs w:val="20"/>
                  <w:lang w:eastAsia="en-US"/>
                </w:rPr>
                <m:t>⋅</m:t>
              </m:r>
              <m:sSup>
                <m:sSupPr>
                  <m:ctrlPr>
                    <w:rPr>
                      <w:rFonts w:ascii="Cambria Math" w:eastAsia="Times New Roman" w:hAnsi="Cambria Math" w:cstheme="majorBidi"/>
                      <w:i/>
                      <w:kern w:val="0"/>
                      <w:sz w:val="20"/>
                      <w:szCs w:val="20"/>
                      <w:lang w:eastAsia="en-US"/>
                    </w:rPr>
                  </m:ctrlPr>
                </m:sSupPr>
                <m:e>
                  <m:d>
                    <m:dPr>
                      <m:begChr m:val="["/>
                      <m:endChr m:val="]"/>
                      <m:ctrlPr>
                        <w:rPr>
                          <w:rFonts w:ascii="Cambria Math" w:eastAsia="Times New Roman" w:hAnsi="Cambria Math" w:cstheme="majorBidi"/>
                          <w:i/>
                          <w:kern w:val="0"/>
                          <w:sz w:val="20"/>
                          <w:szCs w:val="20"/>
                          <w:lang w:eastAsia="en-US"/>
                        </w:rPr>
                      </m:ctrlPr>
                    </m:dPr>
                    <m:e>
                      <m:r>
                        <w:rPr>
                          <w:rFonts w:ascii="Cambria Math" w:eastAsia="Times New Roman" w:hAnsi="Cambria Math" w:cstheme="majorBidi"/>
                          <w:kern w:val="0"/>
                          <w:sz w:val="20"/>
                          <w:szCs w:val="20"/>
                          <w:lang w:eastAsia="en-US"/>
                        </w:rPr>
                        <m:t>1-</m:t>
                      </m:r>
                      <m:f>
                        <m:fPr>
                          <m:ctrlPr>
                            <w:rPr>
                              <w:rFonts w:ascii="Cambria Math" w:eastAsia="Times New Roman" w:hAnsi="Cambria Math" w:cstheme="majorBidi"/>
                              <w:i/>
                              <w:kern w:val="0"/>
                              <w:sz w:val="20"/>
                              <w:szCs w:val="20"/>
                              <w:lang w:eastAsia="en-US"/>
                            </w:rPr>
                          </m:ctrlPr>
                        </m:fPr>
                        <m:num>
                          <m:r>
                            <w:rPr>
                              <w:rFonts w:ascii="Cambria Math" w:eastAsia="Times New Roman" w:hAnsi="Cambria Math" w:cstheme="majorBidi"/>
                              <w:kern w:val="0"/>
                              <w:sz w:val="20"/>
                              <w:szCs w:val="20"/>
                              <w:lang w:eastAsia="en-US"/>
                            </w:rPr>
                            <m:t>1</m:t>
                          </m:r>
                        </m:num>
                        <m:den>
                          <m:rad>
                            <m:radPr>
                              <m:degHide m:val="1"/>
                              <m:ctrlPr>
                                <w:rPr>
                                  <w:rFonts w:ascii="Cambria Math" w:eastAsia="Times New Roman" w:hAnsi="Cambria Math" w:cstheme="majorBidi"/>
                                  <w:i/>
                                  <w:kern w:val="0"/>
                                  <w:sz w:val="20"/>
                                  <w:szCs w:val="20"/>
                                  <w:lang w:eastAsia="en-US"/>
                                </w:rPr>
                              </m:ctrlPr>
                            </m:radPr>
                            <m:deg/>
                            <m:e>
                              <m:r>
                                <w:rPr>
                                  <w:rFonts w:ascii="Cambria Math" w:eastAsia="Times New Roman" w:hAnsi="Cambria Math" w:cstheme="majorBidi"/>
                                  <w:kern w:val="0"/>
                                  <w:sz w:val="20"/>
                                  <w:szCs w:val="20"/>
                                  <w:lang w:eastAsia="en-US"/>
                                </w:rPr>
                                <m:t>z</m:t>
                              </m:r>
                            </m:e>
                          </m:rad>
                        </m:den>
                      </m:f>
                    </m:e>
                  </m:d>
                </m:e>
                <m:sup>
                  <m:r>
                    <w:rPr>
                      <w:rFonts w:ascii="Cambria Math" w:eastAsia="Times New Roman" w:hAnsi="Cambria Math" w:cstheme="majorBidi"/>
                      <w:kern w:val="0"/>
                      <w:sz w:val="20"/>
                      <w:szCs w:val="20"/>
                      <w:lang w:eastAsia="en-US"/>
                    </w:rPr>
                    <m:t>-1</m:t>
                  </m:r>
                </m:sup>
              </m:sSup>
              <m:r>
                <w:rPr>
                  <w:rFonts w:ascii="Cambria Math" w:eastAsia="Times New Roman" w:hAnsi="Cambria Math" w:cstheme="majorBidi"/>
                  <w:kern w:val="0"/>
                  <w:sz w:val="20"/>
                  <w:szCs w:val="20"/>
                  <w:lang w:eastAsia="en-US"/>
                </w:rPr>
                <m:t>⋅</m:t>
              </m:r>
              <m:d>
                <m:dPr>
                  <m:ctrlPr>
                    <w:rPr>
                      <w:rFonts w:ascii="Cambria Math" w:eastAsia="Times New Roman" w:hAnsi="Cambria Math" w:cstheme="majorBidi"/>
                      <w:i/>
                      <w:kern w:val="0"/>
                      <w:sz w:val="20"/>
                      <w:szCs w:val="20"/>
                      <w:lang w:eastAsia="en-US"/>
                    </w:rPr>
                  </m:ctrlPr>
                </m:dPr>
                <m:e>
                  <m:r>
                    <w:rPr>
                      <w:rFonts w:ascii="Cambria Math" w:eastAsia="Times New Roman" w:hAnsi="Cambria Math" w:cstheme="majorBidi"/>
                      <w:kern w:val="0"/>
                      <w:sz w:val="20"/>
                      <w:szCs w:val="20"/>
                      <w:lang w:eastAsia="en-US"/>
                    </w:rPr>
                    <m:t>100</m:t>
                  </m:r>
                </m:e>
              </m:d>
            </m:oMath>
          </w:p>
          <w:p w14:paraId="076B65C8" w14:textId="77777777" w:rsidR="00C16836" w:rsidRPr="009C5AD2" w:rsidRDefault="00CB0DEB" w:rsidP="00C16836">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18"/>
                <w:szCs w:val="18"/>
                <w:lang w:eastAsia="en-US"/>
              </w:rPr>
              <w:t>p</w:t>
            </w:r>
            <w:r>
              <w:rPr>
                <w:rFonts w:asciiTheme="majorBidi" w:eastAsia="Times New Roman" w:hAnsiTheme="majorBidi" w:cstheme="majorBidi"/>
                <w:kern w:val="0"/>
                <w:sz w:val="18"/>
                <w:szCs w:val="18"/>
                <w:vertAlign w:val="subscript"/>
                <w:lang w:eastAsia="en-US"/>
              </w:rPr>
              <w:t>ij</w:t>
            </w:r>
            <w:r>
              <w:rPr>
                <w:rFonts w:asciiTheme="majorBidi" w:eastAsia="Times New Roman" w:hAnsiTheme="majorBidi" w:cstheme="majorBidi"/>
                <w:kern w:val="0"/>
                <w:sz w:val="18"/>
                <w:szCs w:val="18"/>
                <w:vertAlign w:val="superscript"/>
                <w:lang w:eastAsia="en-US"/>
              </w:rPr>
              <w:t>*</w:t>
            </w:r>
            <w:r>
              <w:rPr>
                <w:rFonts w:asciiTheme="majorBidi" w:eastAsia="Times New Roman" w:hAnsiTheme="majorBidi" w:cstheme="majorBidi"/>
                <w:kern w:val="0"/>
                <w:sz w:val="18"/>
                <w:szCs w:val="18"/>
                <w:lang w:eastAsia="en-US"/>
              </w:rPr>
              <w:t xml:space="preserve"> = perimeter of patch ij in terms of number of cell surfaces.</w:t>
            </w:r>
          </w:p>
          <w:p w14:paraId="3E2C6E11" w14:textId="77777777" w:rsidR="00C16836" w:rsidRPr="009C5AD2" w:rsidRDefault="00C16836" w:rsidP="00C16836">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w:t>
            </w:r>
            <w:r>
              <w:rPr>
                <w:rFonts w:asciiTheme="majorBidi" w:eastAsia="Times New Roman" w:hAnsiTheme="majorBidi" w:cstheme="majorBidi"/>
                <w:kern w:val="0"/>
                <w:sz w:val="18"/>
                <w:szCs w:val="18"/>
                <w:vertAlign w:val="subscript"/>
                <w:lang w:eastAsia="en-US"/>
              </w:rPr>
              <w:t>ij</w:t>
            </w:r>
            <w:r>
              <w:rPr>
                <w:rFonts w:asciiTheme="majorBidi" w:eastAsia="Times New Roman" w:hAnsiTheme="majorBidi" w:cstheme="majorBidi"/>
                <w:kern w:val="0"/>
                <w:sz w:val="18"/>
                <w:szCs w:val="18"/>
                <w:vertAlign w:val="superscript"/>
                <w:lang w:eastAsia="en-US"/>
              </w:rPr>
              <w:t>*</w:t>
            </w:r>
            <w:r>
              <w:rPr>
                <w:rFonts w:asciiTheme="majorBidi" w:eastAsia="Times New Roman" w:hAnsiTheme="majorBidi" w:cstheme="majorBidi"/>
                <w:kern w:val="0"/>
                <w:sz w:val="18"/>
                <w:szCs w:val="18"/>
                <w:lang w:eastAsia="en-US"/>
              </w:rPr>
              <w:t xml:space="preserve"> = area of patch ij in terms of number of cells.</w:t>
            </w:r>
          </w:p>
          <w:p w14:paraId="5766BADD" w14:textId="498755CC" w:rsidR="00CB0DEB" w:rsidRPr="009C5AD2" w:rsidRDefault="00C16836" w:rsidP="00C16836">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Z = total number of cells in the landscape.</w:t>
            </w:r>
          </w:p>
        </w:tc>
        <w:tc>
          <w:tcPr>
            <w:tcW w:w="4950" w:type="dxa"/>
            <w:tcBorders>
              <w:top w:val="single" w:sz="6" w:space="0" w:color="auto"/>
              <w:left w:val="single" w:sz="6" w:space="0" w:color="auto"/>
              <w:bottom w:val="single" w:sz="6" w:space="0" w:color="auto"/>
              <w:right w:val="single" w:sz="6" w:space="0" w:color="auto"/>
            </w:tcBorders>
            <w:hideMark/>
          </w:tcPr>
          <w:p w14:paraId="1B1B8ABA" w14:textId="77777777" w:rsidR="00CB0DEB" w:rsidRPr="009C5AD2" w:rsidRDefault="00CB0DEB" w:rsidP="00CB0DEB">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8"/>
                <w:szCs w:val="18"/>
                <w:lang w:eastAsia="en-US"/>
              </w:rPr>
              <w:t>COHESION equals 1 minus the sum of patch perimeter divided by the sum of patch perimeter times the square root of patch area for patches of the corresponding patch type, divided by 1 minus 1 over the square root of the total number of cells in the landscape, multiplied by 100 to convert to a percentage. </w:t>
            </w:r>
          </w:p>
          <w:p w14:paraId="0AA5BE44" w14:textId="77777777" w:rsidR="00CB0DEB" w:rsidRPr="009C5AD2" w:rsidRDefault="00CB0DEB" w:rsidP="00C16836">
            <w:pPr>
              <w:widowControl/>
              <w:numPr>
                <w:ilvl w:val="0"/>
                <w:numId w:val="12"/>
              </w:numPr>
              <w:tabs>
                <w:tab w:val="clear" w:pos="720"/>
                <w:tab w:val="num" w:pos="361"/>
              </w:tabs>
              <w:ind w:left="181" w:firstLine="0"/>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It assesses the physical connectedness of greenspace. </w:t>
            </w:r>
          </w:p>
          <w:p w14:paraId="1380EF21"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lower value indicates that greenspaces become progressively subdivided and less physically connected. </w:t>
            </w:r>
          </w:p>
        </w:tc>
        <w:tc>
          <w:tcPr>
            <w:tcW w:w="1460" w:type="dxa"/>
            <w:tcBorders>
              <w:top w:val="single" w:sz="6" w:space="0" w:color="auto"/>
              <w:left w:val="single" w:sz="6" w:space="0" w:color="auto"/>
              <w:bottom w:val="single" w:sz="6" w:space="0" w:color="auto"/>
              <w:right w:val="single" w:sz="6" w:space="0" w:color="auto"/>
            </w:tcBorders>
            <w:hideMark/>
          </w:tcPr>
          <w:p w14:paraId="54626FD9"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None </w:t>
            </w:r>
          </w:p>
          <w:p w14:paraId="5F69ADC6"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(0 &lt; COHESION &lt; 100) </w:t>
            </w:r>
          </w:p>
        </w:tc>
      </w:tr>
      <w:tr w:rsidR="00CB0DEB" w:rsidRPr="009C5AD2" w14:paraId="0A1AC376" w14:textId="77777777" w:rsidTr="00E5580A">
        <w:trPr>
          <w:trHeight w:val="300"/>
        </w:trPr>
        <w:tc>
          <w:tcPr>
            <w:tcW w:w="1087" w:type="dxa"/>
            <w:vMerge w:val="restart"/>
            <w:tcBorders>
              <w:top w:val="single" w:sz="6" w:space="0" w:color="auto"/>
              <w:left w:val="single" w:sz="6" w:space="0" w:color="auto"/>
              <w:bottom w:val="single" w:sz="6" w:space="0" w:color="auto"/>
              <w:right w:val="single" w:sz="6" w:space="0" w:color="auto"/>
            </w:tcBorders>
            <w:hideMark/>
          </w:tcPr>
          <w:p w14:paraId="1B021E0B"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kern w:val="0"/>
                <w:sz w:val="20"/>
                <w:szCs w:val="20"/>
                <w:lang w:eastAsia="en-US"/>
              </w:rPr>
              <w:t>Aggregation metrics</w:t>
            </w:r>
            <w:r>
              <w:rPr>
                <w:rFonts w:asciiTheme="majorBidi" w:eastAsia="Times New Roman" w:hAnsiTheme="majorBidi" w:cstheme="majorBidi"/>
                <w:kern w:val="0"/>
                <w:sz w:val="20"/>
                <w:szCs w:val="20"/>
                <w:lang w:eastAsia="en-US"/>
              </w:rPr>
              <w:t> </w:t>
            </w:r>
          </w:p>
        </w:tc>
        <w:tc>
          <w:tcPr>
            <w:tcW w:w="1350" w:type="dxa"/>
            <w:tcBorders>
              <w:top w:val="single" w:sz="6" w:space="0" w:color="auto"/>
              <w:left w:val="single" w:sz="6" w:space="0" w:color="auto"/>
              <w:bottom w:val="single" w:sz="6" w:space="0" w:color="auto"/>
              <w:right w:val="single" w:sz="6" w:space="0" w:color="auto"/>
            </w:tcBorders>
            <w:hideMark/>
          </w:tcPr>
          <w:p w14:paraId="3B474012"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p w14:paraId="3771D598"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Aggregation Index (AI) </w:t>
            </w:r>
          </w:p>
          <w:p w14:paraId="251C0701"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4770" w:type="dxa"/>
            <w:tcBorders>
              <w:top w:val="single" w:sz="6" w:space="0" w:color="auto"/>
              <w:left w:val="single" w:sz="6" w:space="0" w:color="auto"/>
              <w:bottom w:val="single" w:sz="6" w:space="0" w:color="auto"/>
              <w:right w:val="single" w:sz="6" w:space="0" w:color="auto"/>
            </w:tcBorders>
            <w:hideMark/>
          </w:tcPr>
          <w:p w14:paraId="3F458296" w14:textId="0BE4FA65"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2"/>
                <w:lang w:eastAsia="en-US"/>
              </w:rPr>
              <w:t>  </w:t>
            </w:r>
            <m:oMath>
              <m:r>
                <w:rPr>
                  <w:rFonts w:ascii="Cambria Math" w:eastAsia="Times New Roman" w:hAnsi="Cambria Math" w:cstheme="majorBidi"/>
                  <w:kern w:val="0"/>
                  <w:sz w:val="22"/>
                  <w:lang w:eastAsia="en-US"/>
                </w:rPr>
                <m:t>AI=</m:t>
              </m:r>
              <m:d>
                <m:dPr>
                  <m:begChr m:val="["/>
                  <m:endChr m:val="]"/>
                  <m:ctrlPr>
                    <w:rPr>
                      <w:rFonts w:ascii="Cambria Math" w:eastAsia="Times New Roman" w:hAnsi="Cambria Math" w:cstheme="majorBidi"/>
                      <w:i/>
                      <w:kern w:val="0"/>
                      <w:sz w:val="22"/>
                      <w:lang w:eastAsia="en-US"/>
                    </w:rPr>
                  </m:ctrlPr>
                </m:dPr>
                <m:e>
                  <m:f>
                    <m:fPr>
                      <m:ctrlPr>
                        <w:rPr>
                          <w:rFonts w:ascii="Cambria Math" w:eastAsia="Times New Roman" w:hAnsi="Cambria Math" w:cstheme="majorBidi"/>
                          <w:i/>
                          <w:kern w:val="0"/>
                          <w:sz w:val="22"/>
                          <w:lang w:eastAsia="en-US"/>
                        </w:rPr>
                      </m:ctrlPr>
                    </m:fPr>
                    <m:num>
                      <m:sSub>
                        <m:sSubPr>
                          <m:ctrlPr>
                            <w:rPr>
                              <w:rFonts w:ascii="Cambria Math" w:eastAsia="Times New Roman" w:hAnsi="Cambria Math" w:cstheme="majorBidi"/>
                              <w:i/>
                              <w:kern w:val="0"/>
                              <w:sz w:val="22"/>
                              <w:lang w:eastAsia="en-US"/>
                            </w:rPr>
                          </m:ctrlPr>
                        </m:sSubPr>
                        <m:e>
                          <m:r>
                            <w:rPr>
                              <w:rFonts w:ascii="Cambria Math" w:eastAsia="Times New Roman" w:hAnsi="Cambria Math" w:cstheme="majorBidi"/>
                              <w:kern w:val="0"/>
                              <w:sz w:val="22"/>
                              <w:lang w:eastAsia="en-US"/>
                            </w:rPr>
                            <m:t>g</m:t>
                          </m:r>
                        </m:e>
                        <m:sub>
                          <m:r>
                            <w:rPr>
                              <w:rFonts w:ascii="Cambria Math" w:eastAsia="Times New Roman" w:hAnsi="Cambria Math" w:cstheme="majorBidi"/>
                              <w:kern w:val="0"/>
                              <w:sz w:val="22"/>
                              <w:lang w:eastAsia="en-US"/>
                            </w:rPr>
                            <m:t>ii</m:t>
                          </m:r>
                        </m:sub>
                      </m:sSub>
                    </m:num>
                    <m:den>
                      <m:func>
                        <m:funcPr>
                          <m:ctrlPr>
                            <w:rPr>
                              <w:rFonts w:ascii="Cambria Math" w:eastAsia="Times New Roman" w:hAnsi="Cambria Math" w:cstheme="majorBidi"/>
                              <w:i/>
                              <w:kern w:val="0"/>
                              <w:sz w:val="22"/>
                              <w:lang w:eastAsia="en-US"/>
                            </w:rPr>
                          </m:ctrlPr>
                        </m:funcPr>
                        <m:fName>
                          <m:r>
                            <w:rPr>
                              <w:rFonts w:ascii="Cambria Math" w:eastAsia="Times New Roman" w:hAnsi="Cambria Math" w:cstheme="majorBidi"/>
                              <w:kern w:val="0"/>
                              <w:sz w:val="22"/>
                              <w:lang w:eastAsia="en-US"/>
                            </w:rPr>
                            <m:t>max</m:t>
                          </m:r>
                        </m:fName>
                        <m:e>
                          <m:sSub>
                            <m:sSubPr>
                              <m:ctrlPr>
                                <w:rPr>
                                  <w:rFonts w:ascii="Cambria Math" w:eastAsia="Times New Roman" w:hAnsi="Cambria Math" w:cstheme="majorBidi"/>
                                  <w:i/>
                                  <w:kern w:val="0"/>
                                  <w:sz w:val="22"/>
                                  <w:lang w:eastAsia="en-US"/>
                                </w:rPr>
                              </m:ctrlPr>
                            </m:sSubPr>
                            <m:e>
                              <m:r>
                                <w:rPr>
                                  <w:rFonts w:ascii="Cambria Math" w:eastAsia="Times New Roman" w:hAnsi="Cambria Math" w:cstheme="majorBidi"/>
                                  <w:kern w:val="0"/>
                                  <w:sz w:val="22"/>
                                  <w:lang w:eastAsia="en-US"/>
                                </w:rPr>
                                <m:t>g</m:t>
                              </m:r>
                            </m:e>
                            <m:sub>
                              <m:r>
                                <w:rPr>
                                  <w:rFonts w:ascii="Cambria Math" w:eastAsia="Times New Roman" w:hAnsi="Cambria Math" w:cstheme="majorBidi"/>
                                  <w:kern w:val="0"/>
                                  <w:sz w:val="22"/>
                                  <w:lang w:eastAsia="en-US"/>
                                </w:rPr>
                                <m:t>ii</m:t>
                              </m:r>
                            </m:sub>
                          </m:sSub>
                        </m:e>
                      </m:func>
                    </m:den>
                  </m:f>
                </m:e>
              </m:d>
              <m:d>
                <m:dPr>
                  <m:ctrlPr>
                    <w:rPr>
                      <w:rFonts w:ascii="Cambria Math" w:eastAsia="Times New Roman" w:hAnsi="Cambria Math" w:cstheme="majorBidi"/>
                      <w:i/>
                      <w:kern w:val="0"/>
                      <w:sz w:val="22"/>
                      <w:lang w:eastAsia="en-US"/>
                    </w:rPr>
                  </m:ctrlPr>
                </m:dPr>
                <m:e>
                  <m:r>
                    <w:rPr>
                      <w:rFonts w:ascii="Cambria Math" w:eastAsia="Times New Roman" w:hAnsi="Cambria Math" w:cstheme="majorBidi"/>
                      <w:kern w:val="0"/>
                      <w:sz w:val="22"/>
                      <w:lang w:eastAsia="en-US"/>
                    </w:rPr>
                    <m:t>100</m:t>
                  </m:r>
                </m:e>
              </m:d>
            </m:oMath>
          </w:p>
          <w:p w14:paraId="68AF8A6F"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2"/>
                <w:lang w:eastAsia="en-US"/>
              </w:rPr>
              <w:t> </w:t>
            </w:r>
          </w:p>
          <w:p w14:paraId="48D237C7" w14:textId="77777777" w:rsidR="00C16836" w:rsidRPr="009C5AD2" w:rsidRDefault="00CB0DEB" w:rsidP="00C16836">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18"/>
                <w:szCs w:val="18"/>
                <w:lang w:eastAsia="en-US"/>
              </w:rPr>
              <w:t>g</w:t>
            </w:r>
            <w:r>
              <w:rPr>
                <w:rFonts w:asciiTheme="majorBidi" w:eastAsia="Times New Roman" w:hAnsiTheme="majorBidi" w:cstheme="majorBidi"/>
                <w:kern w:val="0"/>
                <w:sz w:val="18"/>
                <w:szCs w:val="18"/>
                <w:vertAlign w:val="subscript"/>
                <w:lang w:eastAsia="en-US"/>
              </w:rPr>
              <w:t>ii</w:t>
            </w:r>
            <w:r>
              <w:rPr>
                <w:rFonts w:asciiTheme="majorBidi" w:eastAsia="Times New Roman" w:hAnsiTheme="majorBidi" w:cstheme="majorBidi"/>
                <w:kern w:val="0"/>
                <w:sz w:val="18"/>
                <w:szCs w:val="18"/>
                <w:lang w:eastAsia="en-US"/>
              </w:rPr>
              <w:t xml:space="preserve"> = number of like adjacencies (joins) between pixels of patch type (class) i based on the single-count method.</w:t>
            </w:r>
          </w:p>
          <w:p w14:paraId="315EAB47" w14:textId="43B2A69C" w:rsidR="00CB0DEB" w:rsidRPr="009C5AD2" w:rsidRDefault="00C16836" w:rsidP="00C16836">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8"/>
                <w:szCs w:val="18"/>
                <w:lang w:eastAsia="en-US"/>
              </w:rPr>
              <w:t>max-g</w:t>
            </w:r>
            <w:r>
              <w:rPr>
                <w:rFonts w:asciiTheme="majorBidi" w:eastAsia="Times New Roman" w:hAnsiTheme="majorBidi" w:cstheme="majorBidi"/>
                <w:kern w:val="0"/>
                <w:sz w:val="18"/>
                <w:szCs w:val="18"/>
                <w:vertAlign w:val="subscript"/>
                <w:lang w:eastAsia="en-US"/>
              </w:rPr>
              <w:t>ii</w:t>
            </w:r>
            <w:r>
              <w:rPr>
                <w:rFonts w:asciiTheme="majorBidi" w:eastAsia="Times New Roman" w:hAnsiTheme="majorBidi" w:cstheme="majorBidi"/>
                <w:kern w:val="0"/>
                <w:sz w:val="18"/>
                <w:szCs w:val="18"/>
                <w:lang w:eastAsia="en-US"/>
              </w:rPr>
              <w:t xml:space="preserve"> = maximum number of like adjacencies (joins) between pixels of patch type (class) i (see below) based on the single-count method.</w:t>
            </w:r>
          </w:p>
          <w:p w14:paraId="17DD8C4D"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4950" w:type="dxa"/>
            <w:tcBorders>
              <w:top w:val="single" w:sz="6" w:space="0" w:color="auto"/>
              <w:left w:val="single" w:sz="6" w:space="0" w:color="auto"/>
              <w:bottom w:val="single" w:sz="6" w:space="0" w:color="auto"/>
              <w:right w:val="single" w:sz="6" w:space="0" w:color="auto"/>
            </w:tcBorders>
            <w:hideMark/>
          </w:tcPr>
          <w:p w14:paraId="295C20B8" w14:textId="77777777" w:rsidR="00CB0DEB" w:rsidRPr="009C5AD2" w:rsidRDefault="00CB0DEB" w:rsidP="00CB0DEB">
            <w:pPr>
              <w:widowControl/>
              <w:jc w:val="left"/>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8"/>
                <w:szCs w:val="18"/>
                <w:lang w:eastAsia="en-US"/>
              </w:rPr>
              <w:t>AI equals the number of like adjacencies involving the corresponding class, divided by the maximum possible number of like adjacencies involving the corresponding class, which is achieved when the class is maximally clumped into a single, compact patch; multiplied by 100 (to convert to a percentage). </w:t>
            </w:r>
          </w:p>
          <w:p w14:paraId="4E5FF5E7" w14:textId="77777777" w:rsidR="00CB0DEB" w:rsidRPr="009C5AD2" w:rsidRDefault="00CB0DEB" w:rsidP="00C16836">
            <w:pPr>
              <w:widowControl/>
              <w:numPr>
                <w:ilvl w:val="0"/>
                <w:numId w:val="14"/>
              </w:numPr>
              <w:tabs>
                <w:tab w:val="clear" w:pos="720"/>
              </w:tabs>
              <w:ind w:left="181" w:hanging="14"/>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higher value signifies a more aggregated distribution of greenspace. </w:t>
            </w:r>
          </w:p>
          <w:p w14:paraId="52698E8F" w14:textId="77777777" w:rsidR="00CB0DEB" w:rsidRPr="009C5AD2" w:rsidRDefault="00CB0DEB" w:rsidP="00C16836">
            <w:pPr>
              <w:widowControl/>
              <w:numPr>
                <w:ilvl w:val="0"/>
                <w:numId w:val="15"/>
              </w:numPr>
              <w:tabs>
                <w:tab w:val="clear" w:pos="720"/>
                <w:tab w:val="num" w:pos="361"/>
              </w:tabs>
              <w:ind w:left="181" w:firstLine="0"/>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18"/>
                <w:szCs w:val="18"/>
                <w:lang w:eastAsia="en-US"/>
              </w:rPr>
              <w:t>The value equals 100 when greenspace is maximally aggregated into a single, compact one. </w:t>
            </w:r>
          </w:p>
        </w:tc>
        <w:tc>
          <w:tcPr>
            <w:tcW w:w="1460" w:type="dxa"/>
            <w:tcBorders>
              <w:top w:val="single" w:sz="6" w:space="0" w:color="auto"/>
              <w:left w:val="single" w:sz="6" w:space="0" w:color="auto"/>
              <w:bottom w:val="single" w:sz="6" w:space="0" w:color="auto"/>
              <w:right w:val="single" w:sz="6" w:space="0" w:color="auto"/>
            </w:tcBorders>
            <w:hideMark/>
          </w:tcPr>
          <w:p w14:paraId="368EF684"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p w14:paraId="2593F561"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Percent </w:t>
            </w:r>
          </w:p>
          <w:p w14:paraId="38395265"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(0 &lt;= AI &lt;=100) </w:t>
            </w:r>
          </w:p>
        </w:tc>
      </w:tr>
      <w:tr w:rsidR="00337EE1" w:rsidRPr="009C5AD2" w14:paraId="331D80CE"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tcPr>
          <w:p w14:paraId="1DC42919" w14:textId="77777777" w:rsidR="00337EE1" w:rsidRPr="009C5AD2" w:rsidRDefault="00337EE1" w:rsidP="00CB0DEB">
            <w:pPr>
              <w:widowControl/>
              <w:jc w:val="left"/>
              <w:textAlignment w:val="baseline"/>
              <w:rPr>
                <w:rFonts w:asciiTheme="majorBidi" w:eastAsia="Times New Roman" w:hAnsiTheme="majorBidi" w:cstheme="majorBidi"/>
                <w:b/>
                <w:bCs/>
                <w:kern w:val="0"/>
                <w:sz w:val="20"/>
                <w:szCs w:val="20"/>
                <w:lang w:eastAsia="en-US"/>
              </w:rPr>
            </w:pPr>
          </w:p>
        </w:tc>
        <w:tc>
          <w:tcPr>
            <w:tcW w:w="1350" w:type="dxa"/>
            <w:tcBorders>
              <w:top w:val="single" w:sz="6" w:space="0" w:color="auto"/>
              <w:left w:val="single" w:sz="6" w:space="0" w:color="auto"/>
              <w:bottom w:val="single" w:sz="6" w:space="0" w:color="auto"/>
              <w:right w:val="single" w:sz="6" w:space="0" w:color="auto"/>
            </w:tcBorders>
          </w:tcPr>
          <w:p w14:paraId="7C542AA0" w14:textId="77777777" w:rsidR="00337EE1" w:rsidRPr="009C5AD2" w:rsidRDefault="00337EE1" w:rsidP="00337EE1">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Number of Patches</w:t>
            </w:r>
          </w:p>
          <w:p w14:paraId="09696439" w14:textId="1FCEEE9A" w:rsidR="00337EE1" w:rsidRPr="009C5AD2" w:rsidRDefault="00337EE1"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(NP)</w:t>
            </w:r>
          </w:p>
        </w:tc>
        <w:tc>
          <w:tcPr>
            <w:tcW w:w="4770" w:type="dxa"/>
            <w:tcBorders>
              <w:top w:val="single" w:sz="6" w:space="0" w:color="auto"/>
              <w:left w:val="single" w:sz="6" w:space="0" w:color="auto"/>
              <w:bottom w:val="single" w:sz="6" w:space="0" w:color="auto"/>
              <w:right w:val="single" w:sz="6" w:space="0" w:color="auto"/>
            </w:tcBorders>
          </w:tcPr>
          <w:p w14:paraId="03E36117" w14:textId="77777777" w:rsidR="00337EE1" w:rsidRPr="009C5AD2" w:rsidRDefault="00244CBC" w:rsidP="00CB0DEB">
            <w:pPr>
              <w:widowControl/>
              <w:jc w:val="left"/>
              <w:textAlignment w:val="baseline"/>
              <w:rPr>
                <w:rFonts w:asciiTheme="majorBidi" w:eastAsia="Times New Roman" w:hAnsiTheme="majorBidi" w:cstheme="majorBidi"/>
                <w:kern w:val="0"/>
                <w:sz w:val="22"/>
                <w:lang w:eastAsia="en-US"/>
              </w:rPr>
            </w:pPr>
            <m:oMathPara>
              <m:oMathParaPr>
                <m:jc m:val="left"/>
              </m:oMathParaPr>
              <m:oMath>
                <m:sSup>
                  <m:sSupPr>
                    <m:ctrlPr>
                      <w:rPr>
                        <w:rFonts w:ascii="Cambria Math" w:eastAsia="Times New Roman" w:hAnsi="Cambria Math" w:cstheme="majorBidi"/>
                        <w:i/>
                        <w:kern w:val="0"/>
                        <w:sz w:val="22"/>
                        <w:lang w:eastAsia="en-US"/>
                      </w:rPr>
                    </m:ctrlPr>
                  </m:sSupPr>
                  <m:e>
                    <m:r>
                      <w:rPr>
                        <w:rFonts w:ascii="Cambria Math" w:eastAsia="Times New Roman" w:hAnsi="Cambria Math" w:cstheme="majorBidi"/>
                        <w:kern w:val="0"/>
                        <w:sz w:val="22"/>
                        <w:lang w:eastAsia="en-US"/>
                      </w:rPr>
                      <m:t>N</m:t>
                    </m:r>
                  </m:e>
                  <m:sup>
                    <m:r>
                      <w:rPr>
                        <w:rFonts w:ascii="Cambria Math" w:eastAsia="Times New Roman" w:hAnsi="Cambria Math" w:cstheme="majorBidi"/>
                        <w:kern w:val="0"/>
                        <w:sz w:val="22"/>
                        <w:lang w:eastAsia="en-US"/>
                      </w:rPr>
                      <m:t>p</m:t>
                    </m:r>
                  </m:sup>
                </m:sSup>
                <m:r>
                  <w:rPr>
                    <w:rFonts w:ascii="Cambria Math" w:eastAsia="Times New Roman" w:hAnsi="Cambria Math" w:cstheme="majorBidi"/>
                    <w:kern w:val="0"/>
                    <w:sz w:val="22"/>
                    <w:lang w:eastAsia="en-US"/>
                  </w:rPr>
                  <m:t>=</m:t>
                </m:r>
                <m:sSub>
                  <m:sSubPr>
                    <m:ctrlPr>
                      <w:rPr>
                        <w:rFonts w:ascii="Cambria Math" w:eastAsia="Times New Roman" w:hAnsi="Cambria Math" w:cstheme="majorBidi"/>
                        <w:i/>
                        <w:kern w:val="0"/>
                        <w:sz w:val="22"/>
                        <w:lang w:eastAsia="en-US"/>
                      </w:rPr>
                    </m:ctrlPr>
                  </m:sSubPr>
                  <m:e>
                    <m:r>
                      <w:rPr>
                        <w:rFonts w:ascii="Cambria Math" w:eastAsia="Times New Roman" w:hAnsi="Cambria Math" w:cstheme="majorBidi"/>
                        <w:kern w:val="0"/>
                        <w:sz w:val="22"/>
                        <w:lang w:eastAsia="en-US"/>
                      </w:rPr>
                      <m:t>n</m:t>
                    </m:r>
                  </m:e>
                  <m:sub>
                    <m:r>
                      <w:rPr>
                        <w:rFonts w:ascii="Cambria Math" w:eastAsia="Times New Roman" w:hAnsi="Cambria Math" w:cstheme="majorBidi"/>
                        <w:kern w:val="0"/>
                        <w:sz w:val="22"/>
                        <w:lang w:eastAsia="en-US"/>
                      </w:rPr>
                      <m:t>i</m:t>
                    </m:r>
                  </m:sub>
                </m:sSub>
              </m:oMath>
            </m:oMathPara>
          </w:p>
          <w:p w14:paraId="3BF1E5AE" w14:textId="77777777" w:rsidR="00337EE1" w:rsidRPr="009C5AD2" w:rsidRDefault="00337EE1" w:rsidP="00CB0DEB">
            <w:pPr>
              <w:widowControl/>
              <w:jc w:val="left"/>
              <w:textAlignment w:val="baseline"/>
              <w:rPr>
                <w:rFonts w:asciiTheme="majorBidi" w:eastAsia="Times New Roman" w:hAnsiTheme="majorBidi" w:cstheme="majorBidi"/>
                <w:kern w:val="0"/>
                <w:sz w:val="22"/>
                <w:lang w:eastAsia="en-US"/>
              </w:rPr>
            </w:pPr>
          </w:p>
          <w:p w14:paraId="2B36A4C4" w14:textId="41291EF5" w:rsidR="00337EE1" w:rsidRPr="009C5AD2" w:rsidRDefault="00337EE1" w:rsidP="00CB0DEB">
            <w:pPr>
              <w:widowControl/>
              <w:jc w:val="left"/>
              <w:textAlignment w:val="baseline"/>
              <w:rPr>
                <w:rFonts w:asciiTheme="majorBidi" w:eastAsia="Times New Roman" w:hAnsiTheme="majorBidi" w:cstheme="majorBidi"/>
                <w:kern w:val="0"/>
                <w:sz w:val="22"/>
                <w:lang w:eastAsia="en-US"/>
              </w:rPr>
            </w:pPr>
            <w:r>
              <w:rPr>
                <w:rFonts w:asciiTheme="majorBidi" w:eastAsia="Times New Roman" w:hAnsiTheme="majorBidi" w:cstheme="majorBidi"/>
                <w:kern w:val="0"/>
                <w:sz w:val="18"/>
                <w:szCs w:val="18"/>
                <w:lang w:eastAsia="en-US"/>
              </w:rPr>
              <w:t>n</w:t>
            </w:r>
            <w:r>
              <w:rPr>
                <w:rFonts w:asciiTheme="majorBidi" w:eastAsia="Times New Roman" w:hAnsiTheme="majorBidi" w:cstheme="majorBidi"/>
                <w:kern w:val="0"/>
                <w:sz w:val="18"/>
                <w:szCs w:val="18"/>
                <w:vertAlign w:val="subscript"/>
                <w:lang w:eastAsia="en-US"/>
              </w:rPr>
              <w:t xml:space="preserve">i  </w:t>
            </w:r>
            <w:r>
              <w:rPr>
                <w:rFonts w:asciiTheme="majorBidi" w:eastAsia="Times New Roman" w:hAnsiTheme="majorBidi" w:cstheme="majorBidi"/>
                <w:kern w:val="0"/>
                <w:sz w:val="18"/>
                <w:szCs w:val="18"/>
                <w:lang w:eastAsia="en-US"/>
              </w:rPr>
              <w:t xml:space="preserve">= number of patches in the landscape of patch type (class) i.</w:t>
            </w:r>
          </w:p>
        </w:tc>
        <w:tc>
          <w:tcPr>
            <w:tcW w:w="4950" w:type="dxa"/>
            <w:tcBorders>
              <w:top w:val="single" w:sz="6" w:space="0" w:color="auto"/>
              <w:left w:val="single" w:sz="6" w:space="0" w:color="auto"/>
              <w:bottom w:val="single" w:sz="6" w:space="0" w:color="auto"/>
              <w:right w:val="single" w:sz="6" w:space="0" w:color="auto"/>
            </w:tcBorders>
          </w:tcPr>
          <w:p w14:paraId="214EFCE5" w14:textId="77777777" w:rsidR="00337EE1" w:rsidRPr="009C5AD2" w:rsidRDefault="00337EE1" w:rsidP="00337EE1">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Number of patches (NP) quantifies the total count of discrete patches belonging to a particular class.</w:t>
            </w:r>
          </w:p>
          <w:p w14:paraId="6E48A379" w14:textId="77777777" w:rsidR="00337EE1" w:rsidRPr="009C5AD2" w:rsidRDefault="00337EE1" w:rsidP="00337EE1">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 A higher value indicates greater fragmentation or subdivision of the class across the landscape, while NP = 1 indicates the entire class consists of a single patch.</w:t>
            </w:r>
          </w:p>
          <w:p w14:paraId="6A5BC6AC" w14:textId="73B44154" w:rsidR="00337EE1" w:rsidRPr="009C5AD2" w:rsidRDefault="00337EE1" w:rsidP="00337EE1">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 Interpretability is limited when considered alone, as it does not reflect patch size, distribution, or density. However, it serves as a foundational metric for calculating more complex indices.</w:t>
            </w:r>
          </w:p>
        </w:tc>
        <w:tc>
          <w:tcPr>
            <w:tcW w:w="1460" w:type="dxa"/>
            <w:tcBorders>
              <w:top w:val="single" w:sz="6" w:space="0" w:color="auto"/>
              <w:left w:val="single" w:sz="6" w:space="0" w:color="auto"/>
              <w:bottom w:val="single" w:sz="6" w:space="0" w:color="auto"/>
              <w:right w:val="single" w:sz="6" w:space="0" w:color="auto"/>
            </w:tcBorders>
          </w:tcPr>
          <w:p w14:paraId="5CB60B37" w14:textId="77777777" w:rsidR="00337EE1" w:rsidRPr="009C5AD2" w:rsidRDefault="00337EE1" w:rsidP="00337EE1">
            <w:pPr>
              <w:widowControl/>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6"/>
                <w:szCs w:val="16"/>
                <w:lang w:eastAsia="en-US"/>
              </w:rPr>
              <w:t>None</w:t>
            </w:r>
          </w:p>
          <w:p w14:paraId="5DE19BA9" w14:textId="79E5A11A" w:rsidR="00337EE1" w:rsidRPr="009C5AD2" w:rsidRDefault="00337EE1" w:rsidP="00337EE1">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16"/>
                <w:szCs w:val="16"/>
                <w:lang w:eastAsia="en-US"/>
              </w:rPr>
              <w:t>NP ≥ 1, without limit.</w:t>
            </w:r>
          </w:p>
        </w:tc>
      </w:tr>
      <w:tr w:rsidR="00C16836" w:rsidRPr="009C5AD2" w14:paraId="5DCE469D"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tcPr>
          <w:p w14:paraId="01DC3510" w14:textId="77777777" w:rsidR="00C16836" w:rsidRPr="009C5AD2" w:rsidRDefault="00C16836" w:rsidP="00CB0DEB">
            <w:pPr>
              <w:widowControl/>
              <w:jc w:val="left"/>
              <w:textAlignment w:val="baseline"/>
              <w:rPr>
                <w:rFonts w:asciiTheme="majorBidi" w:eastAsia="Times New Roman" w:hAnsiTheme="majorBidi" w:cstheme="majorBidi"/>
                <w:b/>
                <w:bCs/>
                <w:kern w:val="0"/>
                <w:sz w:val="20"/>
                <w:szCs w:val="20"/>
                <w:lang w:eastAsia="en-US"/>
              </w:rPr>
            </w:pPr>
          </w:p>
        </w:tc>
        <w:tc>
          <w:tcPr>
            <w:tcW w:w="1350" w:type="dxa"/>
            <w:tcBorders>
              <w:top w:val="single" w:sz="6" w:space="0" w:color="auto"/>
              <w:left w:val="single" w:sz="6" w:space="0" w:color="auto"/>
              <w:bottom w:val="single" w:sz="6" w:space="0" w:color="auto"/>
              <w:right w:val="single" w:sz="6" w:space="0" w:color="auto"/>
            </w:tcBorders>
          </w:tcPr>
          <w:p w14:paraId="781FC7CC" w14:textId="77777777" w:rsidR="00C16836" w:rsidRPr="009C5AD2" w:rsidRDefault="00C16836"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Euclidean Nearest-Neighbor Distance</w:t>
            </w:r>
          </w:p>
          <w:p w14:paraId="77EC6AC5" w14:textId="0017A28E" w:rsidR="00C16836" w:rsidRPr="009C5AD2" w:rsidRDefault="00C16836"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(ENN)</w:t>
            </w:r>
          </w:p>
        </w:tc>
        <w:tc>
          <w:tcPr>
            <w:tcW w:w="4770" w:type="dxa"/>
            <w:tcBorders>
              <w:top w:val="single" w:sz="6" w:space="0" w:color="auto"/>
              <w:left w:val="single" w:sz="6" w:space="0" w:color="auto"/>
              <w:bottom w:val="single" w:sz="6" w:space="0" w:color="auto"/>
              <w:right w:val="single" w:sz="6" w:space="0" w:color="auto"/>
            </w:tcBorders>
          </w:tcPr>
          <w:p w14:paraId="4D15F6F9" w14:textId="77777777" w:rsidR="00C16836" w:rsidRPr="009C5AD2" w:rsidRDefault="00C16836" w:rsidP="00CB0DEB">
            <w:pPr>
              <w:widowControl/>
              <w:jc w:val="left"/>
              <w:textAlignment w:val="baseline"/>
              <w:rPr>
                <w:rFonts w:asciiTheme="majorBidi" w:eastAsia="Times New Roman" w:hAnsiTheme="majorBidi" w:cstheme="majorBidi"/>
                <w:kern w:val="0"/>
                <w:sz w:val="22"/>
                <w:lang w:eastAsia="en-US"/>
              </w:rPr>
            </w:pPr>
            <m:oMathPara>
              <m:oMathParaPr>
                <m:jc m:val="left"/>
              </m:oMathParaPr>
              <m:oMath>
                <m:r>
                  <w:rPr>
                    <w:rFonts w:ascii="Cambria Math" w:eastAsia="Times New Roman" w:hAnsi="Cambria Math" w:cstheme="majorBidi"/>
                    <w:kern w:val="0"/>
                    <w:sz w:val="22"/>
                    <w:lang w:eastAsia="en-US"/>
                  </w:rPr>
                  <m:t>ENN=</m:t>
                </m:r>
                <m:sSub>
                  <m:sSubPr>
                    <m:ctrlPr>
                      <w:rPr>
                        <w:rFonts w:ascii="Cambria Math" w:eastAsia="Times New Roman" w:hAnsi="Cambria Math" w:cstheme="majorBidi"/>
                        <w:i/>
                        <w:kern w:val="0"/>
                        <w:sz w:val="22"/>
                        <w:lang w:eastAsia="en-US"/>
                      </w:rPr>
                    </m:ctrlPr>
                  </m:sSubPr>
                  <m:e>
                    <m:r>
                      <w:rPr>
                        <w:rFonts w:ascii="Cambria Math" w:eastAsia="Times New Roman" w:hAnsi="Cambria Math" w:cstheme="majorBidi"/>
                        <w:kern w:val="0"/>
                        <w:sz w:val="22"/>
                        <w:lang w:eastAsia="en-US"/>
                      </w:rPr>
                      <m:t>h</m:t>
                    </m:r>
                  </m:e>
                  <m:sub>
                    <m:r>
                      <w:rPr>
                        <w:rFonts w:ascii="Cambria Math" w:eastAsia="Times New Roman" w:hAnsi="Cambria Math" w:cstheme="majorBidi"/>
                        <w:kern w:val="0"/>
                        <w:sz w:val="22"/>
                        <w:lang w:eastAsia="en-US"/>
                      </w:rPr>
                      <m:t>ij</m:t>
                    </m:r>
                  </m:sub>
                </m:sSub>
              </m:oMath>
            </m:oMathPara>
          </w:p>
          <w:p w14:paraId="43C8FE1B" w14:textId="68FF20FC" w:rsidR="00C16836" w:rsidRPr="009C5AD2" w:rsidRDefault="00C16836"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h</w:t>
            </w:r>
            <w:r>
              <w:rPr>
                <w:rFonts w:asciiTheme="majorBidi" w:eastAsia="Times New Roman" w:hAnsiTheme="majorBidi" w:cstheme="majorBidi"/>
                <w:kern w:val="0"/>
                <w:sz w:val="18"/>
                <w:szCs w:val="18"/>
                <w:vertAlign w:val="subscript"/>
                <w:lang w:eastAsia="en-US"/>
              </w:rPr>
              <w:t>ij</w:t>
            </w:r>
            <w:r>
              <w:rPr>
                <w:rFonts w:asciiTheme="majorBidi" w:eastAsia="Times New Roman" w:hAnsiTheme="majorBidi" w:cstheme="majorBidi"/>
                <w:kern w:val="0"/>
                <w:sz w:val="18"/>
                <w:szCs w:val="18"/>
                <w:lang w:eastAsia="en-US"/>
              </w:rPr>
              <w:t xml:space="preserve"> = distance (m) from patch ij to nearest neighboring patch of the same type (class), based on patch edge-to-edge distance, computed from cell center to cell center.</w:t>
            </w:r>
          </w:p>
        </w:tc>
        <w:tc>
          <w:tcPr>
            <w:tcW w:w="4950" w:type="dxa"/>
            <w:tcBorders>
              <w:top w:val="single" w:sz="6" w:space="0" w:color="auto"/>
              <w:left w:val="single" w:sz="6" w:space="0" w:color="auto"/>
              <w:bottom w:val="single" w:sz="6" w:space="0" w:color="auto"/>
              <w:right w:val="single" w:sz="6" w:space="0" w:color="auto"/>
            </w:tcBorders>
          </w:tcPr>
          <w:p w14:paraId="4A479F37" w14:textId="77777777" w:rsidR="00E5580A" w:rsidRPr="009C5AD2" w:rsidRDefault="00E5580A" w:rsidP="00E5580A">
            <w:pPr>
              <w:widowControl/>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Euclidean nearest-neighbor distance (ENN) measures the shortest edge-to-edge distance between a patch and its nearest neighboring patch of the same class.</w:t>
            </w:r>
          </w:p>
          <w:p w14:paraId="10C92A01" w14:textId="38B3D008" w:rsidR="00C16836" w:rsidRPr="009C5AD2" w:rsidRDefault="00E5580A" w:rsidP="00E5580A">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 A higher value indicates greater isolation between patches, while a lower value suggests that similar patches are more closely spaced.</w:t>
            </w:r>
          </w:p>
        </w:tc>
        <w:tc>
          <w:tcPr>
            <w:tcW w:w="1460" w:type="dxa"/>
            <w:tcBorders>
              <w:top w:val="single" w:sz="6" w:space="0" w:color="auto"/>
              <w:left w:val="single" w:sz="6" w:space="0" w:color="auto"/>
              <w:bottom w:val="single" w:sz="6" w:space="0" w:color="auto"/>
              <w:right w:val="single" w:sz="6" w:space="0" w:color="auto"/>
            </w:tcBorders>
          </w:tcPr>
          <w:p w14:paraId="7ADBC417" w14:textId="77777777" w:rsidR="00E5580A" w:rsidRPr="009C5AD2" w:rsidRDefault="00E5580A" w:rsidP="00E5580A">
            <w:pPr>
              <w:widowControl/>
              <w:textAlignment w:val="baseline"/>
              <w:rPr>
                <w:rFonts w:asciiTheme="majorBidi" w:eastAsia="Times New Roman" w:hAnsiTheme="majorBidi" w:cstheme="majorBidi"/>
                <w:kern w:val="0"/>
                <w:sz w:val="16"/>
                <w:szCs w:val="16"/>
                <w:lang w:eastAsia="en-US"/>
              </w:rPr>
            </w:pPr>
            <w:r>
              <w:rPr>
                <w:rFonts w:asciiTheme="majorBidi" w:eastAsia="Times New Roman" w:hAnsiTheme="majorBidi" w:cstheme="majorBidi"/>
                <w:kern w:val="0"/>
                <w:sz w:val="16"/>
                <w:szCs w:val="16"/>
                <w:lang w:eastAsia="en-US"/>
              </w:rPr>
              <w:t>Meters</w:t>
            </w:r>
          </w:p>
          <w:p w14:paraId="105D13D3" w14:textId="0362B4CE" w:rsidR="00C16836" w:rsidRPr="009C5AD2" w:rsidRDefault="00E5580A" w:rsidP="00E5580A">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16"/>
                <w:szCs w:val="16"/>
                <w:lang w:eastAsia="en-US"/>
              </w:rPr>
              <w:t>ENN &gt; 0, without limit</w:t>
            </w:r>
          </w:p>
        </w:tc>
      </w:tr>
      <w:tr w:rsidR="00CB0DEB" w:rsidRPr="009C5AD2" w14:paraId="6693FCCE" w14:textId="77777777" w:rsidTr="00E5580A">
        <w:trPr>
          <w:trHeight w:val="300"/>
        </w:trPr>
        <w:tc>
          <w:tcPr>
            <w:tcW w:w="1087" w:type="dxa"/>
            <w:vMerge w:val="restart"/>
            <w:tcBorders>
              <w:top w:val="single" w:sz="6" w:space="0" w:color="auto"/>
              <w:left w:val="single" w:sz="6" w:space="0" w:color="auto"/>
              <w:bottom w:val="single" w:sz="6" w:space="0" w:color="auto"/>
              <w:right w:val="single" w:sz="6" w:space="0" w:color="auto"/>
            </w:tcBorders>
            <w:hideMark/>
          </w:tcPr>
          <w:p w14:paraId="6C88383D"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b/>
                <w:bCs/>
                <w:kern w:val="0"/>
                <w:sz w:val="20"/>
                <w:szCs w:val="20"/>
                <w:lang w:eastAsia="en-US"/>
              </w:rPr>
              <w:t>Diversity metrics</w:t>
            </w:r>
            <w:r>
              <w:rPr>
                <w:rFonts w:asciiTheme="majorBidi" w:eastAsia="Times New Roman" w:hAnsiTheme="majorBidi" w:cstheme="majorBidi"/>
                <w:kern w:val="0"/>
                <w:sz w:val="20"/>
                <w:szCs w:val="20"/>
                <w:lang w:eastAsia="en-US"/>
              </w:rPr>
              <w:t> </w:t>
            </w:r>
          </w:p>
        </w:tc>
        <w:tc>
          <w:tcPr>
            <w:tcW w:w="1350" w:type="dxa"/>
            <w:tcBorders>
              <w:top w:val="single" w:sz="6" w:space="0" w:color="auto"/>
              <w:left w:val="single" w:sz="6" w:space="0" w:color="auto"/>
              <w:bottom w:val="single" w:sz="6" w:space="0" w:color="auto"/>
              <w:right w:val="single" w:sz="6" w:space="0" w:color="auto"/>
            </w:tcBorders>
            <w:hideMark/>
          </w:tcPr>
          <w:p w14:paraId="40E27DB6"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Shannon Diversity Index (SHDI) </w:t>
            </w:r>
          </w:p>
        </w:tc>
        <w:tc>
          <w:tcPr>
            <w:tcW w:w="4770" w:type="dxa"/>
            <w:tcBorders>
              <w:top w:val="single" w:sz="6" w:space="0" w:color="auto"/>
              <w:left w:val="single" w:sz="6" w:space="0" w:color="auto"/>
              <w:bottom w:val="single" w:sz="6" w:space="0" w:color="auto"/>
              <w:right w:val="single" w:sz="6" w:space="0" w:color="auto"/>
            </w:tcBorders>
            <w:hideMark/>
          </w:tcPr>
          <w:p w14:paraId="4BFD8B34" w14:textId="69D7F600"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m:oMath>
              <m:r>
                <w:rPr>
                  <w:rFonts w:ascii="Cambria Math" w:eastAsia="Times New Roman" w:hAnsi="Cambria Math" w:cstheme="majorBidi"/>
                  <w:kern w:val="0"/>
                  <w:sz w:val="20"/>
                  <w:szCs w:val="20"/>
                  <w:lang w:eastAsia="en-US"/>
                </w:rPr>
                <m:t>SHDI = -</m:t>
              </m:r>
              <m:nary>
                <m:naryPr>
                  <m:chr m:val="∑"/>
                  <m:limLoc m:val="undOvr"/>
                  <m:grow m:val="1"/>
                  <m:ctrlPr>
                    <w:rPr>
                      <w:rFonts w:ascii="Cambria Math" w:eastAsia="Times New Roman" w:hAnsi="Cambria Math" w:cstheme="majorBidi"/>
                      <w:i/>
                      <w:kern w:val="0"/>
                      <w:sz w:val="20"/>
                      <w:szCs w:val="20"/>
                      <w:lang w:eastAsia="en-US"/>
                    </w:rPr>
                  </m:ctrlPr>
                </m:naryPr>
                <m:sub>
                  <m:r>
                    <w:rPr>
                      <w:rFonts w:ascii="Cambria Math" w:eastAsia="Times New Roman" w:hAnsi="Cambria Math" w:cstheme="majorBidi"/>
                      <w:kern w:val="0"/>
                      <w:sz w:val="20"/>
                      <w:szCs w:val="20"/>
                      <w:lang w:eastAsia="en-US"/>
                    </w:rPr>
                    <m:t>i=1</m:t>
                  </m:r>
                </m:sub>
                <m:sup>
                  <m:r>
                    <w:rPr>
                      <w:rFonts w:ascii="Cambria Math" w:eastAsia="Times New Roman" w:hAnsi="Cambria Math" w:cstheme="majorBidi"/>
                      <w:kern w:val="0"/>
                      <w:sz w:val="20"/>
                      <w:szCs w:val="20"/>
                      <w:lang w:eastAsia="en-US"/>
                    </w:rPr>
                    <m:t>m</m:t>
                  </m:r>
                </m:sup>
                <m:e>
                  <m:d>
                    <m:dPr>
                      <m:ctrlPr>
                        <w:rPr>
                          <w:rFonts w:ascii="Cambria Math" w:eastAsia="Times New Roman" w:hAnsi="Cambria Math" w:cstheme="majorBidi"/>
                          <w:i/>
                          <w:kern w:val="0"/>
                          <w:sz w:val="20"/>
                          <w:szCs w:val="20"/>
                          <w:lang w:eastAsia="en-US"/>
                        </w:rPr>
                      </m:ctrlPr>
                    </m:dPr>
                    <m:e>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1</m:t>
                          </m:r>
                        </m:sub>
                      </m:sSub>
                      <m:func>
                        <m:funcPr>
                          <m:ctrlPr>
                            <w:rPr>
                              <w:rFonts w:ascii="Cambria Math" w:eastAsia="Times New Roman" w:hAnsi="Cambria Math" w:cstheme="majorBidi"/>
                              <w:i/>
                              <w:kern w:val="0"/>
                              <w:sz w:val="20"/>
                              <w:szCs w:val="20"/>
                              <w:lang w:eastAsia="en-US"/>
                            </w:rPr>
                          </m:ctrlPr>
                        </m:funcPr>
                        <m:fName>
                          <m:r>
                            <w:rPr>
                              <w:rFonts w:ascii="Cambria Math" w:eastAsia="Times New Roman" w:hAnsi="Cambria Math" w:cstheme="majorBidi"/>
                              <w:kern w:val="0"/>
                              <w:sz w:val="20"/>
                              <w:szCs w:val="20"/>
                              <w:lang w:eastAsia="en-US"/>
                            </w:rPr>
                            <m:t>ln</m:t>
                          </m:r>
                        </m:fName>
                        <m:e>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i</m:t>
                              </m:r>
                            </m:sub>
                          </m:sSub>
                        </m:e>
                      </m:func>
                    </m:e>
                  </m:d>
                </m:e>
              </m:nary>
            </m:oMath>
          </w:p>
          <w:p w14:paraId="64FD3168" w14:textId="77777777" w:rsidR="00CB0DEB" w:rsidRPr="009C5AD2" w:rsidRDefault="00CB0DEB" w:rsidP="00CB0DEB">
            <w:pPr>
              <w:widowControl/>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20"/>
                <w:szCs w:val="20"/>
                <w:lang w:eastAsia="en-US"/>
              </w:rPr>
              <w:t> </w:t>
            </w:r>
          </w:p>
          <w:p w14:paraId="58D22CCB" w14:textId="64928219" w:rsidR="00337EE1" w:rsidRPr="009C5AD2" w:rsidRDefault="00337EE1"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P</w:t>
            </w:r>
            <w:r>
              <w:rPr>
                <w:rFonts w:asciiTheme="majorBidi" w:eastAsia="Times New Roman" w:hAnsiTheme="majorBidi" w:cstheme="majorBidi"/>
                <w:kern w:val="0"/>
                <w:sz w:val="18"/>
                <w:szCs w:val="18"/>
                <w:vertAlign w:val="subscript"/>
                <w:lang w:eastAsia="en-US"/>
              </w:rPr>
              <w:t>i</w:t>
            </w:r>
            <w:r>
              <w:rPr>
                <w:rFonts w:asciiTheme="majorBidi" w:eastAsia="Times New Roman" w:hAnsiTheme="majorBidi" w:cstheme="majorBidi"/>
                <w:kern w:val="0"/>
                <w:sz w:val="18"/>
                <w:szCs w:val="18"/>
                <w:lang w:eastAsia="en-US"/>
              </w:rPr>
              <w:t xml:space="preserve"> =proportion of the landscape occupied by patch type (class) i.</w:t>
            </w:r>
          </w:p>
        </w:tc>
        <w:tc>
          <w:tcPr>
            <w:tcW w:w="4950" w:type="dxa"/>
            <w:tcBorders>
              <w:top w:val="single" w:sz="6" w:space="0" w:color="auto"/>
              <w:left w:val="single" w:sz="6" w:space="0" w:color="auto"/>
              <w:bottom w:val="single" w:sz="6" w:space="0" w:color="auto"/>
              <w:right w:val="single" w:sz="6" w:space="0" w:color="auto"/>
            </w:tcBorders>
            <w:hideMark/>
          </w:tcPr>
          <w:p w14:paraId="120D5EF6"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SHDI equals minus the sum, across all patch types, of the proportional abundance of each patch type multiplied by that proportion. </w:t>
            </w:r>
          </w:p>
          <w:p w14:paraId="2600B678" w14:textId="77777777" w:rsidR="00CB0DEB" w:rsidRPr="009C5AD2" w:rsidRDefault="00CB0DEB" w:rsidP="00337EE1">
            <w:pPr>
              <w:widowControl/>
              <w:numPr>
                <w:ilvl w:val="0"/>
                <w:numId w:val="26"/>
              </w:numPr>
              <w:tabs>
                <w:tab w:val="clear" w:pos="720"/>
                <w:tab w:val="num" w:pos="361"/>
              </w:tabs>
              <w:ind w:left="181" w:firstLine="0"/>
              <w:jc w:val="left"/>
              <w:textAlignment w:val="baseline"/>
              <w:rPr>
                <w:rFonts w:asciiTheme="majorBidi" w:eastAsia="Times New Roman" w:hAnsiTheme="majorBidi" w:cstheme="majorBidi"/>
                <w:kern w:val="0"/>
                <w:sz w:val="20"/>
                <w:szCs w:val="20"/>
                <w:lang w:eastAsia="en-US"/>
              </w:rPr>
            </w:pPr>
            <w:r>
              <w:rPr>
                <w:rFonts w:asciiTheme="majorBidi" w:eastAsia="Times New Roman" w:hAnsiTheme="majorBidi" w:cstheme="majorBidi"/>
                <w:kern w:val="0"/>
                <w:sz w:val="18"/>
                <w:szCs w:val="18"/>
                <w:lang w:eastAsia="en-US"/>
              </w:rPr>
              <w:t>A higher value suggests a greater number of different greenspace types and/or a more equitable proportional distribution of area among these various greenspace types.</w:t>
            </w:r>
            <w:r>
              <w:rPr>
                <w:rFonts w:asciiTheme="majorBidi" w:eastAsia="Times New Roman" w:hAnsiTheme="majorBidi" w:cstheme="majorBidi"/>
                <w:kern w:val="0"/>
                <w:sz w:val="20"/>
                <w:szCs w:val="20"/>
                <w:lang w:eastAsia="en-US"/>
              </w:rPr>
              <w:t> </w:t>
            </w:r>
          </w:p>
        </w:tc>
        <w:tc>
          <w:tcPr>
            <w:tcW w:w="1460" w:type="dxa"/>
            <w:tcBorders>
              <w:top w:val="single" w:sz="6" w:space="0" w:color="auto"/>
              <w:left w:val="single" w:sz="6" w:space="0" w:color="auto"/>
              <w:bottom w:val="single" w:sz="6" w:space="0" w:color="auto"/>
              <w:right w:val="single" w:sz="6" w:space="0" w:color="auto"/>
            </w:tcBorders>
            <w:hideMark/>
          </w:tcPr>
          <w:p w14:paraId="0464EECB"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Information  </w:t>
            </w:r>
          </w:p>
          <w:p w14:paraId="2F298304"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(SHDI &gt;= 0, without limit) </w:t>
            </w:r>
          </w:p>
        </w:tc>
      </w:tr>
      <w:tr w:rsidR="00CB0DEB" w:rsidRPr="009C5AD2" w14:paraId="37B87544" w14:textId="77777777" w:rsidTr="00E5580A">
        <w:trPr>
          <w:trHeight w:val="300"/>
        </w:trPr>
        <w:tc>
          <w:tcPr>
            <w:tcW w:w="1087" w:type="dxa"/>
            <w:vMerge/>
            <w:tcBorders>
              <w:top w:val="single" w:sz="6" w:space="0" w:color="auto"/>
              <w:left w:val="single" w:sz="6" w:space="0" w:color="auto"/>
              <w:bottom w:val="single" w:sz="6" w:space="0" w:color="auto"/>
              <w:right w:val="single" w:sz="6" w:space="0" w:color="auto"/>
            </w:tcBorders>
            <w:vAlign w:val="center"/>
            <w:hideMark/>
          </w:tcPr>
          <w:p w14:paraId="56564832" w14:textId="77777777" w:rsidR="00CB0DEB" w:rsidRPr="009C5AD2" w:rsidRDefault="00CB0DEB" w:rsidP="00CB0DEB">
            <w:pPr>
              <w:widowControl/>
              <w:jc w:val="left"/>
              <w:rPr>
                <w:rFonts w:asciiTheme="majorBidi" w:eastAsia="Times New Roman" w:hAnsiTheme="majorBidi" w:cstheme="majorBidi"/>
                <w:kern w:val="0"/>
                <w:sz w:val="18"/>
                <w:szCs w:val="18"/>
                <w:lang w:eastAsia="en-US"/>
              </w:rPr>
            </w:pPr>
          </w:p>
        </w:tc>
        <w:tc>
          <w:tcPr>
            <w:tcW w:w="1350" w:type="dxa"/>
            <w:tcBorders>
              <w:top w:val="single" w:sz="6" w:space="0" w:color="auto"/>
              <w:left w:val="single" w:sz="6" w:space="0" w:color="auto"/>
              <w:bottom w:val="single" w:sz="6" w:space="0" w:color="auto"/>
              <w:right w:val="single" w:sz="6" w:space="0" w:color="auto"/>
            </w:tcBorders>
            <w:hideMark/>
          </w:tcPr>
          <w:p w14:paraId="471C8C71"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Edge Contrast Index (ECON) </w:t>
            </w:r>
          </w:p>
        </w:tc>
        <w:tc>
          <w:tcPr>
            <w:tcW w:w="4770" w:type="dxa"/>
            <w:tcBorders>
              <w:top w:val="single" w:sz="6" w:space="0" w:color="auto"/>
              <w:left w:val="single" w:sz="6" w:space="0" w:color="auto"/>
              <w:bottom w:val="single" w:sz="6" w:space="0" w:color="auto"/>
              <w:right w:val="single" w:sz="6" w:space="0" w:color="auto"/>
            </w:tcBorders>
            <w:hideMark/>
          </w:tcPr>
          <w:p w14:paraId="63BA0208" w14:textId="77777777" w:rsidR="00E5580A" w:rsidRPr="009C5AD2" w:rsidRDefault="00CB0DEB" w:rsidP="00E5580A">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2"/>
                <w:lang w:eastAsia="en-US"/>
              </w:rPr>
              <w:t> </w:t>
            </w:r>
            <m:oMath>
              <m:r>
                <w:rPr>
                  <w:rFonts w:ascii="Cambria Math" w:eastAsia="Times New Roman" w:hAnsi="Cambria Math" w:cstheme="majorBidi"/>
                  <w:kern w:val="0"/>
                  <w:sz w:val="20"/>
                  <w:szCs w:val="20"/>
                  <w:lang w:eastAsia="en-US"/>
                </w:rPr>
                <m:t>ECON=</m:t>
              </m:r>
              <m:d>
                <m:dPr>
                  <m:ctrlPr>
                    <w:rPr>
                      <w:rFonts w:ascii="Cambria Math" w:eastAsia="Times New Roman" w:hAnsi="Cambria Math" w:cstheme="majorBidi"/>
                      <w:i/>
                      <w:kern w:val="0"/>
                      <w:sz w:val="20"/>
                      <w:szCs w:val="20"/>
                      <w:lang w:eastAsia="en-US"/>
                    </w:rPr>
                  </m:ctrlPr>
                </m:dPr>
                <m:e>
                  <m:f>
                    <m:fPr>
                      <m:ctrlPr>
                        <w:rPr>
                          <w:rFonts w:ascii="Cambria Math" w:eastAsia="Times New Roman" w:hAnsi="Cambria Math" w:cstheme="majorBidi"/>
                          <w:i/>
                          <w:kern w:val="0"/>
                          <w:sz w:val="20"/>
                          <w:szCs w:val="20"/>
                          <w:lang w:eastAsia="en-US"/>
                        </w:rPr>
                      </m:ctrlPr>
                    </m:fPr>
                    <m:num>
                      <m:nary>
                        <m:naryPr>
                          <m:chr m:val="∑"/>
                          <m:limLoc m:val="undOvr"/>
                          <m:grow m:val="1"/>
                          <m:ctrlPr>
                            <w:rPr>
                              <w:rFonts w:ascii="Cambria Math" w:eastAsia="Times New Roman" w:hAnsi="Cambria Math" w:cstheme="majorBidi"/>
                              <w:i/>
                              <w:kern w:val="0"/>
                              <w:sz w:val="20"/>
                              <w:szCs w:val="20"/>
                              <w:lang w:eastAsia="en-US"/>
                            </w:rPr>
                          </m:ctrlPr>
                        </m:naryPr>
                        <m:sub>
                          <m:r>
                            <w:rPr>
                              <w:rFonts w:ascii="Cambria Math" w:eastAsia="Times New Roman" w:hAnsi="Cambria Math" w:cstheme="majorBidi"/>
                              <w:kern w:val="0"/>
                              <w:sz w:val="20"/>
                              <w:szCs w:val="20"/>
                              <w:lang w:eastAsia="en-US"/>
                            </w:rPr>
                            <m:t>k=1</m:t>
                          </m:r>
                        </m:sub>
                        <m:sup>
                          <m:r>
                            <w:rPr>
                              <w:rFonts w:ascii="Cambria Math" w:eastAsia="Times New Roman" w:hAnsi="Cambria Math" w:cstheme="majorBidi"/>
                              <w:kern w:val="0"/>
                              <w:sz w:val="20"/>
                              <w:szCs w:val="20"/>
                              <w:lang w:eastAsia="en-US"/>
                            </w:rPr>
                            <m:t>m</m:t>
                          </m:r>
                        </m:sup>
                        <m:e>
                          <m:d>
                            <m:dPr>
                              <m:ctrlPr>
                                <w:rPr>
                                  <w:rFonts w:ascii="Cambria Math" w:eastAsia="Times New Roman" w:hAnsi="Cambria Math" w:cstheme="majorBidi"/>
                                  <w:i/>
                                  <w:kern w:val="0"/>
                                  <w:sz w:val="20"/>
                                  <w:szCs w:val="20"/>
                                  <w:lang w:eastAsia="en-US"/>
                                </w:rPr>
                              </m:ctrlPr>
                            </m:dPr>
                            <m:e>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ijk</m:t>
                                  </m:r>
                                </m:sub>
                              </m:sSub>
                              <m:r>
                                <w:rPr>
                                  <w:rFonts w:ascii="Cambria Math" w:eastAsia="Times New Roman" w:hAnsi="Cambria Math" w:cstheme="majorBidi"/>
                                  <w:kern w:val="0"/>
                                  <w:sz w:val="20"/>
                                  <w:szCs w:val="20"/>
                                  <w:lang w:eastAsia="en-US"/>
                                </w:rPr>
                                <m:t>⋅</m:t>
                              </m:r>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ⅆ</m:t>
                                  </m:r>
                                </m:e>
                                <m:sub>
                                  <m:r>
                                    <w:rPr>
                                      <w:rFonts w:ascii="Cambria Math" w:eastAsia="Times New Roman" w:hAnsi="Cambria Math" w:cstheme="majorBidi"/>
                                      <w:kern w:val="0"/>
                                      <w:sz w:val="20"/>
                                      <w:szCs w:val="20"/>
                                      <w:lang w:eastAsia="en-US"/>
                                    </w:rPr>
                                    <m:t>ik</m:t>
                                  </m:r>
                                </m:sub>
                              </m:sSub>
                            </m:e>
                          </m:d>
                        </m:e>
                      </m:nary>
                    </m:num>
                    <m:den>
                      <m:sSub>
                        <m:sSubPr>
                          <m:ctrlPr>
                            <w:rPr>
                              <w:rFonts w:ascii="Cambria Math" w:eastAsia="Times New Roman" w:hAnsi="Cambria Math" w:cstheme="majorBidi"/>
                              <w:i/>
                              <w:kern w:val="0"/>
                              <w:sz w:val="20"/>
                              <w:szCs w:val="20"/>
                              <w:lang w:eastAsia="en-US"/>
                            </w:rPr>
                          </m:ctrlPr>
                        </m:sSubPr>
                        <m:e>
                          <m:r>
                            <w:rPr>
                              <w:rFonts w:ascii="Cambria Math" w:eastAsia="Times New Roman" w:hAnsi="Cambria Math" w:cstheme="majorBidi"/>
                              <w:kern w:val="0"/>
                              <w:sz w:val="20"/>
                              <w:szCs w:val="20"/>
                              <w:lang w:eastAsia="en-US"/>
                            </w:rPr>
                            <m:t>p</m:t>
                          </m:r>
                        </m:e>
                        <m:sub>
                          <m:r>
                            <w:rPr>
                              <w:rFonts w:ascii="Cambria Math" w:eastAsia="Times New Roman" w:hAnsi="Cambria Math" w:cstheme="majorBidi"/>
                              <w:kern w:val="0"/>
                              <w:sz w:val="20"/>
                              <w:szCs w:val="20"/>
                              <w:lang w:eastAsia="en-US"/>
                            </w:rPr>
                            <m:t>ij</m:t>
                          </m:r>
                        </m:sub>
                      </m:sSub>
                    </m:den>
                  </m:f>
                </m:e>
              </m:d>
              <m:r>
                <w:rPr>
                  <w:rFonts w:ascii="Cambria Math" w:eastAsia="Times New Roman" w:hAnsi="Cambria Math" w:cstheme="majorBidi"/>
                  <w:kern w:val="0"/>
                  <w:sz w:val="20"/>
                  <w:szCs w:val="20"/>
                  <w:lang w:eastAsia="en-US"/>
                </w:rPr>
                <m:t>⋅100</m:t>
              </m:r>
            </m:oMath>
          </w:p>
          <w:p w14:paraId="71ECD222" w14:textId="77777777" w:rsidR="00E5580A" w:rsidRPr="009C5AD2" w:rsidRDefault="00E5580A" w:rsidP="00E5580A">
            <w:pPr>
              <w:widowControl/>
              <w:textAlignment w:val="baseline"/>
              <w:rPr>
                <w:rFonts w:asciiTheme="majorBidi" w:eastAsia="Times New Roman" w:hAnsiTheme="majorBidi" w:cstheme="majorBidi"/>
                <w:kern w:val="0"/>
                <w:sz w:val="17"/>
                <w:szCs w:val="17"/>
                <w:lang w:eastAsia="en-US"/>
              </w:rPr>
            </w:pPr>
            <w:r>
              <w:rPr>
                <w:rFonts w:asciiTheme="majorBidi" w:eastAsia="Times New Roman" w:hAnsiTheme="majorBidi" w:cstheme="majorBidi"/>
                <w:kern w:val="0"/>
                <w:sz w:val="18"/>
                <w:szCs w:val="18"/>
                <w:lang w:eastAsia="en-US"/>
              </w:rPr>
              <w:t> </w:t>
            </w:r>
            <w:r>
              <w:rPr>
                <w:rFonts w:asciiTheme="majorBidi" w:eastAsia="Times New Roman" w:hAnsiTheme="majorBidi" w:cstheme="majorBidi"/>
                <w:kern w:val="0"/>
                <w:sz w:val="17"/>
                <w:szCs w:val="17"/>
                <w:lang w:eastAsia="en-US"/>
              </w:rPr>
              <w:t>p</w:t>
            </w:r>
            <w:r>
              <w:rPr>
                <w:rFonts w:asciiTheme="majorBidi" w:eastAsia="Times New Roman" w:hAnsiTheme="majorBidi" w:cstheme="majorBidi"/>
                <w:kern w:val="0"/>
                <w:sz w:val="17"/>
                <w:szCs w:val="17"/>
                <w:vertAlign w:val="subscript"/>
                <w:lang w:eastAsia="en-US"/>
              </w:rPr>
              <w:t>ijk</w:t>
            </w:r>
            <w:r>
              <w:rPr>
                <w:rFonts w:asciiTheme="majorBidi" w:eastAsia="Times New Roman" w:hAnsiTheme="majorBidi" w:cstheme="majorBidi"/>
                <w:kern w:val="0"/>
                <w:sz w:val="17"/>
                <w:szCs w:val="17"/>
                <w:lang w:eastAsia="en-US"/>
              </w:rPr>
              <w:t xml:space="preserve"> = length (m) of edge of patch ij adjacent to patch type (class) k.</w:t>
            </w:r>
          </w:p>
          <w:p w14:paraId="25464B67" w14:textId="77777777" w:rsidR="00E5580A" w:rsidRPr="009C5AD2" w:rsidRDefault="00E5580A" w:rsidP="00E5580A">
            <w:pPr>
              <w:widowControl/>
              <w:textAlignment w:val="baseline"/>
              <w:rPr>
                <w:rFonts w:asciiTheme="majorBidi" w:eastAsia="Times New Roman" w:hAnsiTheme="majorBidi" w:cstheme="majorBidi"/>
                <w:kern w:val="0"/>
                <w:sz w:val="17"/>
                <w:szCs w:val="17"/>
                <w:lang w:eastAsia="en-US"/>
              </w:rPr>
            </w:pPr>
            <w:r>
              <w:rPr>
                <w:rFonts w:asciiTheme="majorBidi" w:eastAsia="Times New Roman" w:hAnsiTheme="majorBidi" w:cstheme="majorBidi"/>
                <w:kern w:val="0"/>
                <w:sz w:val="17"/>
                <w:szCs w:val="17"/>
                <w:lang w:eastAsia="en-US"/>
              </w:rPr>
              <w:t>d</w:t>
            </w:r>
            <w:r>
              <w:rPr>
                <w:rFonts w:asciiTheme="majorBidi" w:eastAsia="Times New Roman" w:hAnsiTheme="majorBidi" w:cstheme="majorBidi"/>
                <w:kern w:val="0"/>
                <w:sz w:val="17"/>
                <w:szCs w:val="17"/>
                <w:vertAlign w:val="subscript"/>
                <w:lang w:eastAsia="en-US"/>
              </w:rPr>
              <w:t>ik</w:t>
            </w:r>
            <w:r>
              <w:rPr>
                <w:rFonts w:asciiTheme="majorBidi" w:eastAsia="Times New Roman" w:hAnsiTheme="majorBidi" w:cstheme="majorBidi"/>
                <w:kern w:val="0"/>
                <w:sz w:val="17"/>
                <w:szCs w:val="17"/>
                <w:lang w:eastAsia="en-US"/>
              </w:rPr>
              <w:t xml:space="preserve"> = dissimilarity (edge contrast weight) between patch types i and k.</w:t>
            </w:r>
          </w:p>
          <w:p w14:paraId="14C77B5F" w14:textId="77777777" w:rsidR="00E5580A" w:rsidRPr="009C5AD2" w:rsidRDefault="00E5580A" w:rsidP="00E5580A">
            <w:pPr>
              <w:widowControl/>
              <w:jc w:val="left"/>
              <w:textAlignment w:val="baseline"/>
              <w:rPr>
                <w:rFonts w:asciiTheme="majorBidi" w:eastAsia="Times New Roman" w:hAnsiTheme="majorBidi" w:cstheme="majorBidi"/>
                <w:kern w:val="0"/>
                <w:sz w:val="17"/>
                <w:szCs w:val="17"/>
                <w:lang w:eastAsia="en-US"/>
              </w:rPr>
            </w:pPr>
            <w:r>
              <w:rPr>
                <w:rFonts w:asciiTheme="majorBidi" w:eastAsia="Times New Roman" w:hAnsiTheme="majorBidi" w:cstheme="majorBidi"/>
                <w:kern w:val="0"/>
                <w:sz w:val="17"/>
                <w:szCs w:val="17"/>
                <w:lang w:eastAsia="en-US"/>
              </w:rPr>
              <w:t>p</w:t>
            </w:r>
            <w:r>
              <w:rPr>
                <w:rFonts w:asciiTheme="majorBidi" w:eastAsia="Times New Roman" w:hAnsiTheme="majorBidi" w:cstheme="majorBidi"/>
                <w:kern w:val="0"/>
                <w:sz w:val="17"/>
                <w:szCs w:val="17"/>
                <w:vertAlign w:val="subscript"/>
                <w:lang w:eastAsia="en-US"/>
              </w:rPr>
              <w:t>ij</w:t>
            </w:r>
            <w:r>
              <w:rPr>
                <w:rFonts w:asciiTheme="majorBidi" w:eastAsia="Times New Roman" w:hAnsiTheme="majorBidi" w:cstheme="majorBidi"/>
                <w:kern w:val="0"/>
                <w:sz w:val="17"/>
                <w:szCs w:val="17"/>
                <w:lang w:eastAsia="en-US"/>
              </w:rPr>
              <w:t xml:space="preserve"> = length (m) of perimeter of patch ij.</w:t>
            </w:r>
          </w:p>
          <w:p w14:paraId="2D44A292" w14:textId="43D4B3E4" w:rsidR="00CB0DEB" w:rsidRPr="009C5AD2" w:rsidRDefault="00E5580A" w:rsidP="00E5580A">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r>
              <w:rPr>
                <w:rFonts w:asciiTheme="majorBidi" w:eastAsia="Times New Roman" w:hAnsiTheme="majorBidi" w:cstheme="majorBidi"/>
                <w:kern w:val="0"/>
                <w:sz w:val="22"/>
                <w:lang w:eastAsia="en-US"/>
              </w:rPr>
              <w:t> </w:t>
            </w:r>
          </w:p>
          <w:p w14:paraId="3D1D7482"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2"/>
                <w:lang w:eastAsia="en-US"/>
              </w:rPr>
              <w:t> </w:t>
            </w:r>
          </w:p>
          <w:p w14:paraId="2E0B8548" w14:textId="0EB2BBDF"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 </w:t>
            </w:r>
          </w:p>
        </w:tc>
        <w:tc>
          <w:tcPr>
            <w:tcW w:w="4950" w:type="dxa"/>
            <w:tcBorders>
              <w:top w:val="single" w:sz="6" w:space="0" w:color="auto"/>
              <w:left w:val="single" w:sz="6" w:space="0" w:color="auto"/>
              <w:bottom w:val="single" w:sz="6" w:space="0" w:color="auto"/>
              <w:right w:val="single" w:sz="6" w:space="0" w:color="auto"/>
            </w:tcBorders>
            <w:hideMark/>
          </w:tcPr>
          <w:p w14:paraId="0B04DDC5"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ECON equals the sum of the patch perimeter segment lengths (m) multiplied by their corresponding contrast weights, divided by total patch perimeter (m), multiplied by 100 (to convert to a percentage). </w:t>
            </w:r>
          </w:p>
          <w:p w14:paraId="54BC9466" w14:textId="77777777" w:rsidR="00CB0DEB" w:rsidRPr="009C5AD2" w:rsidRDefault="00CB0DEB" w:rsidP="00E5580A">
            <w:pPr>
              <w:widowControl/>
              <w:numPr>
                <w:ilvl w:val="0"/>
                <w:numId w:val="27"/>
              </w:numPr>
              <w:tabs>
                <w:tab w:val="clear" w:pos="720"/>
                <w:tab w:val="num" w:pos="361"/>
              </w:tabs>
              <w:ind w:left="181" w:firstLine="0"/>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This index is a relative measure of the amount of contrast along the patch perimeter. </w:t>
            </w:r>
          </w:p>
          <w:p w14:paraId="50711DB9" w14:textId="0FD9ECEF" w:rsidR="00CB0DEB" w:rsidRPr="009C5AD2" w:rsidRDefault="00CB0DEB" w:rsidP="00337EE1">
            <w:pPr>
              <w:widowControl/>
              <w:numPr>
                <w:ilvl w:val="0"/>
                <w:numId w:val="28"/>
              </w:numPr>
              <w:tabs>
                <w:tab w:val="clear" w:pos="720"/>
              </w:tabs>
              <w:ind w:left="181" w:firstLine="0"/>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18"/>
                <w:szCs w:val="18"/>
                <w:lang w:eastAsia="en-US"/>
              </w:rPr>
              <w:t>A higher value indicates that longer boundaries are adjacent to more contrasting land covers, such as greenspace and road systems. Conversely, a lower value illustrates that shorter boundaries are adjacent to less contrasting land covers, such as trees and grassland. </w:t>
            </w:r>
          </w:p>
        </w:tc>
        <w:tc>
          <w:tcPr>
            <w:tcW w:w="1460" w:type="dxa"/>
            <w:tcBorders>
              <w:top w:val="single" w:sz="6" w:space="0" w:color="auto"/>
              <w:left w:val="single" w:sz="6" w:space="0" w:color="auto"/>
              <w:bottom w:val="single" w:sz="6" w:space="0" w:color="auto"/>
              <w:right w:val="single" w:sz="6" w:space="0" w:color="auto"/>
            </w:tcBorders>
            <w:hideMark/>
          </w:tcPr>
          <w:p w14:paraId="1E8E1F7F"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Percent </w:t>
            </w:r>
          </w:p>
          <w:p w14:paraId="4D5B0415" w14:textId="77777777" w:rsidR="00CB0DEB" w:rsidRPr="009C5AD2" w:rsidRDefault="00CB0DEB" w:rsidP="00CB0DEB">
            <w:pPr>
              <w:widowControl/>
              <w:jc w:val="left"/>
              <w:textAlignment w:val="baseline"/>
              <w:rPr>
                <w:rFonts w:asciiTheme="majorBidi" w:eastAsia="Times New Roman" w:hAnsiTheme="majorBidi" w:cstheme="majorBidi"/>
                <w:kern w:val="0"/>
                <w:sz w:val="18"/>
                <w:szCs w:val="18"/>
                <w:lang w:eastAsia="en-US"/>
              </w:rPr>
            </w:pPr>
            <w:r>
              <w:rPr>
                <w:rFonts w:asciiTheme="majorBidi" w:eastAsia="Times New Roman" w:hAnsiTheme="majorBidi" w:cstheme="majorBidi"/>
                <w:kern w:val="0"/>
                <w:sz w:val="20"/>
                <w:szCs w:val="20"/>
                <w:lang w:eastAsia="en-US"/>
              </w:rPr>
              <w:t>(0 &lt;= ECON &lt;= 100) </w:t>
            </w:r>
          </w:p>
        </w:tc>
      </w:tr>
    </w:tbl>
    <w:p w14:paraId="297B9312" w14:textId="77777777" w:rsidR="00CB0DEB" w:rsidRPr="009C5AD2" w:rsidRDefault="00CB0DEB">
      <w:pPr>
        <w:rPr>
          <w:rFonts w:asciiTheme="majorBidi" w:hAnsiTheme="majorBidi" w:cstheme="majorBidi"/>
          <w:szCs w:val="21"/>
          <w:shd w:val="clear" w:color="auto" w:fill="FFFFFF" w:themeFill="background1"/>
        </w:rPr>
      </w:pPr>
    </w:p>
    <w:p w14:paraId="579C06E4" w14:textId="77777777" w:rsidR="00CB0DEB" w:rsidRPr="009C5AD2" w:rsidRDefault="00CB0DEB">
      <w:pPr>
        <w:rPr>
          <w:rFonts w:asciiTheme="majorBidi" w:hAnsiTheme="majorBidi" w:cstheme="majorBidi"/>
          <w:szCs w:val="21"/>
          <w:shd w:val="clear" w:color="auto" w:fill="FFFFFF" w:themeFill="background1"/>
        </w:rPr>
      </w:pPr>
    </w:p>
    <w:sectPr w:rsidR="00CB0DEB" w:rsidRPr="009C5AD2" w:rsidSect="003962F8">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E9C54" w14:textId="77777777" w:rsidR="00244CBC" w:rsidRDefault="00244CBC" w:rsidP="00EE4752">
      <w:r>
        <w:separator/>
      </w:r>
    </w:p>
  </w:endnote>
  <w:endnote w:type="continuationSeparator" w:id="0">
    <w:p w14:paraId="78B67529" w14:textId="77777777" w:rsidR="00244CBC" w:rsidRDefault="00244CBC" w:rsidP="00EE4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9799A" w14:textId="77777777" w:rsidR="00244CBC" w:rsidRDefault="00244CBC" w:rsidP="00EE4752">
      <w:r>
        <w:separator/>
      </w:r>
    </w:p>
  </w:footnote>
  <w:footnote w:type="continuationSeparator" w:id="0">
    <w:p w14:paraId="522D9571" w14:textId="77777777" w:rsidR="00244CBC" w:rsidRDefault="00244CBC" w:rsidP="00EE4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4464"/>
    <w:multiLevelType w:val="multilevel"/>
    <w:tmpl w:val="F2AA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173AC"/>
    <w:multiLevelType w:val="multilevel"/>
    <w:tmpl w:val="D7FE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6D78B1"/>
    <w:multiLevelType w:val="multilevel"/>
    <w:tmpl w:val="F3DC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218B8"/>
    <w:multiLevelType w:val="multilevel"/>
    <w:tmpl w:val="E866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B10E24"/>
    <w:multiLevelType w:val="multilevel"/>
    <w:tmpl w:val="3C38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9E0BA2"/>
    <w:multiLevelType w:val="multilevel"/>
    <w:tmpl w:val="05EA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A318CD"/>
    <w:multiLevelType w:val="multilevel"/>
    <w:tmpl w:val="4742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5664D"/>
    <w:multiLevelType w:val="multilevel"/>
    <w:tmpl w:val="C996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E0621D"/>
    <w:multiLevelType w:val="multilevel"/>
    <w:tmpl w:val="A21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170A9D"/>
    <w:multiLevelType w:val="multilevel"/>
    <w:tmpl w:val="D1F4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956225"/>
    <w:multiLevelType w:val="multilevel"/>
    <w:tmpl w:val="C706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D910BD"/>
    <w:multiLevelType w:val="multilevel"/>
    <w:tmpl w:val="BD5E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34164A"/>
    <w:multiLevelType w:val="multilevel"/>
    <w:tmpl w:val="9FA2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8B1A25"/>
    <w:multiLevelType w:val="multilevel"/>
    <w:tmpl w:val="5BFE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65494E"/>
    <w:multiLevelType w:val="multilevel"/>
    <w:tmpl w:val="0EC2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AF13A5"/>
    <w:multiLevelType w:val="multilevel"/>
    <w:tmpl w:val="9DD0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8626CE"/>
    <w:multiLevelType w:val="multilevel"/>
    <w:tmpl w:val="F0CC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1648CC"/>
    <w:multiLevelType w:val="multilevel"/>
    <w:tmpl w:val="10B0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26150B"/>
    <w:multiLevelType w:val="hybridMultilevel"/>
    <w:tmpl w:val="D1EE4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42583D"/>
    <w:multiLevelType w:val="multilevel"/>
    <w:tmpl w:val="B03A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BF0C90"/>
    <w:multiLevelType w:val="multilevel"/>
    <w:tmpl w:val="502C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B0207D"/>
    <w:multiLevelType w:val="multilevel"/>
    <w:tmpl w:val="1FC6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154B9C"/>
    <w:multiLevelType w:val="hybridMultilevel"/>
    <w:tmpl w:val="08808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7097C"/>
    <w:multiLevelType w:val="multilevel"/>
    <w:tmpl w:val="271E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9E2581"/>
    <w:multiLevelType w:val="hybridMultilevel"/>
    <w:tmpl w:val="F90CC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744D2"/>
    <w:multiLevelType w:val="multilevel"/>
    <w:tmpl w:val="0084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5B7E99"/>
    <w:multiLevelType w:val="multilevel"/>
    <w:tmpl w:val="F8D4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476A7F"/>
    <w:multiLevelType w:val="multilevel"/>
    <w:tmpl w:val="C402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6909A2"/>
    <w:multiLevelType w:val="multilevel"/>
    <w:tmpl w:val="6692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623987"/>
    <w:multiLevelType w:val="multilevel"/>
    <w:tmpl w:val="69AA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5514027">
    <w:abstractNumId w:val="18"/>
  </w:num>
  <w:num w:numId="2" w16cid:durableId="1993829026">
    <w:abstractNumId w:val="22"/>
  </w:num>
  <w:num w:numId="3" w16cid:durableId="405224145">
    <w:abstractNumId w:val="11"/>
  </w:num>
  <w:num w:numId="4" w16cid:durableId="1361659517">
    <w:abstractNumId w:val="15"/>
  </w:num>
  <w:num w:numId="5" w16cid:durableId="1330862406">
    <w:abstractNumId w:val="4"/>
  </w:num>
  <w:num w:numId="6" w16cid:durableId="30034017">
    <w:abstractNumId w:val="20"/>
  </w:num>
  <w:num w:numId="7" w16cid:durableId="1144274183">
    <w:abstractNumId w:val="29"/>
  </w:num>
  <w:num w:numId="8" w16cid:durableId="827789940">
    <w:abstractNumId w:val="19"/>
  </w:num>
  <w:num w:numId="9" w16cid:durableId="845706203">
    <w:abstractNumId w:val="23"/>
  </w:num>
  <w:num w:numId="10" w16cid:durableId="1772699124">
    <w:abstractNumId w:val="14"/>
  </w:num>
  <w:num w:numId="11" w16cid:durableId="893931246">
    <w:abstractNumId w:val="21"/>
  </w:num>
  <w:num w:numId="12" w16cid:durableId="1916087386">
    <w:abstractNumId w:val="16"/>
  </w:num>
  <w:num w:numId="13" w16cid:durableId="566839298">
    <w:abstractNumId w:val="2"/>
  </w:num>
  <w:num w:numId="14" w16cid:durableId="120003313">
    <w:abstractNumId w:val="17"/>
  </w:num>
  <w:num w:numId="15" w16cid:durableId="757411660">
    <w:abstractNumId w:val="26"/>
  </w:num>
  <w:num w:numId="16" w16cid:durableId="87048603">
    <w:abstractNumId w:val="13"/>
  </w:num>
  <w:num w:numId="17" w16cid:durableId="131601373">
    <w:abstractNumId w:val="5"/>
  </w:num>
  <w:num w:numId="18" w16cid:durableId="1515420704">
    <w:abstractNumId w:val="8"/>
  </w:num>
  <w:num w:numId="19" w16cid:durableId="97256494">
    <w:abstractNumId w:val="27"/>
  </w:num>
  <w:num w:numId="20" w16cid:durableId="2071883685">
    <w:abstractNumId w:val="3"/>
  </w:num>
  <w:num w:numId="21" w16cid:durableId="1909992742">
    <w:abstractNumId w:val="7"/>
  </w:num>
  <w:num w:numId="22" w16cid:durableId="2084795193">
    <w:abstractNumId w:val="25"/>
  </w:num>
  <w:num w:numId="23" w16cid:durableId="780875673">
    <w:abstractNumId w:val="1"/>
  </w:num>
  <w:num w:numId="24" w16cid:durableId="171845279">
    <w:abstractNumId w:val="0"/>
  </w:num>
  <w:num w:numId="25" w16cid:durableId="885137780">
    <w:abstractNumId w:val="6"/>
  </w:num>
  <w:num w:numId="26" w16cid:durableId="1183662054">
    <w:abstractNumId w:val="28"/>
  </w:num>
  <w:num w:numId="27" w16cid:durableId="1238247815">
    <w:abstractNumId w:val="12"/>
  </w:num>
  <w:num w:numId="28" w16cid:durableId="1485708100">
    <w:abstractNumId w:val="9"/>
  </w:num>
  <w:num w:numId="29" w16cid:durableId="672490480">
    <w:abstractNumId w:val="10"/>
  </w:num>
  <w:num w:numId="30" w16cid:durableId="15760099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3szAzNDY3MDE1NjRX0lEKTi0uzszPAykwMqsFAGIPE3QtAAAA"/>
  </w:docVars>
  <w:rsids>
    <w:rsidRoot w:val="00FE3270"/>
    <w:rsid w:val="00001C3C"/>
    <w:rsid w:val="00007831"/>
    <w:rsid w:val="00015BA2"/>
    <w:rsid w:val="0001606B"/>
    <w:rsid w:val="00023BC6"/>
    <w:rsid w:val="00024077"/>
    <w:rsid w:val="00025C8B"/>
    <w:rsid w:val="00027351"/>
    <w:rsid w:val="00033844"/>
    <w:rsid w:val="00034DD3"/>
    <w:rsid w:val="00041EEF"/>
    <w:rsid w:val="000424A5"/>
    <w:rsid w:val="00043727"/>
    <w:rsid w:val="000450C3"/>
    <w:rsid w:val="00052543"/>
    <w:rsid w:val="00053116"/>
    <w:rsid w:val="00055AA7"/>
    <w:rsid w:val="00055E52"/>
    <w:rsid w:val="00061D95"/>
    <w:rsid w:val="00065D94"/>
    <w:rsid w:val="00065E5C"/>
    <w:rsid w:val="00070D34"/>
    <w:rsid w:val="00070E8C"/>
    <w:rsid w:val="00077FC3"/>
    <w:rsid w:val="00082986"/>
    <w:rsid w:val="00083095"/>
    <w:rsid w:val="00086F08"/>
    <w:rsid w:val="00087774"/>
    <w:rsid w:val="000A14BB"/>
    <w:rsid w:val="000A2894"/>
    <w:rsid w:val="000A385D"/>
    <w:rsid w:val="000A4E04"/>
    <w:rsid w:val="000A7B98"/>
    <w:rsid w:val="000C5A61"/>
    <w:rsid w:val="000C6118"/>
    <w:rsid w:val="000D0554"/>
    <w:rsid w:val="000E1D68"/>
    <w:rsid w:val="000E4029"/>
    <w:rsid w:val="000E6CFE"/>
    <w:rsid w:val="000F2BEA"/>
    <w:rsid w:val="000F3F13"/>
    <w:rsid w:val="001017C6"/>
    <w:rsid w:val="00104DF9"/>
    <w:rsid w:val="0010659F"/>
    <w:rsid w:val="00106816"/>
    <w:rsid w:val="00106FBD"/>
    <w:rsid w:val="0011026D"/>
    <w:rsid w:val="001117DC"/>
    <w:rsid w:val="00111B63"/>
    <w:rsid w:val="001200C8"/>
    <w:rsid w:val="00121342"/>
    <w:rsid w:val="001217B3"/>
    <w:rsid w:val="001228C5"/>
    <w:rsid w:val="00124252"/>
    <w:rsid w:val="0012486F"/>
    <w:rsid w:val="00125770"/>
    <w:rsid w:val="001271FC"/>
    <w:rsid w:val="0013105B"/>
    <w:rsid w:val="001343BC"/>
    <w:rsid w:val="00135CC3"/>
    <w:rsid w:val="00136C94"/>
    <w:rsid w:val="00141B4D"/>
    <w:rsid w:val="0014208C"/>
    <w:rsid w:val="001429C1"/>
    <w:rsid w:val="001433E8"/>
    <w:rsid w:val="00147917"/>
    <w:rsid w:val="00151A0F"/>
    <w:rsid w:val="00151E9F"/>
    <w:rsid w:val="0015471F"/>
    <w:rsid w:val="00154FC0"/>
    <w:rsid w:val="001602B4"/>
    <w:rsid w:val="00161FC8"/>
    <w:rsid w:val="00164835"/>
    <w:rsid w:val="00166385"/>
    <w:rsid w:val="00171AEE"/>
    <w:rsid w:val="00172A52"/>
    <w:rsid w:val="00172D50"/>
    <w:rsid w:val="00174177"/>
    <w:rsid w:val="00176232"/>
    <w:rsid w:val="001763BF"/>
    <w:rsid w:val="00186EB3"/>
    <w:rsid w:val="001871E7"/>
    <w:rsid w:val="00192892"/>
    <w:rsid w:val="001A4191"/>
    <w:rsid w:val="001A4E55"/>
    <w:rsid w:val="001A5765"/>
    <w:rsid w:val="001A58CB"/>
    <w:rsid w:val="001A61AA"/>
    <w:rsid w:val="001B0F14"/>
    <w:rsid w:val="001B227C"/>
    <w:rsid w:val="001B2D48"/>
    <w:rsid w:val="001B3E8A"/>
    <w:rsid w:val="001B5585"/>
    <w:rsid w:val="001C29B7"/>
    <w:rsid w:val="001C3667"/>
    <w:rsid w:val="001C780D"/>
    <w:rsid w:val="001D2ABD"/>
    <w:rsid w:val="001D34CF"/>
    <w:rsid w:val="001D560E"/>
    <w:rsid w:val="001D7526"/>
    <w:rsid w:val="001E507C"/>
    <w:rsid w:val="001E6AB7"/>
    <w:rsid w:val="001F415B"/>
    <w:rsid w:val="00201B23"/>
    <w:rsid w:val="00202212"/>
    <w:rsid w:val="00202CEA"/>
    <w:rsid w:val="00206F12"/>
    <w:rsid w:val="00210754"/>
    <w:rsid w:val="002116FF"/>
    <w:rsid w:val="00212ECF"/>
    <w:rsid w:val="00216924"/>
    <w:rsid w:val="0022045A"/>
    <w:rsid w:val="0022130C"/>
    <w:rsid w:val="00226D6D"/>
    <w:rsid w:val="00226DFF"/>
    <w:rsid w:val="00234B95"/>
    <w:rsid w:val="00235315"/>
    <w:rsid w:val="00236A28"/>
    <w:rsid w:val="00237700"/>
    <w:rsid w:val="002414D4"/>
    <w:rsid w:val="00244CBC"/>
    <w:rsid w:val="00250D94"/>
    <w:rsid w:val="00256592"/>
    <w:rsid w:val="00261DE7"/>
    <w:rsid w:val="0026436A"/>
    <w:rsid w:val="002723F7"/>
    <w:rsid w:val="002777FC"/>
    <w:rsid w:val="00280FDF"/>
    <w:rsid w:val="00285D17"/>
    <w:rsid w:val="002914F8"/>
    <w:rsid w:val="00297727"/>
    <w:rsid w:val="002A2B86"/>
    <w:rsid w:val="002A3527"/>
    <w:rsid w:val="002A3CA4"/>
    <w:rsid w:val="002A5C8C"/>
    <w:rsid w:val="002A7D18"/>
    <w:rsid w:val="002B0B84"/>
    <w:rsid w:val="002B2AB8"/>
    <w:rsid w:val="002B7400"/>
    <w:rsid w:val="002C3347"/>
    <w:rsid w:val="002D54AF"/>
    <w:rsid w:val="002F0A70"/>
    <w:rsid w:val="002F3782"/>
    <w:rsid w:val="00302F48"/>
    <w:rsid w:val="00307031"/>
    <w:rsid w:val="0030704E"/>
    <w:rsid w:val="00311823"/>
    <w:rsid w:val="0031201F"/>
    <w:rsid w:val="0032511D"/>
    <w:rsid w:val="003319A8"/>
    <w:rsid w:val="003319FA"/>
    <w:rsid w:val="003339F6"/>
    <w:rsid w:val="0033456F"/>
    <w:rsid w:val="003347F4"/>
    <w:rsid w:val="00334F6D"/>
    <w:rsid w:val="003369ED"/>
    <w:rsid w:val="00337EE1"/>
    <w:rsid w:val="0034115F"/>
    <w:rsid w:val="00342EAD"/>
    <w:rsid w:val="00344819"/>
    <w:rsid w:val="0034573F"/>
    <w:rsid w:val="00345EF4"/>
    <w:rsid w:val="0035727B"/>
    <w:rsid w:val="0036075C"/>
    <w:rsid w:val="00364B69"/>
    <w:rsid w:val="003661CB"/>
    <w:rsid w:val="00371244"/>
    <w:rsid w:val="00372B0F"/>
    <w:rsid w:val="003758A4"/>
    <w:rsid w:val="0037619D"/>
    <w:rsid w:val="00383A51"/>
    <w:rsid w:val="0038450E"/>
    <w:rsid w:val="00387137"/>
    <w:rsid w:val="00387746"/>
    <w:rsid w:val="003879F4"/>
    <w:rsid w:val="0039330B"/>
    <w:rsid w:val="00394E77"/>
    <w:rsid w:val="003962F8"/>
    <w:rsid w:val="003A301E"/>
    <w:rsid w:val="003A57A9"/>
    <w:rsid w:val="003A5B9B"/>
    <w:rsid w:val="003B2FCF"/>
    <w:rsid w:val="003B3CF8"/>
    <w:rsid w:val="003C0E6C"/>
    <w:rsid w:val="003C3D29"/>
    <w:rsid w:val="003C6B68"/>
    <w:rsid w:val="003D2EC8"/>
    <w:rsid w:val="003D5FEB"/>
    <w:rsid w:val="003D72AD"/>
    <w:rsid w:val="003E16D4"/>
    <w:rsid w:val="003E38E7"/>
    <w:rsid w:val="003F0883"/>
    <w:rsid w:val="003F50C7"/>
    <w:rsid w:val="003F59F3"/>
    <w:rsid w:val="003F60A4"/>
    <w:rsid w:val="003F6F43"/>
    <w:rsid w:val="004120F9"/>
    <w:rsid w:val="0042006B"/>
    <w:rsid w:val="004231AC"/>
    <w:rsid w:val="00424883"/>
    <w:rsid w:val="00426123"/>
    <w:rsid w:val="004301B5"/>
    <w:rsid w:val="00434A50"/>
    <w:rsid w:val="00436061"/>
    <w:rsid w:val="00436DD9"/>
    <w:rsid w:val="00440EB7"/>
    <w:rsid w:val="00447F22"/>
    <w:rsid w:val="00453473"/>
    <w:rsid w:val="004647F5"/>
    <w:rsid w:val="00470AE4"/>
    <w:rsid w:val="00471008"/>
    <w:rsid w:val="00472A80"/>
    <w:rsid w:val="004752E9"/>
    <w:rsid w:val="00482456"/>
    <w:rsid w:val="004851EB"/>
    <w:rsid w:val="0049406A"/>
    <w:rsid w:val="004A3CCC"/>
    <w:rsid w:val="004B0B60"/>
    <w:rsid w:val="004B4258"/>
    <w:rsid w:val="004B6B5C"/>
    <w:rsid w:val="004B74A3"/>
    <w:rsid w:val="004C05B8"/>
    <w:rsid w:val="004C1477"/>
    <w:rsid w:val="004C2F81"/>
    <w:rsid w:val="004C4E7D"/>
    <w:rsid w:val="004D14C8"/>
    <w:rsid w:val="004D6707"/>
    <w:rsid w:val="004E2CDB"/>
    <w:rsid w:val="004E7AF9"/>
    <w:rsid w:val="004F5F58"/>
    <w:rsid w:val="005013AA"/>
    <w:rsid w:val="005058F5"/>
    <w:rsid w:val="00514711"/>
    <w:rsid w:val="00517D7C"/>
    <w:rsid w:val="0052162F"/>
    <w:rsid w:val="005236D8"/>
    <w:rsid w:val="00532622"/>
    <w:rsid w:val="00532765"/>
    <w:rsid w:val="005351E4"/>
    <w:rsid w:val="0053524C"/>
    <w:rsid w:val="005353C4"/>
    <w:rsid w:val="00536E23"/>
    <w:rsid w:val="00537060"/>
    <w:rsid w:val="005406E6"/>
    <w:rsid w:val="0054465A"/>
    <w:rsid w:val="005453CE"/>
    <w:rsid w:val="00552E7A"/>
    <w:rsid w:val="00555980"/>
    <w:rsid w:val="00555A0D"/>
    <w:rsid w:val="005627EA"/>
    <w:rsid w:val="0056498F"/>
    <w:rsid w:val="00564C7B"/>
    <w:rsid w:val="00572003"/>
    <w:rsid w:val="005876D6"/>
    <w:rsid w:val="00593D73"/>
    <w:rsid w:val="0059651E"/>
    <w:rsid w:val="005A2BBB"/>
    <w:rsid w:val="005B61EE"/>
    <w:rsid w:val="005C1119"/>
    <w:rsid w:val="005C6DF2"/>
    <w:rsid w:val="005D0A8A"/>
    <w:rsid w:val="005D4F66"/>
    <w:rsid w:val="005E4C39"/>
    <w:rsid w:val="005E52C0"/>
    <w:rsid w:val="005E7042"/>
    <w:rsid w:val="005E7649"/>
    <w:rsid w:val="005F2CF5"/>
    <w:rsid w:val="005F6E5C"/>
    <w:rsid w:val="0060178E"/>
    <w:rsid w:val="006109A9"/>
    <w:rsid w:val="0061392D"/>
    <w:rsid w:val="00617B90"/>
    <w:rsid w:val="0062521F"/>
    <w:rsid w:val="0063044C"/>
    <w:rsid w:val="006317A5"/>
    <w:rsid w:val="00632DF1"/>
    <w:rsid w:val="0063347B"/>
    <w:rsid w:val="0066090C"/>
    <w:rsid w:val="00666B26"/>
    <w:rsid w:val="00667403"/>
    <w:rsid w:val="006674C3"/>
    <w:rsid w:val="006731DD"/>
    <w:rsid w:val="006734AD"/>
    <w:rsid w:val="00673974"/>
    <w:rsid w:val="00674C3E"/>
    <w:rsid w:val="0067521F"/>
    <w:rsid w:val="00676A30"/>
    <w:rsid w:val="00681399"/>
    <w:rsid w:val="006848F4"/>
    <w:rsid w:val="0069319A"/>
    <w:rsid w:val="00695F6C"/>
    <w:rsid w:val="006A5CA2"/>
    <w:rsid w:val="006A710F"/>
    <w:rsid w:val="006A7B30"/>
    <w:rsid w:val="006B1EAF"/>
    <w:rsid w:val="006B6328"/>
    <w:rsid w:val="006C0CEE"/>
    <w:rsid w:val="006C468C"/>
    <w:rsid w:val="006C5D15"/>
    <w:rsid w:val="006D1831"/>
    <w:rsid w:val="006D1B33"/>
    <w:rsid w:val="006D332D"/>
    <w:rsid w:val="006D3A63"/>
    <w:rsid w:val="006E1143"/>
    <w:rsid w:val="006E1BAE"/>
    <w:rsid w:val="006E7AF5"/>
    <w:rsid w:val="006F5E7A"/>
    <w:rsid w:val="00701F36"/>
    <w:rsid w:val="0070669E"/>
    <w:rsid w:val="00711AB9"/>
    <w:rsid w:val="00715215"/>
    <w:rsid w:val="00715516"/>
    <w:rsid w:val="007205A7"/>
    <w:rsid w:val="00725859"/>
    <w:rsid w:val="007261FD"/>
    <w:rsid w:val="0073061F"/>
    <w:rsid w:val="00734F0E"/>
    <w:rsid w:val="00743572"/>
    <w:rsid w:val="00743FB6"/>
    <w:rsid w:val="007525CE"/>
    <w:rsid w:val="00754358"/>
    <w:rsid w:val="00763B5B"/>
    <w:rsid w:val="00763E76"/>
    <w:rsid w:val="00765CA7"/>
    <w:rsid w:val="00766B94"/>
    <w:rsid w:val="0076711C"/>
    <w:rsid w:val="00771A8D"/>
    <w:rsid w:val="00774216"/>
    <w:rsid w:val="00780D9E"/>
    <w:rsid w:val="00781C09"/>
    <w:rsid w:val="00784D38"/>
    <w:rsid w:val="00787D7A"/>
    <w:rsid w:val="00793E9B"/>
    <w:rsid w:val="0079479D"/>
    <w:rsid w:val="007A2975"/>
    <w:rsid w:val="007A4C5E"/>
    <w:rsid w:val="007A797A"/>
    <w:rsid w:val="007B44D7"/>
    <w:rsid w:val="007B5219"/>
    <w:rsid w:val="007B69F9"/>
    <w:rsid w:val="007C1356"/>
    <w:rsid w:val="007C397E"/>
    <w:rsid w:val="007C49A9"/>
    <w:rsid w:val="007C63CC"/>
    <w:rsid w:val="007D0597"/>
    <w:rsid w:val="007D31D9"/>
    <w:rsid w:val="007D3741"/>
    <w:rsid w:val="007D6D7C"/>
    <w:rsid w:val="007E0690"/>
    <w:rsid w:val="007E511A"/>
    <w:rsid w:val="007E6A4D"/>
    <w:rsid w:val="007F25B8"/>
    <w:rsid w:val="007F2DCA"/>
    <w:rsid w:val="007F59B4"/>
    <w:rsid w:val="007F696A"/>
    <w:rsid w:val="00800814"/>
    <w:rsid w:val="00802EC4"/>
    <w:rsid w:val="00812599"/>
    <w:rsid w:val="008132B7"/>
    <w:rsid w:val="0082169A"/>
    <w:rsid w:val="008268F3"/>
    <w:rsid w:val="008269D5"/>
    <w:rsid w:val="008366C1"/>
    <w:rsid w:val="008377A7"/>
    <w:rsid w:val="0084014E"/>
    <w:rsid w:val="0084709B"/>
    <w:rsid w:val="008538FF"/>
    <w:rsid w:val="008540A5"/>
    <w:rsid w:val="00854C7E"/>
    <w:rsid w:val="00860A75"/>
    <w:rsid w:val="00861443"/>
    <w:rsid w:val="0086201D"/>
    <w:rsid w:val="00863CE8"/>
    <w:rsid w:val="0086442D"/>
    <w:rsid w:val="0086498B"/>
    <w:rsid w:val="0086593C"/>
    <w:rsid w:val="008736EA"/>
    <w:rsid w:val="008741E0"/>
    <w:rsid w:val="0087432E"/>
    <w:rsid w:val="00876676"/>
    <w:rsid w:val="00877C2B"/>
    <w:rsid w:val="00882199"/>
    <w:rsid w:val="008834FB"/>
    <w:rsid w:val="008910CE"/>
    <w:rsid w:val="008915DD"/>
    <w:rsid w:val="00895D03"/>
    <w:rsid w:val="00897BB3"/>
    <w:rsid w:val="008A4CBC"/>
    <w:rsid w:val="008B6325"/>
    <w:rsid w:val="008B7601"/>
    <w:rsid w:val="008C7151"/>
    <w:rsid w:val="008D1095"/>
    <w:rsid w:val="008D1D2D"/>
    <w:rsid w:val="008D2370"/>
    <w:rsid w:val="008D2940"/>
    <w:rsid w:val="008D3285"/>
    <w:rsid w:val="008D3423"/>
    <w:rsid w:val="008D3C80"/>
    <w:rsid w:val="008D3EC4"/>
    <w:rsid w:val="008D73ED"/>
    <w:rsid w:val="008E476B"/>
    <w:rsid w:val="008E4D6A"/>
    <w:rsid w:val="008E6E8F"/>
    <w:rsid w:val="008F0FA2"/>
    <w:rsid w:val="008F370E"/>
    <w:rsid w:val="008F5D1A"/>
    <w:rsid w:val="008F6603"/>
    <w:rsid w:val="00903004"/>
    <w:rsid w:val="00903284"/>
    <w:rsid w:val="00903F28"/>
    <w:rsid w:val="00905D2E"/>
    <w:rsid w:val="00910023"/>
    <w:rsid w:val="00910346"/>
    <w:rsid w:val="00911D10"/>
    <w:rsid w:val="009145F8"/>
    <w:rsid w:val="009178FC"/>
    <w:rsid w:val="009253B2"/>
    <w:rsid w:val="00935384"/>
    <w:rsid w:val="0093600E"/>
    <w:rsid w:val="00937BC5"/>
    <w:rsid w:val="00941590"/>
    <w:rsid w:val="0094164C"/>
    <w:rsid w:val="00941915"/>
    <w:rsid w:val="00943761"/>
    <w:rsid w:val="00945A30"/>
    <w:rsid w:val="00961F64"/>
    <w:rsid w:val="0096435F"/>
    <w:rsid w:val="009666D3"/>
    <w:rsid w:val="00966E1D"/>
    <w:rsid w:val="009709DF"/>
    <w:rsid w:val="009715DC"/>
    <w:rsid w:val="0098479D"/>
    <w:rsid w:val="0098636B"/>
    <w:rsid w:val="009A1CB1"/>
    <w:rsid w:val="009A249D"/>
    <w:rsid w:val="009B0D72"/>
    <w:rsid w:val="009B2ABE"/>
    <w:rsid w:val="009C0455"/>
    <w:rsid w:val="009C075F"/>
    <w:rsid w:val="009C0D87"/>
    <w:rsid w:val="009C13F9"/>
    <w:rsid w:val="009C2561"/>
    <w:rsid w:val="009C52C0"/>
    <w:rsid w:val="009C5AD2"/>
    <w:rsid w:val="009C6C9C"/>
    <w:rsid w:val="009C7236"/>
    <w:rsid w:val="009D0634"/>
    <w:rsid w:val="009D07FA"/>
    <w:rsid w:val="009D2548"/>
    <w:rsid w:val="009D3434"/>
    <w:rsid w:val="009E50AC"/>
    <w:rsid w:val="009F35A0"/>
    <w:rsid w:val="009F53A8"/>
    <w:rsid w:val="00A027D0"/>
    <w:rsid w:val="00A136E2"/>
    <w:rsid w:val="00A13E80"/>
    <w:rsid w:val="00A27EE8"/>
    <w:rsid w:val="00A3353D"/>
    <w:rsid w:val="00A33B91"/>
    <w:rsid w:val="00A34783"/>
    <w:rsid w:val="00A3488A"/>
    <w:rsid w:val="00A476F0"/>
    <w:rsid w:val="00A55968"/>
    <w:rsid w:val="00A61053"/>
    <w:rsid w:val="00A82882"/>
    <w:rsid w:val="00A82D91"/>
    <w:rsid w:val="00A87E90"/>
    <w:rsid w:val="00A952AB"/>
    <w:rsid w:val="00A95387"/>
    <w:rsid w:val="00A9576C"/>
    <w:rsid w:val="00AA0781"/>
    <w:rsid w:val="00AA3E23"/>
    <w:rsid w:val="00AA4AD5"/>
    <w:rsid w:val="00AA4B5B"/>
    <w:rsid w:val="00AA7300"/>
    <w:rsid w:val="00AA7C5A"/>
    <w:rsid w:val="00AB4FF8"/>
    <w:rsid w:val="00AB772A"/>
    <w:rsid w:val="00AC408D"/>
    <w:rsid w:val="00AC547D"/>
    <w:rsid w:val="00AC56C3"/>
    <w:rsid w:val="00AD18E0"/>
    <w:rsid w:val="00AD45E7"/>
    <w:rsid w:val="00AD49AE"/>
    <w:rsid w:val="00AE10C5"/>
    <w:rsid w:val="00AE345D"/>
    <w:rsid w:val="00AE5170"/>
    <w:rsid w:val="00AE5844"/>
    <w:rsid w:val="00AE68A5"/>
    <w:rsid w:val="00AF1EF7"/>
    <w:rsid w:val="00AF6CCA"/>
    <w:rsid w:val="00AF7592"/>
    <w:rsid w:val="00AF7952"/>
    <w:rsid w:val="00B040C9"/>
    <w:rsid w:val="00B12838"/>
    <w:rsid w:val="00B13781"/>
    <w:rsid w:val="00B13B2B"/>
    <w:rsid w:val="00B21090"/>
    <w:rsid w:val="00B21AD7"/>
    <w:rsid w:val="00B3062F"/>
    <w:rsid w:val="00B332EB"/>
    <w:rsid w:val="00B444EA"/>
    <w:rsid w:val="00B6360D"/>
    <w:rsid w:val="00B767E5"/>
    <w:rsid w:val="00B76E10"/>
    <w:rsid w:val="00B816B2"/>
    <w:rsid w:val="00B84BF9"/>
    <w:rsid w:val="00B860B2"/>
    <w:rsid w:val="00B865D6"/>
    <w:rsid w:val="00BA2D4B"/>
    <w:rsid w:val="00BA64EB"/>
    <w:rsid w:val="00BB216B"/>
    <w:rsid w:val="00BB2892"/>
    <w:rsid w:val="00BB320D"/>
    <w:rsid w:val="00BB4E6F"/>
    <w:rsid w:val="00BC625D"/>
    <w:rsid w:val="00BC62A9"/>
    <w:rsid w:val="00BD788B"/>
    <w:rsid w:val="00BF057D"/>
    <w:rsid w:val="00BF1D6F"/>
    <w:rsid w:val="00C04240"/>
    <w:rsid w:val="00C05379"/>
    <w:rsid w:val="00C06DFA"/>
    <w:rsid w:val="00C11720"/>
    <w:rsid w:val="00C13DF7"/>
    <w:rsid w:val="00C16836"/>
    <w:rsid w:val="00C22B04"/>
    <w:rsid w:val="00C23369"/>
    <w:rsid w:val="00C3242B"/>
    <w:rsid w:val="00C34F1C"/>
    <w:rsid w:val="00C37BEF"/>
    <w:rsid w:val="00C40B0F"/>
    <w:rsid w:val="00C4130C"/>
    <w:rsid w:val="00C41476"/>
    <w:rsid w:val="00C4185E"/>
    <w:rsid w:val="00C51E1F"/>
    <w:rsid w:val="00C524C7"/>
    <w:rsid w:val="00C57048"/>
    <w:rsid w:val="00C630EE"/>
    <w:rsid w:val="00C63A43"/>
    <w:rsid w:val="00C65172"/>
    <w:rsid w:val="00C67492"/>
    <w:rsid w:val="00C90C6F"/>
    <w:rsid w:val="00C90D9F"/>
    <w:rsid w:val="00C94939"/>
    <w:rsid w:val="00C97862"/>
    <w:rsid w:val="00CA315A"/>
    <w:rsid w:val="00CA6F2A"/>
    <w:rsid w:val="00CB0DEB"/>
    <w:rsid w:val="00CB1931"/>
    <w:rsid w:val="00CB46CA"/>
    <w:rsid w:val="00CB4C05"/>
    <w:rsid w:val="00CB5B35"/>
    <w:rsid w:val="00CB64A9"/>
    <w:rsid w:val="00CC6B3C"/>
    <w:rsid w:val="00CD6573"/>
    <w:rsid w:val="00CE0641"/>
    <w:rsid w:val="00CE0E40"/>
    <w:rsid w:val="00CE168D"/>
    <w:rsid w:val="00CE2388"/>
    <w:rsid w:val="00CE2633"/>
    <w:rsid w:val="00CE3E02"/>
    <w:rsid w:val="00CE432A"/>
    <w:rsid w:val="00CE6678"/>
    <w:rsid w:val="00CF2149"/>
    <w:rsid w:val="00CF4A8C"/>
    <w:rsid w:val="00D03927"/>
    <w:rsid w:val="00D058C4"/>
    <w:rsid w:val="00D104D7"/>
    <w:rsid w:val="00D21B5D"/>
    <w:rsid w:val="00D23961"/>
    <w:rsid w:val="00D23C0C"/>
    <w:rsid w:val="00D25946"/>
    <w:rsid w:val="00D26490"/>
    <w:rsid w:val="00D27DBB"/>
    <w:rsid w:val="00D32A28"/>
    <w:rsid w:val="00D34E39"/>
    <w:rsid w:val="00D36F70"/>
    <w:rsid w:val="00D42B95"/>
    <w:rsid w:val="00D43448"/>
    <w:rsid w:val="00D45520"/>
    <w:rsid w:val="00D51C65"/>
    <w:rsid w:val="00D553DF"/>
    <w:rsid w:val="00D55448"/>
    <w:rsid w:val="00D62CA1"/>
    <w:rsid w:val="00D63BCF"/>
    <w:rsid w:val="00D71CA6"/>
    <w:rsid w:val="00D84FD8"/>
    <w:rsid w:val="00D856DF"/>
    <w:rsid w:val="00D9035C"/>
    <w:rsid w:val="00D90EF3"/>
    <w:rsid w:val="00D95A42"/>
    <w:rsid w:val="00D979A1"/>
    <w:rsid w:val="00DA2506"/>
    <w:rsid w:val="00DA3F41"/>
    <w:rsid w:val="00DB0A69"/>
    <w:rsid w:val="00DB34C6"/>
    <w:rsid w:val="00DB6298"/>
    <w:rsid w:val="00DC165B"/>
    <w:rsid w:val="00DC4D40"/>
    <w:rsid w:val="00DD32C0"/>
    <w:rsid w:val="00DD757A"/>
    <w:rsid w:val="00DE276D"/>
    <w:rsid w:val="00DF1A31"/>
    <w:rsid w:val="00DF3959"/>
    <w:rsid w:val="00DF5225"/>
    <w:rsid w:val="00DF677C"/>
    <w:rsid w:val="00E05272"/>
    <w:rsid w:val="00E1230C"/>
    <w:rsid w:val="00E12BDC"/>
    <w:rsid w:val="00E20C3A"/>
    <w:rsid w:val="00E267BE"/>
    <w:rsid w:val="00E303B2"/>
    <w:rsid w:val="00E35D04"/>
    <w:rsid w:val="00E404CC"/>
    <w:rsid w:val="00E41D60"/>
    <w:rsid w:val="00E43FAE"/>
    <w:rsid w:val="00E45623"/>
    <w:rsid w:val="00E5580A"/>
    <w:rsid w:val="00E55E35"/>
    <w:rsid w:val="00E62019"/>
    <w:rsid w:val="00E621E1"/>
    <w:rsid w:val="00E62EF5"/>
    <w:rsid w:val="00E65CF4"/>
    <w:rsid w:val="00E70BC9"/>
    <w:rsid w:val="00E73CFA"/>
    <w:rsid w:val="00E75AB9"/>
    <w:rsid w:val="00E8538B"/>
    <w:rsid w:val="00E860CD"/>
    <w:rsid w:val="00E87EEC"/>
    <w:rsid w:val="00E92506"/>
    <w:rsid w:val="00E929A0"/>
    <w:rsid w:val="00E96448"/>
    <w:rsid w:val="00E97A60"/>
    <w:rsid w:val="00EA2587"/>
    <w:rsid w:val="00EA53A3"/>
    <w:rsid w:val="00EB241B"/>
    <w:rsid w:val="00EB3118"/>
    <w:rsid w:val="00EB3214"/>
    <w:rsid w:val="00EB3F6D"/>
    <w:rsid w:val="00EB550C"/>
    <w:rsid w:val="00EB7344"/>
    <w:rsid w:val="00EC6544"/>
    <w:rsid w:val="00EC75B2"/>
    <w:rsid w:val="00ED101A"/>
    <w:rsid w:val="00ED393E"/>
    <w:rsid w:val="00ED3DC0"/>
    <w:rsid w:val="00ED61C8"/>
    <w:rsid w:val="00ED6802"/>
    <w:rsid w:val="00EE1C14"/>
    <w:rsid w:val="00EE1FF7"/>
    <w:rsid w:val="00EE263D"/>
    <w:rsid w:val="00EE4752"/>
    <w:rsid w:val="00EE6F21"/>
    <w:rsid w:val="00EF5877"/>
    <w:rsid w:val="00F101C2"/>
    <w:rsid w:val="00F11B4A"/>
    <w:rsid w:val="00F11B5F"/>
    <w:rsid w:val="00F2101D"/>
    <w:rsid w:val="00F21BBF"/>
    <w:rsid w:val="00F32770"/>
    <w:rsid w:val="00F34FF5"/>
    <w:rsid w:val="00F363E0"/>
    <w:rsid w:val="00F44404"/>
    <w:rsid w:val="00F44811"/>
    <w:rsid w:val="00F44D79"/>
    <w:rsid w:val="00F52CEB"/>
    <w:rsid w:val="00F56C50"/>
    <w:rsid w:val="00F64025"/>
    <w:rsid w:val="00F67A41"/>
    <w:rsid w:val="00F67A9C"/>
    <w:rsid w:val="00F70BDD"/>
    <w:rsid w:val="00F76087"/>
    <w:rsid w:val="00F76EA9"/>
    <w:rsid w:val="00F81131"/>
    <w:rsid w:val="00F81951"/>
    <w:rsid w:val="00F849A9"/>
    <w:rsid w:val="00F85275"/>
    <w:rsid w:val="00F932A1"/>
    <w:rsid w:val="00F96A24"/>
    <w:rsid w:val="00FA01C3"/>
    <w:rsid w:val="00FA70E7"/>
    <w:rsid w:val="00FB2063"/>
    <w:rsid w:val="00FB3367"/>
    <w:rsid w:val="00FB56B0"/>
    <w:rsid w:val="00FB6914"/>
    <w:rsid w:val="00FC3B6E"/>
    <w:rsid w:val="00FC5264"/>
    <w:rsid w:val="00FC6871"/>
    <w:rsid w:val="00FC7932"/>
    <w:rsid w:val="00FD1F6E"/>
    <w:rsid w:val="00FD3C88"/>
    <w:rsid w:val="00FE3270"/>
    <w:rsid w:val="00FE59CA"/>
    <w:rsid w:val="00FF21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8C041"/>
  <w15:docId w15:val="{8422ED2B-AB48-4F98-88CF-9B19E527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AD18E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E45623"/>
    <w:pPr>
      <w:keepNext/>
      <w:keepLines/>
      <w:widowControl/>
      <w:spacing w:before="160" w:after="80" w:line="278" w:lineRule="auto"/>
      <w:jc w:val="left"/>
      <w:outlineLvl w:val="1"/>
    </w:pPr>
    <w:rPr>
      <w:rFonts w:asciiTheme="majorHAnsi" w:eastAsiaTheme="majorEastAsia" w:hAnsiTheme="majorHAnsi" w:cstheme="majorBidi"/>
      <w:color w:val="2F5496" w:themeColor="accent1" w:themeShade="BF"/>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52E7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45623"/>
    <w:pPr>
      <w:keepNext/>
      <w:keepLines/>
      <w:widowControl/>
      <w:spacing w:before="80" w:after="40" w:line="278" w:lineRule="auto"/>
      <w:jc w:val="left"/>
      <w:outlineLvl w:val="3"/>
    </w:pPr>
    <w:rPr>
      <w:rFonts w:eastAsiaTheme="majorEastAsia" w:cstheme="majorBidi"/>
      <w:i/>
      <w:iCs/>
      <w:color w:val="2F5496" w:themeColor="accent1" w:themeShade="BF"/>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E45623"/>
    <w:pPr>
      <w:keepNext/>
      <w:keepLines/>
      <w:widowControl/>
      <w:spacing w:before="80" w:after="40" w:line="278" w:lineRule="auto"/>
      <w:jc w:val="left"/>
      <w:outlineLvl w:val="4"/>
    </w:pPr>
    <w:rPr>
      <w:rFonts w:eastAsiaTheme="majorEastAsia" w:cstheme="majorBidi"/>
      <w:color w:val="2F5496" w:themeColor="accent1" w:themeShade="BF"/>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E45623"/>
    <w:pPr>
      <w:keepNext/>
      <w:keepLines/>
      <w:widowControl/>
      <w:spacing w:before="40" w:line="278" w:lineRule="auto"/>
      <w:jc w:val="left"/>
      <w:outlineLvl w:val="5"/>
    </w:pPr>
    <w:rPr>
      <w:rFonts w:eastAsiaTheme="majorEastAsia" w:cstheme="majorBidi"/>
      <w:i/>
      <w:iCs/>
      <w:color w:val="595959" w:themeColor="text1" w:themeTint="A6"/>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E45623"/>
    <w:pPr>
      <w:keepNext/>
      <w:keepLines/>
      <w:widowControl/>
      <w:spacing w:before="40" w:line="278" w:lineRule="auto"/>
      <w:jc w:val="left"/>
      <w:outlineLvl w:val="6"/>
    </w:pPr>
    <w:rPr>
      <w:rFonts w:eastAsiaTheme="majorEastAsia" w:cstheme="majorBidi"/>
      <w:color w:val="595959" w:themeColor="text1" w:themeTint="A6"/>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E45623"/>
    <w:pPr>
      <w:keepNext/>
      <w:keepLines/>
      <w:widowControl/>
      <w:spacing w:line="278" w:lineRule="auto"/>
      <w:jc w:val="left"/>
      <w:outlineLvl w:val="7"/>
    </w:pPr>
    <w:rPr>
      <w:rFonts w:eastAsiaTheme="majorEastAsia" w:cstheme="majorBidi"/>
      <w:i/>
      <w:iCs/>
      <w:color w:val="272727" w:themeColor="text1" w:themeTint="D8"/>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E45623"/>
    <w:pPr>
      <w:keepNext/>
      <w:keepLines/>
      <w:widowControl/>
      <w:spacing w:line="278" w:lineRule="auto"/>
      <w:jc w:val="left"/>
      <w:outlineLvl w:val="8"/>
    </w:pPr>
    <w:rPr>
      <w:rFonts w:eastAsiaTheme="majorEastAsia" w:cstheme="majorBidi"/>
      <w:color w:val="272727" w:themeColor="text1" w:themeTint="D8"/>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75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E4752"/>
    <w:rPr>
      <w:sz w:val="18"/>
      <w:szCs w:val="18"/>
    </w:rPr>
  </w:style>
  <w:style w:type="paragraph" w:styleId="Footer">
    <w:name w:val="footer"/>
    <w:basedOn w:val="Normal"/>
    <w:link w:val="FooterChar"/>
    <w:uiPriority w:val="99"/>
    <w:unhideWhenUsed/>
    <w:rsid w:val="00EE475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E4752"/>
    <w:rPr>
      <w:sz w:val="18"/>
      <w:szCs w:val="18"/>
    </w:rPr>
  </w:style>
  <w:style w:type="character" w:styleId="Emphasis">
    <w:name w:val="Emphasis"/>
    <w:basedOn w:val="DefaultParagraphFont"/>
    <w:uiPriority w:val="20"/>
    <w:qFormat/>
    <w:rsid w:val="00061D95"/>
    <w:rPr>
      <w:i/>
      <w:iCs/>
    </w:rPr>
  </w:style>
  <w:style w:type="character" w:customStyle="1" w:styleId="Heading1Char">
    <w:name w:val="Heading 1 Char"/>
    <w:basedOn w:val="DefaultParagraphFont"/>
    <w:link w:val="Heading1"/>
    <w:uiPriority w:val="9"/>
    <w:rsid w:val="00AD18E0"/>
    <w:rPr>
      <w:b/>
      <w:bCs/>
      <w:kern w:val="44"/>
      <w:sz w:val="44"/>
      <w:szCs w:val="44"/>
    </w:rPr>
  </w:style>
  <w:style w:type="paragraph" w:customStyle="1" w:styleId="Default">
    <w:name w:val="Default"/>
    <w:qFormat/>
    <w:rsid w:val="005C1119"/>
    <w:pPr>
      <w:widowControl w:val="0"/>
      <w:autoSpaceDE w:val="0"/>
      <w:autoSpaceDN w:val="0"/>
      <w:adjustRightInd w:val="0"/>
    </w:pPr>
    <w:rPr>
      <w:rFonts w:ascii="Calibri" w:eastAsia="SimSun" w:hAnsi="Calibri" w:cs="Calibri"/>
      <w:color w:val="000000"/>
      <w:kern w:val="0"/>
      <w:sz w:val="24"/>
      <w:szCs w:val="24"/>
      <w:lang w:val="en-CA" w:eastAsia="en-CA"/>
    </w:rPr>
  </w:style>
  <w:style w:type="character" w:customStyle="1" w:styleId="font31">
    <w:name w:val="font31"/>
    <w:basedOn w:val="DefaultParagraphFont"/>
    <w:qFormat/>
    <w:rsid w:val="00D9035C"/>
    <w:rPr>
      <w:rFonts w:ascii="Times New Roman" w:hAnsi="Times New Roman" w:cs="Times New Roman" w:hint="default"/>
      <w:b/>
      <w:bCs/>
      <w:color w:val="000000"/>
      <w:sz w:val="18"/>
      <w:szCs w:val="18"/>
      <w:u w:val="none"/>
    </w:rPr>
  </w:style>
  <w:style w:type="character" w:customStyle="1" w:styleId="font121">
    <w:name w:val="font121"/>
    <w:basedOn w:val="DefaultParagraphFont"/>
    <w:qFormat/>
    <w:rsid w:val="00D9035C"/>
    <w:rPr>
      <w:rFonts w:ascii="Times New Roman" w:hAnsi="Times New Roman" w:cs="Times New Roman" w:hint="default"/>
      <w:b/>
      <w:bCs/>
      <w:color w:val="000000"/>
      <w:sz w:val="18"/>
      <w:szCs w:val="18"/>
      <w:u w:val="none"/>
      <w:vertAlign w:val="superscript"/>
    </w:rPr>
  </w:style>
  <w:style w:type="character" w:customStyle="1" w:styleId="font01">
    <w:name w:val="font01"/>
    <w:basedOn w:val="DefaultParagraphFont"/>
    <w:qFormat/>
    <w:rsid w:val="00D9035C"/>
    <w:rPr>
      <w:rFonts w:ascii="Times New Roman" w:hAnsi="Times New Roman" w:cs="Times New Roman" w:hint="default"/>
      <w:color w:val="000000"/>
      <w:sz w:val="18"/>
      <w:szCs w:val="18"/>
      <w:u w:val="none"/>
    </w:rPr>
  </w:style>
  <w:style w:type="character" w:customStyle="1" w:styleId="font131">
    <w:name w:val="font131"/>
    <w:basedOn w:val="DefaultParagraphFont"/>
    <w:qFormat/>
    <w:rsid w:val="00D9035C"/>
    <w:rPr>
      <w:rFonts w:ascii="Times New Roman" w:hAnsi="Times New Roman" w:cs="Times New Roman" w:hint="default"/>
      <w:color w:val="000000"/>
      <w:sz w:val="18"/>
      <w:szCs w:val="18"/>
      <w:u w:val="none"/>
      <w:vertAlign w:val="superscript"/>
    </w:rPr>
  </w:style>
  <w:style w:type="character" w:customStyle="1" w:styleId="font141">
    <w:name w:val="font141"/>
    <w:basedOn w:val="DefaultParagraphFont"/>
    <w:qFormat/>
    <w:rsid w:val="00D9035C"/>
    <w:rPr>
      <w:rFonts w:ascii="Times New Roman" w:hAnsi="Times New Roman" w:cs="Times New Roman" w:hint="default"/>
      <w:color w:val="000000"/>
      <w:sz w:val="20"/>
      <w:szCs w:val="20"/>
      <w:u w:val="none"/>
      <w:vertAlign w:val="superscript"/>
    </w:rPr>
  </w:style>
  <w:style w:type="character" w:customStyle="1" w:styleId="ListParagraphChar">
    <w:name w:val="List Paragraph Char"/>
    <w:basedOn w:val="DefaultParagraphFont"/>
    <w:link w:val="ListParagraph"/>
    <w:uiPriority w:val="34"/>
    <w:locked/>
    <w:rsid w:val="00945A30"/>
  </w:style>
  <w:style w:type="paragraph" w:styleId="ListParagraph">
    <w:name w:val="List Paragraph"/>
    <w:basedOn w:val="Normal"/>
    <w:link w:val="ListParagraphChar"/>
    <w:uiPriority w:val="34"/>
    <w:qFormat/>
    <w:rsid w:val="00945A30"/>
    <w:pPr>
      <w:ind w:firstLineChars="200" w:firstLine="420"/>
    </w:pPr>
  </w:style>
  <w:style w:type="table" w:styleId="PlainTable2">
    <w:name w:val="Plain Table 2"/>
    <w:basedOn w:val="TableNormal"/>
    <w:uiPriority w:val="42"/>
    <w:rsid w:val="006F5E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C90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7151"/>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8C7151"/>
  </w:style>
  <w:style w:type="character" w:styleId="Hyperlink">
    <w:name w:val="Hyperlink"/>
    <w:basedOn w:val="DefaultParagraphFont"/>
    <w:uiPriority w:val="99"/>
    <w:unhideWhenUsed/>
    <w:rsid w:val="008C7151"/>
    <w:rPr>
      <w:color w:val="0563C1" w:themeColor="hyperlink"/>
      <w:u w:val="single"/>
    </w:rPr>
  </w:style>
  <w:style w:type="paragraph" w:styleId="TOC2">
    <w:name w:val="toc 2"/>
    <w:basedOn w:val="Normal"/>
    <w:next w:val="Normal"/>
    <w:autoRedefine/>
    <w:uiPriority w:val="39"/>
    <w:unhideWhenUsed/>
    <w:rsid w:val="008C7151"/>
    <w:pPr>
      <w:widowControl/>
      <w:spacing w:after="100" w:line="259" w:lineRule="auto"/>
      <w:ind w:left="220"/>
      <w:jc w:val="left"/>
    </w:pPr>
    <w:rPr>
      <w:rFonts w:cs="Times New Roman"/>
      <w:kern w:val="0"/>
      <w:sz w:val="22"/>
    </w:rPr>
  </w:style>
  <w:style w:type="paragraph" w:styleId="TOC3">
    <w:name w:val="toc 3"/>
    <w:basedOn w:val="Normal"/>
    <w:next w:val="Normal"/>
    <w:autoRedefine/>
    <w:uiPriority w:val="39"/>
    <w:unhideWhenUsed/>
    <w:rsid w:val="008C7151"/>
    <w:pPr>
      <w:widowControl/>
      <w:spacing w:after="100" w:line="259" w:lineRule="auto"/>
      <w:ind w:left="440"/>
      <w:jc w:val="left"/>
    </w:pPr>
    <w:rPr>
      <w:rFonts w:cs="Times New Roman"/>
      <w:kern w:val="0"/>
      <w:sz w:val="22"/>
    </w:rPr>
  </w:style>
  <w:style w:type="character" w:styleId="CommentReference">
    <w:name w:val="annotation reference"/>
    <w:basedOn w:val="DefaultParagraphFont"/>
    <w:uiPriority w:val="99"/>
    <w:semiHidden/>
    <w:unhideWhenUsed/>
    <w:rsid w:val="00F849A9"/>
    <w:rPr>
      <w:sz w:val="21"/>
      <w:szCs w:val="21"/>
    </w:rPr>
  </w:style>
  <w:style w:type="paragraph" w:styleId="CommentText">
    <w:name w:val="annotation text"/>
    <w:basedOn w:val="Normal"/>
    <w:link w:val="CommentTextChar"/>
    <w:uiPriority w:val="99"/>
    <w:semiHidden/>
    <w:unhideWhenUsed/>
    <w:rsid w:val="00F849A9"/>
    <w:pPr>
      <w:jc w:val="left"/>
    </w:pPr>
  </w:style>
  <w:style w:type="character" w:customStyle="1" w:styleId="CommentTextChar">
    <w:name w:val="Comment Text Char"/>
    <w:basedOn w:val="DefaultParagraphFont"/>
    <w:link w:val="CommentText"/>
    <w:uiPriority w:val="99"/>
    <w:semiHidden/>
    <w:rsid w:val="00F849A9"/>
  </w:style>
  <w:style w:type="paragraph" w:styleId="Revision">
    <w:name w:val="Revision"/>
    <w:hidden/>
    <w:uiPriority w:val="99"/>
    <w:semiHidden/>
    <w:rsid w:val="0070669E"/>
  </w:style>
  <w:style w:type="table" w:styleId="ListTable1Light">
    <w:name w:val="List Table 1 Light"/>
    <w:basedOn w:val="TableNormal"/>
    <w:uiPriority w:val="46"/>
    <w:rsid w:val="006D183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8834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383A51"/>
    <w:rPr>
      <w:sz w:val="22"/>
      <w:lang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3Char">
    <w:name w:val="Heading 3 Char"/>
    <w:basedOn w:val="DefaultParagraphFont"/>
    <w:link w:val="Heading3"/>
    <w:uiPriority w:val="9"/>
    <w:semiHidden/>
    <w:rsid w:val="00552E7A"/>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DB34C6"/>
    <w:pPr>
      <w:spacing w:after="200"/>
    </w:pPr>
    <w:rPr>
      <w:i/>
      <w:iCs/>
      <w:color w:val="44546A" w:themeColor="text2"/>
      <w:sz w:val="18"/>
      <w:szCs w:val="18"/>
    </w:rPr>
  </w:style>
  <w:style w:type="character" w:styleId="PlaceholderText">
    <w:name w:val="Placeholder Text"/>
    <w:basedOn w:val="DefaultParagraphFont"/>
    <w:uiPriority w:val="99"/>
    <w:semiHidden/>
    <w:rsid w:val="00860A75"/>
    <w:rPr>
      <w:color w:val="666666"/>
    </w:rPr>
  </w:style>
  <w:style w:type="paragraph" w:styleId="NormalWeb">
    <w:name w:val="Normal (Web)"/>
    <w:basedOn w:val="Normal"/>
    <w:uiPriority w:val="99"/>
    <w:semiHidden/>
    <w:unhideWhenUsed/>
    <w:rsid w:val="00070E8C"/>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45623"/>
    <w:rPr>
      <w:rFonts w:asciiTheme="majorHAnsi" w:eastAsiaTheme="majorEastAsia" w:hAnsiTheme="majorHAnsi" w:cstheme="majorBidi"/>
      <w:color w:val="2F5496" w:themeColor="accent1" w:themeShade="BF"/>
      <w:sz w:val="32"/>
      <w:szCs w:val="32"/>
      <w:lang w:eastAsia="en-US"/>
      <w14:ligatures w14:val="standardContextual"/>
    </w:rPr>
  </w:style>
  <w:style w:type="character" w:customStyle="1" w:styleId="Heading4Char">
    <w:name w:val="Heading 4 Char"/>
    <w:basedOn w:val="DefaultParagraphFont"/>
    <w:link w:val="Heading4"/>
    <w:uiPriority w:val="9"/>
    <w:semiHidden/>
    <w:rsid w:val="00E45623"/>
    <w:rPr>
      <w:rFonts w:eastAsiaTheme="majorEastAsia" w:cstheme="majorBidi"/>
      <w:i/>
      <w:iCs/>
      <w:color w:val="2F5496" w:themeColor="accent1" w:themeShade="BF"/>
      <w:sz w:val="24"/>
      <w:szCs w:val="24"/>
      <w:lang w:eastAsia="en-US"/>
      <w14:ligatures w14:val="standardContextual"/>
    </w:rPr>
  </w:style>
  <w:style w:type="character" w:customStyle="1" w:styleId="Heading5Char">
    <w:name w:val="Heading 5 Char"/>
    <w:basedOn w:val="DefaultParagraphFont"/>
    <w:link w:val="Heading5"/>
    <w:uiPriority w:val="9"/>
    <w:semiHidden/>
    <w:rsid w:val="00E45623"/>
    <w:rPr>
      <w:rFonts w:eastAsiaTheme="majorEastAsia" w:cstheme="majorBidi"/>
      <w:color w:val="2F5496" w:themeColor="accent1" w:themeShade="BF"/>
      <w:sz w:val="24"/>
      <w:szCs w:val="24"/>
      <w:lang w:eastAsia="en-US"/>
      <w14:ligatures w14:val="standardContextual"/>
    </w:rPr>
  </w:style>
  <w:style w:type="character" w:customStyle="1" w:styleId="Heading6Char">
    <w:name w:val="Heading 6 Char"/>
    <w:basedOn w:val="DefaultParagraphFont"/>
    <w:link w:val="Heading6"/>
    <w:uiPriority w:val="9"/>
    <w:semiHidden/>
    <w:rsid w:val="00E45623"/>
    <w:rPr>
      <w:rFonts w:eastAsiaTheme="majorEastAsia" w:cstheme="majorBidi"/>
      <w:i/>
      <w:iCs/>
      <w:color w:val="595959" w:themeColor="text1" w:themeTint="A6"/>
      <w:sz w:val="24"/>
      <w:szCs w:val="24"/>
      <w:lang w:eastAsia="en-US"/>
      <w14:ligatures w14:val="standardContextual"/>
    </w:rPr>
  </w:style>
  <w:style w:type="character" w:customStyle="1" w:styleId="Heading7Char">
    <w:name w:val="Heading 7 Char"/>
    <w:basedOn w:val="DefaultParagraphFont"/>
    <w:link w:val="Heading7"/>
    <w:uiPriority w:val="9"/>
    <w:semiHidden/>
    <w:rsid w:val="00E45623"/>
    <w:rPr>
      <w:rFonts w:eastAsiaTheme="majorEastAsia" w:cstheme="majorBidi"/>
      <w:color w:val="595959" w:themeColor="text1" w:themeTint="A6"/>
      <w:sz w:val="24"/>
      <w:szCs w:val="24"/>
      <w:lang w:eastAsia="en-US"/>
      <w14:ligatures w14:val="standardContextual"/>
    </w:rPr>
  </w:style>
  <w:style w:type="character" w:customStyle="1" w:styleId="Heading8Char">
    <w:name w:val="Heading 8 Char"/>
    <w:basedOn w:val="DefaultParagraphFont"/>
    <w:link w:val="Heading8"/>
    <w:uiPriority w:val="9"/>
    <w:semiHidden/>
    <w:rsid w:val="00E45623"/>
    <w:rPr>
      <w:rFonts w:eastAsiaTheme="majorEastAsia" w:cstheme="majorBidi"/>
      <w:i/>
      <w:iCs/>
      <w:color w:val="272727" w:themeColor="text1" w:themeTint="D8"/>
      <w:sz w:val="24"/>
      <w:szCs w:val="24"/>
      <w:lang w:eastAsia="en-US"/>
      <w14:ligatures w14:val="standardContextual"/>
    </w:rPr>
  </w:style>
  <w:style w:type="character" w:customStyle="1" w:styleId="Heading9Char">
    <w:name w:val="Heading 9 Char"/>
    <w:basedOn w:val="DefaultParagraphFont"/>
    <w:link w:val="Heading9"/>
    <w:uiPriority w:val="9"/>
    <w:semiHidden/>
    <w:rsid w:val="00E45623"/>
    <w:rPr>
      <w:rFonts w:eastAsiaTheme="majorEastAsia" w:cstheme="majorBidi"/>
      <w:color w:val="272727" w:themeColor="text1" w:themeTint="D8"/>
      <w:sz w:val="24"/>
      <w:szCs w:val="24"/>
      <w:lang w:eastAsia="en-US"/>
      <w14:ligatures w14:val="standardContextual"/>
    </w:rPr>
  </w:style>
  <w:style w:type="paragraph" w:styleId="Title">
    <w:name w:val="Title"/>
    <w:basedOn w:val="Normal"/>
    <w:next w:val="Normal"/>
    <w:link w:val="TitleChar"/>
    <w:uiPriority w:val="10"/>
    <w:qFormat/>
    <w:rsid w:val="00E45623"/>
    <w:pPr>
      <w:widowControl/>
      <w:spacing w:after="80"/>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E45623"/>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E45623"/>
    <w:pPr>
      <w:widowControl/>
      <w:numPr>
        <w:ilvl w:val="1"/>
      </w:numPr>
      <w:spacing w:after="160" w:line="278" w:lineRule="auto"/>
      <w:jc w:val="left"/>
    </w:pPr>
    <w:rPr>
      <w:rFonts w:eastAsiaTheme="majorEastAsia" w:cstheme="majorBidi"/>
      <w:color w:val="595959" w:themeColor="text1" w:themeTint="A6"/>
      <w:spacing w:val="15"/>
      <w:sz w:val="28"/>
      <w:szCs w:val="28"/>
      <w:lang w:eastAsia="en-US"/>
      <w14:ligatures w14:val="standardContextual"/>
    </w:rPr>
  </w:style>
  <w:style w:type="character" w:customStyle="1" w:styleId="SubtitleChar">
    <w:name w:val="Subtitle Char"/>
    <w:basedOn w:val="DefaultParagraphFont"/>
    <w:link w:val="Subtitle"/>
    <w:uiPriority w:val="11"/>
    <w:rsid w:val="00E45623"/>
    <w:rPr>
      <w:rFonts w:eastAsiaTheme="majorEastAsia" w:cstheme="majorBidi"/>
      <w:color w:val="595959" w:themeColor="text1" w:themeTint="A6"/>
      <w:spacing w:val="15"/>
      <w:sz w:val="28"/>
      <w:szCs w:val="28"/>
      <w:lang w:eastAsia="en-US"/>
      <w14:ligatures w14:val="standardContextual"/>
    </w:rPr>
  </w:style>
  <w:style w:type="paragraph" w:styleId="Quote">
    <w:name w:val="Quote"/>
    <w:basedOn w:val="Normal"/>
    <w:next w:val="Normal"/>
    <w:link w:val="QuoteChar"/>
    <w:uiPriority w:val="29"/>
    <w:qFormat/>
    <w:rsid w:val="00E45623"/>
    <w:pPr>
      <w:widowControl/>
      <w:spacing w:before="160" w:after="160" w:line="278" w:lineRule="auto"/>
      <w:jc w:val="center"/>
    </w:pPr>
    <w:rPr>
      <w:rFonts w:eastAsiaTheme="minorHAnsi"/>
      <w:i/>
      <w:iCs/>
      <w:color w:val="404040" w:themeColor="text1" w:themeTint="BF"/>
      <w:sz w:val="24"/>
      <w:szCs w:val="24"/>
      <w:lang w:eastAsia="en-US"/>
      <w14:ligatures w14:val="standardContextual"/>
    </w:rPr>
  </w:style>
  <w:style w:type="character" w:customStyle="1" w:styleId="QuoteChar">
    <w:name w:val="Quote Char"/>
    <w:basedOn w:val="DefaultParagraphFont"/>
    <w:link w:val="Quote"/>
    <w:uiPriority w:val="29"/>
    <w:rsid w:val="00E45623"/>
    <w:rPr>
      <w:rFonts w:eastAsiaTheme="minorHAnsi"/>
      <w:i/>
      <w:iCs/>
      <w:color w:val="404040" w:themeColor="text1" w:themeTint="BF"/>
      <w:sz w:val="24"/>
      <w:szCs w:val="24"/>
      <w:lang w:eastAsia="en-US"/>
      <w14:ligatures w14:val="standardContextual"/>
    </w:rPr>
  </w:style>
  <w:style w:type="character" w:styleId="IntenseEmphasis">
    <w:name w:val="Intense Emphasis"/>
    <w:basedOn w:val="DefaultParagraphFont"/>
    <w:uiPriority w:val="21"/>
    <w:qFormat/>
    <w:rsid w:val="00E45623"/>
    <w:rPr>
      <w:i/>
      <w:iCs/>
      <w:color w:val="2F5496" w:themeColor="accent1" w:themeShade="BF"/>
    </w:rPr>
  </w:style>
  <w:style w:type="paragraph" w:styleId="IntenseQuote">
    <w:name w:val="Intense Quote"/>
    <w:basedOn w:val="Normal"/>
    <w:next w:val="Normal"/>
    <w:link w:val="IntenseQuoteChar"/>
    <w:uiPriority w:val="30"/>
    <w:qFormat/>
    <w:rsid w:val="00E45623"/>
    <w:pPr>
      <w:widowControl/>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i/>
      <w:iCs/>
      <w:color w:val="2F5496" w:themeColor="accent1" w:themeShade="BF"/>
      <w:sz w:val="24"/>
      <w:szCs w:val="24"/>
      <w:lang w:eastAsia="en-US"/>
      <w14:ligatures w14:val="standardContextual"/>
    </w:rPr>
  </w:style>
  <w:style w:type="character" w:customStyle="1" w:styleId="IntenseQuoteChar">
    <w:name w:val="Intense Quote Char"/>
    <w:basedOn w:val="DefaultParagraphFont"/>
    <w:link w:val="IntenseQuote"/>
    <w:uiPriority w:val="30"/>
    <w:rsid w:val="00E45623"/>
    <w:rPr>
      <w:rFonts w:eastAsiaTheme="minorHAnsi"/>
      <w:i/>
      <w:iCs/>
      <w:color w:val="2F5496" w:themeColor="accent1" w:themeShade="BF"/>
      <w:sz w:val="24"/>
      <w:szCs w:val="24"/>
      <w:lang w:eastAsia="en-US"/>
      <w14:ligatures w14:val="standardContextual"/>
    </w:rPr>
  </w:style>
  <w:style w:type="character" w:styleId="IntenseReference">
    <w:name w:val="Intense Reference"/>
    <w:basedOn w:val="DefaultParagraphFont"/>
    <w:uiPriority w:val="32"/>
    <w:qFormat/>
    <w:rsid w:val="00E4562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5641">
      <w:bodyDiv w:val="1"/>
      <w:marLeft w:val="0"/>
      <w:marRight w:val="0"/>
      <w:marTop w:val="0"/>
      <w:marBottom w:val="0"/>
      <w:divBdr>
        <w:top w:val="none" w:sz="0" w:space="0" w:color="auto"/>
        <w:left w:val="none" w:sz="0" w:space="0" w:color="auto"/>
        <w:bottom w:val="none" w:sz="0" w:space="0" w:color="auto"/>
        <w:right w:val="none" w:sz="0" w:space="0" w:color="auto"/>
      </w:divBdr>
    </w:div>
    <w:div w:id="10495746">
      <w:bodyDiv w:val="1"/>
      <w:marLeft w:val="0"/>
      <w:marRight w:val="0"/>
      <w:marTop w:val="0"/>
      <w:marBottom w:val="0"/>
      <w:divBdr>
        <w:top w:val="none" w:sz="0" w:space="0" w:color="auto"/>
        <w:left w:val="none" w:sz="0" w:space="0" w:color="auto"/>
        <w:bottom w:val="none" w:sz="0" w:space="0" w:color="auto"/>
        <w:right w:val="none" w:sz="0" w:space="0" w:color="auto"/>
      </w:divBdr>
    </w:div>
    <w:div w:id="24256955">
      <w:bodyDiv w:val="1"/>
      <w:marLeft w:val="0"/>
      <w:marRight w:val="0"/>
      <w:marTop w:val="0"/>
      <w:marBottom w:val="0"/>
      <w:divBdr>
        <w:top w:val="none" w:sz="0" w:space="0" w:color="auto"/>
        <w:left w:val="none" w:sz="0" w:space="0" w:color="auto"/>
        <w:bottom w:val="none" w:sz="0" w:space="0" w:color="auto"/>
        <w:right w:val="none" w:sz="0" w:space="0" w:color="auto"/>
      </w:divBdr>
    </w:div>
    <w:div w:id="220756413">
      <w:bodyDiv w:val="1"/>
      <w:marLeft w:val="0"/>
      <w:marRight w:val="0"/>
      <w:marTop w:val="0"/>
      <w:marBottom w:val="0"/>
      <w:divBdr>
        <w:top w:val="none" w:sz="0" w:space="0" w:color="auto"/>
        <w:left w:val="none" w:sz="0" w:space="0" w:color="auto"/>
        <w:bottom w:val="none" w:sz="0" w:space="0" w:color="auto"/>
        <w:right w:val="none" w:sz="0" w:space="0" w:color="auto"/>
      </w:divBdr>
    </w:div>
    <w:div w:id="349528793">
      <w:bodyDiv w:val="1"/>
      <w:marLeft w:val="0"/>
      <w:marRight w:val="0"/>
      <w:marTop w:val="0"/>
      <w:marBottom w:val="0"/>
      <w:divBdr>
        <w:top w:val="none" w:sz="0" w:space="0" w:color="auto"/>
        <w:left w:val="none" w:sz="0" w:space="0" w:color="auto"/>
        <w:bottom w:val="none" w:sz="0" w:space="0" w:color="auto"/>
        <w:right w:val="none" w:sz="0" w:space="0" w:color="auto"/>
      </w:divBdr>
    </w:div>
    <w:div w:id="525755593">
      <w:bodyDiv w:val="1"/>
      <w:marLeft w:val="0"/>
      <w:marRight w:val="0"/>
      <w:marTop w:val="0"/>
      <w:marBottom w:val="0"/>
      <w:divBdr>
        <w:top w:val="none" w:sz="0" w:space="0" w:color="auto"/>
        <w:left w:val="none" w:sz="0" w:space="0" w:color="auto"/>
        <w:bottom w:val="none" w:sz="0" w:space="0" w:color="auto"/>
        <w:right w:val="none" w:sz="0" w:space="0" w:color="auto"/>
      </w:divBdr>
    </w:div>
    <w:div w:id="667026270">
      <w:bodyDiv w:val="1"/>
      <w:marLeft w:val="0"/>
      <w:marRight w:val="0"/>
      <w:marTop w:val="0"/>
      <w:marBottom w:val="0"/>
      <w:divBdr>
        <w:top w:val="none" w:sz="0" w:space="0" w:color="auto"/>
        <w:left w:val="none" w:sz="0" w:space="0" w:color="auto"/>
        <w:bottom w:val="none" w:sz="0" w:space="0" w:color="auto"/>
        <w:right w:val="none" w:sz="0" w:space="0" w:color="auto"/>
      </w:divBdr>
    </w:div>
    <w:div w:id="830371567">
      <w:bodyDiv w:val="1"/>
      <w:marLeft w:val="0"/>
      <w:marRight w:val="0"/>
      <w:marTop w:val="0"/>
      <w:marBottom w:val="0"/>
      <w:divBdr>
        <w:top w:val="none" w:sz="0" w:space="0" w:color="auto"/>
        <w:left w:val="none" w:sz="0" w:space="0" w:color="auto"/>
        <w:bottom w:val="none" w:sz="0" w:space="0" w:color="auto"/>
        <w:right w:val="none" w:sz="0" w:space="0" w:color="auto"/>
      </w:divBdr>
    </w:div>
    <w:div w:id="917903334">
      <w:bodyDiv w:val="1"/>
      <w:marLeft w:val="0"/>
      <w:marRight w:val="0"/>
      <w:marTop w:val="0"/>
      <w:marBottom w:val="0"/>
      <w:divBdr>
        <w:top w:val="none" w:sz="0" w:space="0" w:color="auto"/>
        <w:left w:val="none" w:sz="0" w:space="0" w:color="auto"/>
        <w:bottom w:val="none" w:sz="0" w:space="0" w:color="auto"/>
        <w:right w:val="none" w:sz="0" w:space="0" w:color="auto"/>
      </w:divBdr>
      <w:divsChild>
        <w:div w:id="423763914">
          <w:marLeft w:val="0"/>
          <w:marRight w:val="0"/>
          <w:marTop w:val="0"/>
          <w:marBottom w:val="0"/>
          <w:divBdr>
            <w:top w:val="none" w:sz="0" w:space="0" w:color="auto"/>
            <w:left w:val="none" w:sz="0" w:space="0" w:color="auto"/>
            <w:bottom w:val="none" w:sz="0" w:space="0" w:color="auto"/>
            <w:right w:val="none" w:sz="0" w:space="0" w:color="auto"/>
          </w:divBdr>
          <w:divsChild>
            <w:div w:id="1526557561">
              <w:marLeft w:val="0"/>
              <w:marRight w:val="0"/>
              <w:marTop w:val="0"/>
              <w:marBottom w:val="0"/>
              <w:divBdr>
                <w:top w:val="none" w:sz="0" w:space="0" w:color="auto"/>
                <w:left w:val="none" w:sz="0" w:space="0" w:color="auto"/>
                <w:bottom w:val="none" w:sz="0" w:space="0" w:color="auto"/>
                <w:right w:val="none" w:sz="0" w:space="0" w:color="auto"/>
              </w:divBdr>
            </w:div>
          </w:divsChild>
        </w:div>
        <w:div w:id="1268385445">
          <w:marLeft w:val="0"/>
          <w:marRight w:val="0"/>
          <w:marTop w:val="0"/>
          <w:marBottom w:val="0"/>
          <w:divBdr>
            <w:top w:val="none" w:sz="0" w:space="0" w:color="auto"/>
            <w:left w:val="none" w:sz="0" w:space="0" w:color="auto"/>
            <w:bottom w:val="none" w:sz="0" w:space="0" w:color="auto"/>
            <w:right w:val="none" w:sz="0" w:space="0" w:color="auto"/>
          </w:divBdr>
          <w:divsChild>
            <w:div w:id="230696925">
              <w:marLeft w:val="0"/>
              <w:marRight w:val="0"/>
              <w:marTop w:val="0"/>
              <w:marBottom w:val="0"/>
              <w:divBdr>
                <w:top w:val="none" w:sz="0" w:space="0" w:color="auto"/>
                <w:left w:val="none" w:sz="0" w:space="0" w:color="auto"/>
                <w:bottom w:val="none" w:sz="0" w:space="0" w:color="auto"/>
                <w:right w:val="none" w:sz="0" w:space="0" w:color="auto"/>
              </w:divBdr>
            </w:div>
          </w:divsChild>
        </w:div>
        <w:div w:id="768699284">
          <w:marLeft w:val="0"/>
          <w:marRight w:val="0"/>
          <w:marTop w:val="0"/>
          <w:marBottom w:val="0"/>
          <w:divBdr>
            <w:top w:val="none" w:sz="0" w:space="0" w:color="auto"/>
            <w:left w:val="none" w:sz="0" w:space="0" w:color="auto"/>
            <w:bottom w:val="none" w:sz="0" w:space="0" w:color="auto"/>
            <w:right w:val="none" w:sz="0" w:space="0" w:color="auto"/>
          </w:divBdr>
          <w:divsChild>
            <w:div w:id="1960334813">
              <w:marLeft w:val="0"/>
              <w:marRight w:val="0"/>
              <w:marTop w:val="0"/>
              <w:marBottom w:val="0"/>
              <w:divBdr>
                <w:top w:val="none" w:sz="0" w:space="0" w:color="auto"/>
                <w:left w:val="none" w:sz="0" w:space="0" w:color="auto"/>
                <w:bottom w:val="none" w:sz="0" w:space="0" w:color="auto"/>
                <w:right w:val="none" w:sz="0" w:space="0" w:color="auto"/>
              </w:divBdr>
            </w:div>
          </w:divsChild>
        </w:div>
        <w:div w:id="252052436">
          <w:marLeft w:val="0"/>
          <w:marRight w:val="0"/>
          <w:marTop w:val="0"/>
          <w:marBottom w:val="0"/>
          <w:divBdr>
            <w:top w:val="none" w:sz="0" w:space="0" w:color="auto"/>
            <w:left w:val="none" w:sz="0" w:space="0" w:color="auto"/>
            <w:bottom w:val="none" w:sz="0" w:space="0" w:color="auto"/>
            <w:right w:val="none" w:sz="0" w:space="0" w:color="auto"/>
          </w:divBdr>
          <w:divsChild>
            <w:div w:id="592395342">
              <w:marLeft w:val="0"/>
              <w:marRight w:val="0"/>
              <w:marTop w:val="0"/>
              <w:marBottom w:val="0"/>
              <w:divBdr>
                <w:top w:val="none" w:sz="0" w:space="0" w:color="auto"/>
                <w:left w:val="none" w:sz="0" w:space="0" w:color="auto"/>
                <w:bottom w:val="none" w:sz="0" w:space="0" w:color="auto"/>
                <w:right w:val="none" w:sz="0" w:space="0" w:color="auto"/>
              </w:divBdr>
            </w:div>
          </w:divsChild>
        </w:div>
        <w:div w:id="1569342066">
          <w:marLeft w:val="0"/>
          <w:marRight w:val="0"/>
          <w:marTop w:val="0"/>
          <w:marBottom w:val="0"/>
          <w:divBdr>
            <w:top w:val="none" w:sz="0" w:space="0" w:color="auto"/>
            <w:left w:val="none" w:sz="0" w:space="0" w:color="auto"/>
            <w:bottom w:val="none" w:sz="0" w:space="0" w:color="auto"/>
            <w:right w:val="none" w:sz="0" w:space="0" w:color="auto"/>
          </w:divBdr>
          <w:divsChild>
            <w:div w:id="1767260974">
              <w:marLeft w:val="0"/>
              <w:marRight w:val="0"/>
              <w:marTop w:val="0"/>
              <w:marBottom w:val="0"/>
              <w:divBdr>
                <w:top w:val="none" w:sz="0" w:space="0" w:color="auto"/>
                <w:left w:val="none" w:sz="0" w:space="0" w:color="auto"/>
                <w:bottom w:val="none" w:sz="0" w:space="0" w:color="auto"/>
                <w:right w:val="none" w:sz="0" w:space="0" w:color="auto"/>
              </w:divBdr>
            </w:div>
          </w:divsChild>
        </w:div>
        <w:div w:id="1077173612">
          <w:marLeft w:val="0"/>
          <w:marRight w:val="0"/>
          <w:marTop w:val="0"/>
          <w:marBottom w:val="0"/>
          <w:divBdr>
            <w:top w:val="none" w:sz="0" w:space="0" w:color="auto"/>
            <w:left w:val="none" w:sz="0" w:space="0" w:color="auto"/>
            <w:bottom w:val="none" w:sz="0" w:space="0" w:color="auto"/>
            <w:right w:val="none" w:sz="0" w:space="0" w:color="auto"/>
          </w:divBdr>
          <w:divsChild>
            <w:div w:id="528833788">
              <w:marLeft w:val="0"/>
              <w:marRight w:val="0"/>
              <w:marTop w:val="0"/>
              <w:marBottom w:val="0"/>
              <w:divBdr>
                <w:top w:val="none" w:sz="0" w:space="0" w:color="auto"/>
                <w:left w:val="none" w:sz="0" w:space="0" w:color="auto"/>
                <w:bottom w:val="none" w:sz="0" w:space="0" w:color="auto"/>
                <w:right w:val="none" w:sz="0" w:space="0" w:color="auto"/>
              </w:divBdr>
            </w:div>
          </w:divsChild>
        </w:div>
        <w:div w:id="254483459">
          <w:marLeft w:val="0"/>
          <w:marRight w:val="0"/>
          <w:marTop w:val="0"/>
          <w:marBottom w:val="0"/>
          <w:divBdr>
            <w:top w:val="none" w:sz="0" w:space="0" w:color="auto"/>
            <w:left w:val="none" w:sz="0" w:space="0" w:color="auto"/>
            <w:bottom w:val="none" w:sz="0" w:space="0" w:color="auto"/>
            <w:right w:val="none" w:sz="0" w:space="0" w:color="auto"/>
          </w:divBdr>
          <w:divsChild>
            <w:div w:id="558563897">
              <w:marLeft w:val="0"/>
              <w:marRight w:val="0"/>
              <w:marTop w:val="0"/>
              <w:marBottom w:val="0"/>
              <w:divBdr>
                <w:top w:val="none" w:sz="0" w:space="0" w:color="auto"/>
                <w:left w:val="none" w:sz="0" w:space="0" w:color="auto"/>
                <w:bottom w:val="none" w:sz="0" w:space="0" w:color="auto"/>
                <w:right w:val="none" w:sz="0" w:space="0" w:color="auto"/>
              </w:divBdr>
            </w:div>
            <w:div w:id="1154376631">
              <w:marLeft w:val="0"/>
              <w:marRight w:val="0"/>
              <w:marTop w:val="0"/>
              <w:marBottom w:val="0"/>
              <w:divBdr>
                <w:top w:val="none" w:sz="0" w:space="0" w:color="auto"/>
                <w:left w:val="none" w:sz="0" w:space="0" w:color="auto"/>
                <w:bottom w:val="none" w:sz="0" w:space="0" w:color="auto"/>
                <w:right w:val="none" w:sz="0" w:space="0" w:color="auto"/>
              </w:divBdr>
            </w:div>
          </w:divsChild>
        </w:div>
        <w:div w:id="20667477">
          <w:marLeft w:val="0"/>
          <w:marRight w:val="0"/>
          <w:marTop w:val="0"/>
          <w:marBottom w:val="0"/>
          <w:divBdr>
            <w:top w:val="none" w:sz="0" w:space="0" w:color="auto"/>
            <w:left w:val="none" w:sz="0" w:space="0" w:color="auto"/>
            <w:bottom w:val="none" w:sz="0" w:space="0" w:color="auto"/>
            <w:right w:val="none" w:sz="0" w:space="0" w:color="auto"/>
          </w:divBdr>
          <w:divsChild>
            <w:div w:id="701132974">
              <w:marLeft w:val="0"/>
              <w:marRight w:val="0"/>
              <w:marTop w:val="0"/>
              <w:marBottom w:val="0"/>
              <w:divBdr>
                <w:top w:val="none" w:sz="0" w:space="0" w:color="auto"/>
                <w:left w:val="none" w:sz="0" w:space="0" w:color="auto"/>
                <w:bottom w:val="none" w:sz="0" w:space="0" w:color="auto"/>
                <w:right w:val="none" w:sz="0" w:space="0" w:color="auto"/>
              </w:divBdr>
            </w:div>
            <w:div w:id="2021275488">
              <w:marLeft w:val="0"/>
              <w:marRight w:val="0"/>
              <w:marTop w:val="0"/>
              <w:marBottom w:val="0"/>
              <w:divBdr>
                <w:top w:val="none" w:sz="0" w:space="0" w:color="auto"/>
                <w:left w:val="none" w:sz="0" w:space="0" w:color="auto"/>
                <w:bottom w:val="none" w:sz="0" w:space="0" w:color="auto"/>
                <w:right w:val="none" w:sz="0" w:space="0" w:color="auto"/>
              </w:divBdr>
            </w:div>
            <w:div w:id="1712731680">
              <w:marLeft w:val="0"/>
              <w:marRight w:val="0"/>
              <w:marTop w:val="0"/>
              <w:marBottom w:val="0"/>
              <w:divBdr>
                <w:top w:val="none" w:sz="0" w:space="0" w:color="auto"/>
                <w:left w:val="none" w:sz="0" w:space="0" w:color="auto"/>
                <w:bottom w:val="none" w:sz="0" w:space="0" w:color="auto"/>
                <w:right w:val="none" w:sz="0" w:space="0" w:color="auto"/>
              </w:divBdr>
            </w:div>
          </w:divsChild>
        </w:div>
        <w:div w:id="982854311">
          <w:marLeft w:val="0"/>
          <w:marRight w:val="0"/>
          <w:marTop w:val="0"/>
          <w:marBottom w:val="0"/>
          <w:divBdr>
            <w:top w:val="none" w:sz="0" w:space="0" w:color="auto"/>
            <w:left w:val="none" w:sz="0" w:space="0" w:color="auto"/>
            <w:bottom w:val="none" w:sz="0" w:space="0" w:color="auto"/>
            <w:right w:val="none" w:sz="0" w:space="0" w:color="auto"/>
          </w:divBdr>
          <w:divsChild>
            <w:div w:id="1051271569">
              <w:marLeft w:val="0"/>
              <w:marRight w:val="0"/>
              <w:marTop w:val="0"/>
              <w:marBottom w:val="0"/>
              <w:divBdr>
                <w:top w:val="none" w:sz="0" w:space="0" w:color="auto"/>
                <w:left w:val="none" w:sz="0" w:space="0" w:color="auto"/>
                <w:bottom w:val="none" w:sz="0" w:space="0" w:color="auto"/>
                <w:right w:val="none" w:sz="0" w:space="0" w:color="auto"/>
              </w:divBdr>
            </w:div>
            <w:div w:id="1817061807">
              <w:marLeft w:val="0"/>
              <w:marRight w:val="0"/>
              <w:marTop w:val="0"/>
              <w:marBottom w:val="0"/>
              <w:divBdr>
                <w:top w:val="none" w:sz="0" w:space="0" w:color="auto"/>
                <w:left w:val="none" w:sz="0" w:space="0" w:color="auto"/>
                <w:bottom w:val="none" w:sz="0" w:space="0" w:color="auto"/>
                <w:right w:val="none" w:sz="0" w:space="0" w:color="auto"/>
              </w:divBdr>
            </w:div>
          </w:divsChild>
        </w:div>
        <w:div w:id="1633827333">
          <w:marLeft w:val="0"/>
          <w:marRight w:val="0"/>
          <w:marTop w:val="0"/>
          <w:marBottom w:val="0"/>
          <w:divBdr>
            <w:top w:val="none" w:sz="0" w:space="0" w:color="auto"/>
            <w:left w:val="none" w:sz="0" w:space="0" w:color="auto"/>
            <w:bottom w:val="none" w:sz="0" w:space="0" w:color="auto"/>
            <w:right w:val="none" w:sz="0" w:space="0" w:color="auto"/>
          </w:divBdr>
          <w:divsChild>
            <w:div w:id="1755396165">
              <w:marLeft w:val="0"/>
              <w:marRight w:val="0"/>
              <w:marTop w:val="0"/>
              <w:marBottom w:val="0"/>
              <w:divBdr>
                <w:top w:val="none" w:sz="0" w:space="0" w:color="auto"/>
                <w:left w:val="none" w:sz="0" w:space="0" w:color="auto"/>
                <w:bottom w:val="none" w:sz="0" w:space="0" w:color="auto"/>
                <w:right w:val="none" w:sz="0" w:space="0" w:color="auto"/>
              </w:divBdr>
            </w:div>
            <w:div w:id="1027483093">
              <w:marLeft w:val="0"/>
              <w:marRight w:val="0"/>
              <w:marTop w:val="0"/>
              <w:marBottom w:val="0"/>
              <w:divBdr>
                <w:top w:val="none" w:sz="0" w:space="0" w:color="auto"/>
                <w:left w:val="none" w:sz="0" w:space="0" w:color="auto"/>
                <w:bottom w:val="none" w:sz="0" w:space="0" w:color="auto"/>
                <w:right w:val="none" w:sz="0" w:space="0" w:color="auto"/>
              </w:divBdr>
            </w:div>
            <w:div w:id="2130464182">
              <w:marLeft w:val="0"/>
              <w:marRight w:val="0"/>
              <w:marTop w:val="0"/>
              <w:marBottom w:val="0"/>
              <w:divBdr>
                <w:top w:val="none" w:sz="0" w:space="0" w:color="auto"/>
                <w:left w:val="none" w:sz="0" w:space="0" w:color="auto"/>
                <w:bottom w:val="none" w:sz="0" w:space="0" w:color="auto"/>
                <w:right w:val="none" w:sz="0" w:space="0" w:color="auto"/>
              </w:divBdr>
            </w:div>
          </w:divsChild>
        </w:div>
        <w:div w:id="1939865641">
          <w:marLeft w:val="0"/>
          <w:marRight w:val="0"/>
          <w:marTop w:val="0"/>
          <w:marBottom w:val="0"/>
          <w:divBdr>
            <w:top w:val="none" w:sz="0" w:space="0" w:color="auto"/>
            <w:left w:val="none" w:sz="0" w:space="0" w:color="auto"/>
            <w:bottom w:val="none" w:sz="0" w:space="0" w:color="auto"/>
            <w:right w:val="none" w:sz="0" w:space="0" w:color="auto"/>
          </w:divBdr>
          <w:divsChild>
            <w:div w:id="2105375038">
              <w:marLeft w:val="0"/>
              <w:marRight w:val="0"/>
              <w:marTop w:val="0"/>
              <w:marBottom w:val="0"/>
              <w:divBdr>
                <w:top w:val="none" w:sz="0" w:space="0" w:color="auto"/>
                <w:left w:val="none" w:sz="0" w:space="0" w:color="auto"/>
                <w:bottom w:val="none" w:sz="0" w:space="0" w:color="auto"/>
                <w:right w:val="none" w:sz="0" w:space="0" w:color="auto"/>
              </w:divBdr>
            </w:div>
          </w:divsChild>
        </w:div>
        <w:div w:id="1854028824">
          <w:marLeft w:val="0"/>
          <w:marRight w:val="0"/>
          <w:marTop w:val="0"/>
          <w:marBottom w:val="0"/>
          <w:divBdr>
            <w:top w:val="none" w:sz="0" w:space="0" w:color="auto"/>
            <w:left w:val="none" w:sz="0" w:space="0" w:color="auto"/>
            <w:bottom w:val="none" w:sz="0" w:space="0" w:color="auto"/>
            <w:right w:val="none" w:sz="0" w:space="0" w:color="auto"/>
          </w:divBdr>
          <w:divsChild>
            <w:div w:id="870848425">
              <w:marLeft w:val="0"/>
              <w:marRight w:val="0"/>
              <w:marTop w:val="0"/>
              <w:marBottom w:val="0"/>
              <w:divBdr>
                <w:top w:val="none" w:sz="0" w:space="0" w:color="auto"/>
                <w:left w:val="none" w:sz="0" w:space="0" w:color="auto"/>
                <w:bottom w:val="none" w:sz="0" w:space="0" w:color="auto"/>
                <w:right w:val="none" w:sz="0" w:space="0" w:color="auto"/>
              </w:divBdr>
            </w:div>
            <w:div w:id="853228218">
              <w:marLeft w:val="0"/>
              <w:marRight w:val="0"/>
              <w:marTop w:val="0"/>
              <w:marBottom w:val="0"/>
              <w:divBdr>
                <w:top w:val="none" w:sz="0" w:space="0" w:color="auto"/>
                <w:left w:val="none" w:sz="0" w:space="0" w:color="auto"/>
                <w:bottom w:val="none" w:sz="0" w:space="0" w:color="auto"/>
                <w:right w:val="none" w:sz="0" w:space="0" w:color="auto"/>
              </w:divBdr>
            </w:div>
            <w:div w:id="2146044124">
              <w:marLeft w:val="0"/>
              <w:marRight w:val="0"/>
              <w:marTop w:val="0"/>
              <w:marBottom w:val="0"/>
              <w:divBdr>
                <w:top w:val="none" w:sz="0" w:space="0" w:color="auto"/>
                <w:left w:val="none" w:sz="0" w:space="0" w:color="auto"/>
                <w:bottom w:val="none" w:sz="0" w:space="0" w:color="auto"/>
                <w:right w:val="none" w:sz="0" w:space="0" w:color="auto"/>
              </w:divBdr>
            </w:div>
          </w:divsChild>
        </w:div>
        <w:div w:id="863594080">
          <w:marLeft w:val="0"/>
          <w:marRight w:val="0"/>
          <w:marTop w:val="0"/>
          <w:marBottom w:val="0"/>
          <w:divBdr>
            <w:top w:val="none" w:sz="0" w:space="0" w:color="auto"/>
            <w:left w:val="none" w:sz="0" w:space="0" w:color="auto"/>
            <w:bottom w:val="none" w:sz="0" w:space="0" w:color="auto"/>
            <w:right w:val="none" w:sz="0" w:space="0" w:color="auto"/>
          </w:divBdr>
          <w:divsChild>
            <w:div w:id="1894271183">
              <w:marLeft w:val="0"/>
              <w:marRight w:val="0"/>
              <w:marTop w:val="0"/>
              <w:marBottom w:val="0"/>
              <w:divBdr>
                <w:top w:val="none" w:sz="0" w:space="0" w:color="auto"/>
                <w:left w:val="none" w:sz="0" w:space="0" w:color="auto"/>
                <w:bottom w:val="none" w:sz="0" w:space="0" w:color="auto"/>
                <w:right w:val="none" w:sz="0" w:space="0" w:color="auto"/>
              </w:divBdr>
            </w:div>
            <w:div w:id="128518696">
              <w:marLeft w:val="0"/>
              <w:marRight w:val="0"/>
              <w:marTop w:val="0"/>
              <w:marBottom w:val="0"/>
              <w:divBdr>
                <w:top w:val="none" w:sz="0" w:space="0" w:color="auto"/>
                <w:left w:val="none" w:sz="0" w:space="0" w:color="auto"/>
                <w:bottom w:val="none" w:sz="0" w:space="0" w:color="auto"/>
                <w:right w:val="none" w:sz="0" w:space="0" w:color="auto"/>
              </w:divBdr>
            </w:div>
            <w:div w:id="1025060295">
              <w:marLeft w:val="0"/>
              <w:marRight w:val="0"/>
              <w:marTop w:val="0"/>
              <w:marBottom w:val="0"/>
              <w:divBdr>
                <w:top w:val="none" w:sz="0" w:space="0" w:color="auto"/>
                <w:left w:val="none" w:sz="0" w:space="0" w:color="auto"/>
                <w:bottom w:val="none" w:sz="0" w:space="0" w:color="auto"/>
                <w:right w:val="none" w:sz="0" w:space="0" w:color="auto"/>
              </w:divBdr>
            </w:div>
          </w:divsChild>
        </w:div>
        <w:div w:id="413404694">
          <w:marLeft w:val="0"/>
          <w:marRight w:val="0"/>
          <w:marTop w:val="0"/>
          <w:marBottom w:val="0"/>
          <w:divBdr>
            <w:top w:val="none" w:sz="0" w:space="0" w:color="auto"/>
            <w:left w:val="none" w:sz="0" w:space="0" w:color="auto"/>
            <w:bottom w:val="none" w:sz="0" w:space="0" w:color="auto"/>
            <w:right w:val="none" w:sz="0" w:space="0" w:color="auto"/>
          </w:divBdr>
          <w:divsChild>
            <w:div w:id="586160176">
              <w:marLeft w:val="0"/>
              <w:marRight w:val="0"/>
              <w:marTop w:val="0"/>
              <w:marBottom w:val="0"/>
              <w:divBdr>
                <w:top w:val="none" w:sz="0" w:space="0" w:color="auto"/>
                <w:left w:val="none" w:sz="0" w:space="0" w:color="auto"/>
                <w:bottom w:val="none" w:sz="0" w:space="0" w:color="auto"/>
                <w:right w:val="none" w:sz="0" w:space="0" w:color="auto"/>
              </w:divBdr>
            </w:div>
            <w:div w:id="2092193462">
              <w:marLeft w:val="0"/>
              <w:marRight w:val="0"/>
              <w:marTop w:val="0"/>
              <w:marBottom w:val="0"/>
              <w:divBdr>
                <w:top w:val="none" w:sz="0" w:space="0" w:color="auto"/>
                <w:left w:val="none" w:sz="0" w:space="0" w:color="auto"/>
                <w:bottom w:val="none" w:sz="0" w:space="0" w:color="auto"/>
                <w:right w:val="none" w:sz="0" w:space="0" w:color="auto"/>
              </w:divBdr>
            </w:div>
          </w:divsChild>
        </w:div>
        <w:div w:id="752627337">
          <w:marLeft w:val="0"/>
          <w:marRight w:val="0"/>
          <w:marTop w:val="0"/>
          <w:marBottom w:val="0"/>
          <w:divBdr>
            <w:top w:val="none" w:sz="0" w:space="0" w:color="auto"/>
            <w:left w:val="none" w:sz="0" w:space="0" w:color="auto"/>
            <w:bottom w:val="none" w:sz="0" w:space="0" w:color="auto"/>
            <w:right w:val="none" w:sz="0" w:space="0" w:color="auto"/>
          </w:divBdr>
          <w:divsChild>
            <w:div w:id="1760520241">
              <w:marLeft w:val="0"/>
              <w:marRight w:val="0"/>
              <w:marTop w:val="0"/>
              <w:marBottom w:val="0"/>
              <w:divBdr>
                <w:top w:val="none" w:sz="0" w:space="0" w:color="auto"/>
                <w:left w:val="none" w:sz="0" w:space="0" w:color="auto"/>
                <w:bottom w:val="none" w:sz="0" w:space="0" w:color="auto"/>
                <w:right w:val="none" w:sz="0" w:space="0" w:color="auto"/>
              </w:divBdr>
            </w:div>
            <w:div w:id="944196241">
              <w:marLeft w:val="0"/>
              <w:marRight w:val="0"/>
              <w:marTop w:val="0"/>
              <w:marBottom w:val="0"/>
              <w:divBdr>
                <w:top w:val="none" w:sz="0" w:space="0" w:color="auto"/>
                <w:left w:val="none" w:sz="0" w:space="0" w:color="auto"/>
                <w:bottom w:val="none" w:sz="0" w:space="0" w:color="auto"/>
                <w:right w:val="none" w:sz="0" w:space="0" w:color="auto"/>
              </w:divBdr>
            </w:div>
          </w:divsChild>
        </w:div>
        <w:div w:id="474835128">
          <w:marLeft w:val="0"/>
          <w:marRight w:val="0"/>
          <w:marTop w:val="0"/>
          <w:marBottom w:val="0"/>
          <w:divBdr>
            <w:top w:val="none" w:sz="0" w:space="0" w:color="auto"/>
            <w:left w:val="none" w:sz="0" w:space="0" w:color="auto"/>
            <w:bottom w:val="none" w:sz="0" w:space="0" w:color="auto"/>
            <w:right w:val="none" w:sz="0" w:space="0" w:color="auto"/>
          </w:divBdr>
          <w:divsChild>
            <w:div w:id="1272476464">
              <w:marLeft w:val="0"/>
              <w:marRight w:val="0"/>
              <w:marTop w:val="0"/>
              <w:marBottom w:val="0"/>
              <w:divBdr>
                <w:top w:val="none" w:sz="0" w:space="0" w:color="auto"/>
                <w:left w:val="none" w:sz="0" w:space="0" w:color="auto"/>
                <w:bottom w:val="none" w:sz="0" w:space="0" w:color="auto"/>
                <w:right w:val="none" w:sz="0" w:space="0" w:color="auto"/>
              </w:divBdr>
            </w:div>
          </w:divsChild>
        </w:div>
        <w:div w:id="1346010582">
          <w:marLeft w:val="0"/>
          <w:marRight w:val="0"/>
          <w:marTop w:val="0"/>
          <w:marBottom w:val="0"/>
          <w:divBdr>
            <w:top w:val="none" w:sz="0" w:space="0" w:color="auto"/>
            <w:left w:val="none" w:sz="0" w:space="0" w:color="auto"/>
            <w:bottom w:val="none" w:sz="0" w:space="0" w:color="auto"/>
            <w:right w:val="none" w:sz="0" w:space="0" w:color="auto"/>
          </w:divBdr>
          <w:divsChild>
            <w:div w:id="1946768414">
              <w:marLeft w:val="0"/>
              <w:marRight w:val="0"/>
              <w:marTop w:val="0"/>
              <w:marBottom w:val="0"/>
              <w:divBdr>
                <w:top w:val="none" w:sz="0" w:space="0" w:color="auto"/>
                <w:left w:val="none" w:sz="0" w:space="0" w:color="auto"/>
                <w:bottom w:val="none" w:sz="0" w:space="0" w:color="auto"/>
                <w:right w:val="none" w:sz="0" w:space="0" w:color="auto"/>
              </w:divBdr>
            </w:div>
            <w:div w:id="419643850">
              <w:marLeft w:val="0"/>
              <w:marRight w:val="0"/>
              <w:marTop w:val="0"/>
              <w:marBottom w:val="0"/>
              <w:divBdr>
                <w:top w:val="none" w:sz="0" w:space="0" w:color="auto"/>
                <w:left w:val="none" w:sz="0" w:space="0" w:color="auto"/>
                <w:bottom w:val="none" w:sz="0" w:space="0" w:color="auto"/>
                <w:right w:val="none" w:sz="0" w:space="0" w:color="auto"/>
              </w:divBdr>
            </w:div>
            <w:div w:id="2034915189">
              <w:marLeft w:val="0"/>
              <w:marRight w:val="0"/>
              <w:marTop w:val="0"/>
              <w:marBottom w:val="0"/>
              <w:divBdr>
                <w:top w:val="none" w:sz="0" w:space="0" w:color="auto"/>
                <w:left w:val="none" w:sz="0" w:space="0" w:color="auto"/>
                <w:bottom w:val="none" w:sz="0" w:space="0" w:color="auto"/>
                <w:right w:val="none" w:sz="0" w:space="0" w:color="auto"/>
              </w:divBdr>
            </w:div>
          </w:divsChild>
        </w:div>
        <w:div w:id="439881374">
          <w:marLeft w:val="0"/>
          <w:marRight w:val="0"/>
          <w:marTop w:val="0"/>
          <w:marBottom w:val="0"/>
          <w:divBdr>
            <w:top w:val="none" w:sz="0" w:space="0" w:color="auto"/>
            <w:left w:val="none" w:sz="0" w:space="0" w:color="auto"/>
            <w:bottom w:val="none" w:sz="0" w:space="0" w:color="auto"/>
            <w:right w:val="none" w:sz="0" w:space="0" w:color="auto"/>
          </w:divBdr>
          <w:divsChild>
            <w:div w:id="489978865">
              <w:marLeft w:val="0"/>
              <w:marRight w:val="0"/>
              <w:marTop w:val="0"/>
              <w:marBottom w:val="0"/>
              <w:divBdr>
                <w:top w:val="none" w:sz="0" w:space="0" w:color="auto"/>
                <w:left w:val="none" w:sz="0" w:space="0" w:color="auto"/>
                <w:bottom w:val="none" w:sz="0" w:space="0" w:color="auto"/>
                <w:right w:val="none" w:sz="0" w:space="0" w:color="auto"/>
              </w:divBdr>
            </w:div>
            <w:div w:id="966547653">
              <w:marLeft w:val="0"/>
              <w:marRight w:val="0"/>
              <w:marTop w:val="0"/>
              <w:marBottom w:val="0"/>
              <w:divBdr>
                <w:top w:val="none" w:sz="0" w:space="0" w:color="auto"/>
                <w:left w:val="none" w:sz="0" w:space="0" w:color="auto"/>
                <w:bottom w:val="none" w:sz="0" w:space="0" w:color="auto"/>
                <w:right w:val="none" w:sz="0" w:space="0" w:color="auto"/>
              </w:divBdr>
            </w:div>
          </w:divsChild>
        </w:div>
        <w:div w:id="341857998">
          <w:marLeft w:val="0"/>
          <w:marRight w:val="0"/>
          <w:marTop w:val="0"/>
          <w:marBottom w:val="0"/>
          <w:divBdr>
            <w:top w:val="none" w:sz="0" w:space="0" w:color="auto"/>
            <w:left w:val="none" w:sz="0" w:space="0" w:color="auto"/>
            <w:bottom w:val="none" w:sz="0" w:space="0" w:color="auto"/>
            <w:right w:val="none" w:sz="0" w:space="0" w:color="auto"/>
          </w:divBdr>
          <w:divsChild>
            <w:div w:id="1513764844">
              <w:marLeft w:val="0"/>
              <w:marRight w:val="0"/>
              <w:marTop w:val="0"/>
              <w:marBottom w:val="0"/>
              <w:divBdr>
                <w:top w:val="none" w:sz="0" w:space="0" w:color="auto"/>
                <w:left w:val="none" w:sz="0" w:space="0" w:color="auto"/>
                <w:bottom w:val="none" w:sz="0" w:space="0" w:color="auto"/>
                <w:right w:val="none" w:sz="0" w:space="0" w:color="auto"/>
              </w:divBdr>
            </w:div>
            <w:div w:id="1822380405">
              <w:marLeft w:val="0"/>
              <w:marRight w:val="0"/>
              <w:marTop w:val="0"/>
              <w:marBottom w:val="0"/>
              <w:divBdr>
                <w:top w:val="none" w:sz="0" w:space="0" w:color="auto"/>
                <w:left w:val="none" w:sz="0" w:space="0" w:color="auto"/>
                <w:bottom w:val="none" w:sz="0" w:space="0" w:color="auto"/>
                <w:right w:val="none" w:sz="0" w:space="0" w:color="auto"/>
              </w:divBdr>
            </w:div>
          </w:divsChild>
        </w:div>
        <w:div w:id="1867252333">
          <w:marLeft w:val="0"/>
          <w:marRight w:val="0"/>
          <w:marTop w:val="0"/>
          <w:marBottom w:val="0"/>
          <w:divBdr>
            <w:top w:val="none" w:sz="0" w:space="0" w:color="auto"/>
            <w:left w:val="none" w:sz="0" w:space="0" w:color="auto"/>
            <w:bottom w:val="none" w:sz="0" w:space="0" w:color="auto"/>
            <w:right w:val="none" w:sz="0" w:space="0" w:color="auto"/>
          </w:divBdr>
          <w:divsChild>
            <w:div w:id="1034190666">
              <w:marLeft w:val="0"/>
              <w:marRight w:val="0"/>
              <w:marTop w:val="0"/>
              <w:marBottom w:val="0"/>
              <w:divBdr>
                <w:top w:val="none" w:sz="0" w:space="0" w:color="auto"/>
                <w:left w:val="none" w:sz="0" w:space="0" w:color="auto"/>
                <w:bottom w:val="none" w:sz="0" w:space="0" w:color="auto"/>
                <w:right w:val="none" w:sz="0" w:space="0" w:color="auto"/>
              </w:divBdr>
            </w:div>
          </w:divsChild>
        </w:div>
        <w:div w:id="1752850625">
          <w:marLeft w:val="0"/>
          <w:marRight w:val="0"/>
          <w:marTop w:val="0"/>
          <w:marBottom w:val="0"/>
          <w:divBdr>
            <w:top w:val="none" w:sz="0" w:space="0" w:color="auto"/>
            <w:left w:val="none" w:sz="0" w:space="0" w:color="auto"/>
            <w:bottom w:val="none" w:sz="0" w:space="0" w:color="auto"/>
            <w:right w:val="none" w:sz="0" w:space="0" w:color="auto"/>
          </w:divBdr>
          <w:divsChild>
            <w:div w:id="507520398">
              <w:marLeft w:val="0"/>
              <w:marRight w:val="0"/>
              <w:marTop w:val="0"/>
              <w:marBottom w:val="0"/>
              <w:divBdr>
                <w:top w:val="none" w:sz="0" w:space="0" w:color="auto"/>
                <w:left w:val="none" w:sz="0" w:space="0" w:color="auto"/>
                <w:bottom w:val="none" w:sz="0" w:space="0" w:color="auto"/>
                <w:right w:val="none" w:sz="0" w:space="0" w:color="auto"/>
              </w:divBdr>
            </w:div>
            <w:div w:id="969212734">
              <w:marLeft w:val="0"/>
              <w:marRight w:val="0"/>
              <w:marTop w:val="0"/>
              <w:marBottom w:val="0"/>
              <w:divBdr>
                <w:top w:val="none" w:sz="0" w:space="0" w:color="auto"/>
                <w:left w:val="none" w:sz="0" w:space="0" w:color="auto"/>
                <w:bottom w:val="none" w:sz="0" w:space="0" w:color="auto"/>
                <w:right w:val="none" w:sz="0" w:space="0" w:color="auto"/>
              </w:divBdr>
            </w:div>
          </w:divsChild>
        </w:div>
        <w:div w:id="1366905462">
          <w:marLeft w:val="0"/>
          <w:marRight w:val="0"/>
          <w:marTop w:val="0"/>
          <w:marBottom w:val="0"/>
          <w:divBdr>
            <w:top w:val="none" w:sz="0" w:space="0" w:color="auto"/>
            <w:left w:val="none" w:sz="0" w:space="0" w:color="auto"/>
            <w:bottom w:val="none" w:sz="0" w:space="0" w:color="auto"/>
            <w:right w:val="none" w:sz="0" w:space="0" w:color="auto"/>
          </w:divBdr>
          <w:divsChild>
            <w:div w:id="2105299584">
              <w:marLeft w:val="0"/>
              <w:marRight w:val="0"/>
              <w:marTop w:val="0"/>
              <w:marBottom w:val="0"/>
              <w:divBdr>
                <w:top w:val="none" w:sz="0" w:space="0" w:color="auto"/>
                <w:left w:val="none" w:sz="0" w:space="0" w:color="auto"/>
                <w:bottom w:val="none" w:sz="0" w:space="0" w:color="auto"/>
                <w:right w:val="none" w:sz="0" w:space="0" w:color="auto"/>
              </w:divBdr>
            </w:div>
            <w:div w:id="576399121">
              <w:marLeft w:val="0"/>
              <w:marRight w:val="0"/>
              <w:marTop w:val="0"/>
              <w:marBottom w:val="0"/>
              <w:divBdr>
                <w:top w:val="none" w:sz="0" w:space="0" w:color="auto"/>
                <w:left w:val="none" w:sz="0" w:space="0" w:color="auto"/>
                <w:bottom w:val="none" w:sz="0" w:space="0" w:color="auto"/>
                <w:right w:val="none" w:sz="0" w:space="0" w:color="auto"/>
              </w:divBdr>
            </w:div>
            <w:div w:id="1203517609">
              <w:marLeft w:val="0"/>
              <w:marRight w:val="0"/>
              <w:marTop w:val="0"/>
              <w:marBottom w:val="0"/>
              <w:divBdr>
                <w:top w:val="none" w:sz="0" w:space="0" w:color="auto"/>
                <w:left w:val="none" w:sz="0" w:space="0" w:color="auto"/>
                <w:bottom w:val="none" w:sz="0" w:space="0" w:color="auto"/>
                <w:right w:val="none" w:sz="0" w:space="0" w:color="auto"/>
              </w:divBdr>
            </w:div>
          </w:divsChild>
        </w:div>
        <w:div w:id="1362973858">
          <w:marLeft w:val="0"/>
          <w:marRight w:val="0"/>
          <w:marTop w:val="0"/>
          <w:marBottom w:val="0"/>
          <w:divBdr>
            <w:top w:val="none" w:sz="0" w:space="0" w:color="auto"/>
            <w:left w:val="none" w:sz="0" w:space="0" w:color="auto"/>
            <w:bottom w:val="none" w:sz="0" w:space="0" w:color="auto"/>
            <w:right w:val="none" w:sz="0" w:space="0" w:color="auto"/>
          </w:divBdr>
          <w:divsChild>
            <w:div w:id="612828482">
              <w:marLeft w:val="0"/>
              <w:marRight w:val="0"/>
              <w:marTop w:val="0"/>
              <w:marBottom w:val="0"/>
              <w:divBdr>
                <w:top w:val="none" w:sz="0" w:space="0" w:color="auto"/>
                <w:left w:val="none" w:sz="0" w:space="0" w:color="auto"/>
                <w:bottom w:val="none" w:sz="0" w:space="0" w:color="auto"/>
                <w:right w:val="none" w:sz="0" w:space="0" w:color="auto"/>
              </w:divBdr>
            </w:div>
            <w:div w:id="913783804">
              <w:marLeft w:val="0"/>
              <w:marRight w:val="0"/>
              <w:marTop w:val="0"/>
              <w:marBottom w:val="0"/>
              <w:divBdr>
                <w:top w:val="none" w:sz="0" w:space="0" w:color="auto"/>
                <w:left w:val="none" w:sz="0" w:space="0" w:color="auto"/>
                <w:bottom w:val="none" w:sz="0" w:space="0" w:color="auto"/>
                <w:right w:val="none" w:sz="0" w:space="0" w:color="auto"/>
              </w:divBdr>
            </w:div>
          </w:divsChild>
        </w:div>
        <w:div w:id="103111832">
          <w:marLeft w:val="0"/>
          <w:marRight w:val="0"/>
          <w:marTop w:val="0"/>
          <w:marBottom w:val="0"/>
          <w:divBdr>
            <w:top w:val="none" w:sz="0" w:space="0" w:color="auto"/>
            <w:left w:val="none" w:sz="0" w:space="0" w:color="auto"/>
            <w:bottom w:val="none" w:sz="0" w:space="0" w:color="auto"/>
            <w:right w:val="none" w:sz="0" w:space="0" w:color="auto"/>
          </w:divBdr>
          <w:divsChild>
            <w:div w:id="2058121241">
              <w:marLeft w:val="0"/>
              <w:marRight w:val="0"/>
              <w:marTop w:val="0"/>
              <w:marBottom w:val="0"/>
              <w:divBdr>
                <w:top w:val="none" w:sz="0" w:space="0" w:color="auto"/>
                <w:left w:val="none" w:sz="0" w:space="0" w:color="auto"/>
                <w:bottom w:val="none" w:sz="0" w:space="0" w:color="auto"/>
                <w:right w:val="none" w:sz="0" w:space="0" w:color="auto"/>
              </w:divBdr>
            </w:div>
          </w:divsChild>
        </w:div>
        <w:div w:id="445396068">
          <w:marLeft w:val="0"/>
          <w:marRight w:val="0"/>
          <w:marTop w:val="0"/>
          <w:marBottom w:val="0"/>
          <w:divBdr>
            <w:top w:val="none" w:sz="0" w:space="0" w:color="auto"/>
            <w:left w:val="none" w:sz="0" w:space="0" w:color="auto"/>
            <w:bottom w:val="none" w:sz="0" w:space="0" w:color="auto"/>
            <w:right w:val="none" w:sz="0" w:space="0" w:color="auto"/>
          </w:divBdr>
          <w:divsChild>
            <w:div w:id="1467502035">
              <w:marLeft w:val="0"/>
              <w:marRight w:val="0"/>
              <w:marTop w:val="0"/>
              <w:marBottom w:val="0"/>
              <w:divBdr>
                <w:top w:val="none" w:sz="0" w:space="0" w:color="auto"/>
                <w:left w:val="none" w:sz="0" w:space="0" w:color="auto"/>
                <w:bottom w:val="none" w:sz="0" w:space="0" w:color="auto"/>
                <w:right w:val="none" w:sz="0" w:space="0" w:color="auto"/>
              </w:divBdr>
            </w:div>
            <w:div w:id="1173035474">
              <w:marLeft w:val="0"/>
              <w:marRight w:val="0"/>
              <w:marTop w:val="0"/>
              <w:marBottom w:val="0"/>
              <w:divBdr>
                <w:top w:val="none" w:sz="0" w:space="0" w:color="auto"/>
                <w:left w:val="none" w:sz="0" w:space="0" w:color="auto"/>
                <w:bottom w:val="none" w:sz="0" w:space="0" w:color="auto"/>
                <w:right w:val="none" w:sz="0" w:space="0" w:color="auto"/>
              </w:divBdr>
            </w:div>
            <w:div w:id="431900698">
              <w:marLeft w:val="0"/>
              <w:marRight w:val="0"/>
              <w:marTop w:val="0"/>
              <w:marBottom w:val="0"/>
              <w:divBdr>
                <w:top w:val="none" w:sz="0" w:space="0" w:color="auto"/>
                <w:left w:val="none" w:sz="0" w:space="0" w:color="auto"/>
                <w:bottom w:val="none" w:sz="0" w:space="0" w:color="auto"/>
                <w:right w:val="none" w:sz="0" w:space="0" w:color="auto"/>
              </w:divBdr>
            </w:div>
          </w:divsChild>
        </w:div>
        <w:div w:id="1091009132">
          <w:marLeft w:val="0"/>
          <w:marRight w:val="0"/>
          <w:marTop w:val="0"/>
          <w:marBottom w:val="0"/>
          <w:divBdr>
            <w:top w:val="none" w:sz="0" w:space="0" w:color="auto"/>
            <w:left w:val="none" w:sz="0" w:space="0" w:color="auto"/>
            <w:bottom w:val="none" w:sz="0" w:space="0" w:color="auto"/>
            <w:right w:val="none" w:sz="0" w:space="0" w:color="auto"/>
          </w:divBdr>
          <w:divsChild>
            <w:div w:id="93596881">
              <w:marLeft w:val="0"/>
              <w:marRight w:val="0"/>
              <w:marTop w:val="0"/>
              <w:marBottom w:val="0"/>
              <w:divBdr>
                <w:top w:val="none" w:sz="0" w:space="0" w:color="auto"/>
                <w:left w:val="none" w:sz="0" w:space="0" w:color="auto"/>
                <w:bottom w:val="none" w:sz="0" w:space="0" w:color="auto"/>
                <w:right w:val="none" w:sz="0" w:space="0" w:color="auto"/>
              </w:divBdr>
            </w:div>
            <w:div w:id="1949895233">
              <w:marLeft w:val="0"/>
              <w:marRight w:val="0"/>
              <w:marTop w:val="0"/>
              <w:marBottom w:val="0"/>
              <w:divBdr>
                <w:top w:val="none" w:sz="0" w:space="0" w:color="auto"/>
                <w:left w:val="none" w:sz="0" w:space="0" w:color="auto"/>
                <w:bottom w:val="none" w:sz="0" w:space="0" w:color="auto"/>
                <w:right w:val="none" w:sz="0" w:space="0" w:color="auto"/>
              </w:divBdr>
            </w:div>
            <w:div w:id="2035182624">
              <w:marLeft w:val="0"/>
              <w:marRight w:val="0"/>
              <w:marTop w:val="0"/>
              <w:marBottom w:val="0"/>
              <w:divBdr>
                <w:top w:val="none" w:sz="0" w:space="0" w:color="auto"/>
                <w:left w:val="none" w:sz="0" w:space="0" w:color="auto"/>
                <w:bottom w:val="none" w:sz="0" w:space="0" w:color="auto"/>
                <w:right w:val="none" w:sz="0" w:space="0" w:color="auto"/>
              </w:divBdr>
            </w:div>
          </w:divsChild>
        </w:div>
        <w:div w:id="694161617">
          <w:marLeft w:val="0"/>
          <w:marRight w:val="0"/>
          <w:marTop w:val="0"/>
          <w:marBottom w:val="0"/>
          <w:divBdr>
            <w:top w:val="none" w:sz="0" w:space="0" w:color="auto"/>
            <w:left w:val="none" w:sz="0" w:space="0" w:color="auto"/>
            <w:bottom w:val="none" w:sz="0" w:space="0" w:color="auto"/>
            <w:right w:val="none" w:sz="0" w:space="0" w:color="auto"/>
          </w:divBdr>
          <w:divsChild>
            <w:div w:id="608239958">
              <w:marLeft w:val="0"/>
              <w:marRight w:val="0"/>
              <w:marTop w:val="0"/>
              <w:marBottom w:val="0"/>
              <w:divBdr>
                <w:top w:val="none" w:sz="0" w:space="0" w:color="auto"/>
                <w:left w:val="none" w:sz="0" w:space="0" w:color="auto"/>
                <w:bottom w:val="none" w:sz="0" w:space="0" w:color="auto"/>
                <w:right w:val="none" w:sz="0" w:space="0" w:color="auto"/>
              </w:divBdr>
            </w:div>
            <w:div w:id="1388722291">
              <w:marLeft w:val="0"/>
              <w:marRight w:val="0"/>
              <w:marTop w:val="0"/>
              <w:marBottom w:val="0"/>
              <w:divBdr>
                <w:top w:val="none" w:sz="0" w:space="0" w:color="auto"/>
                <w:left w:val="none" w:sz="0" w:space="0" w:color="auto"/>
                <w:bottom w:val="none" w:sz="0" w:space="0" w:color="auto"/>
                <w:right w:val="none" w:sz="0" w:space="0" w:color="auto"/>
              </w:divBdr>
            </w:div>
          </w:divsChild>
        </w:div>
        <w:div w:id="522980161">
          <w:marLeft w:val="0"/>
          <w:marRight w:val="0"/>
          <w:marTop w:val="0"/>
          <w:marBottom w:val="0"/>
          <w:divBdr>
            <w:top w:val="none" w:sz="0" w:space="0" w:color="auto"/>
            <w:left w:val="none" w:sz="0" w:space="0" w:color="auto"/>
            <w:bottom w:val="none" w:sz="0" w:space="0" w:color="auto"/>
            <w:right w:val="none" w:sz="0" w:space="0" w:color="auto"/>
          </w:divBdr>
          <w:divsChild>
            <w:div w:id="564607616">
              <w:marLeft w:val="0"/>
              <w:marRight w:val="0"/>
              <w:marTop w:val="0"/>
              <w:marBottom w:val="0"/>
              <w:divBdr>
                <w:top w:val="none" w:sz="0" w:space="0" w:color="auto"/>
                <w:left w:val="none" w:sz="0" w:space="0" w:color="auto"/>
                <w:bottom w:val="none" w:sz="0" w:space="0" w:color="auto"/>
                <w:right w:val="none" w:sz="0" w:space="0" w:color="auto"/>
              </w:divBdr>
            </w:div>
            <w:div w:id="1342976014">
              <w:marLeft w:val="0"/>
              <w:marRight w:val="0"/>
              <w:marTop w:val="0"/>
              <w:marBottom w:val="0"/>
              <w:divBdr>
                <w:top w:val="none" w:sz="0" w:space="0" w:color="auto"/>
                <w:left w:val="none" w:sz="0" w:space="0" w:color="auto"/>
                <w:bottom w:val="none" w:sz="0" w:space="0" w:color="auto"/>
                <w:right w:val="none" w:sz="0" w:space="0" w:color="auto"/>
              </w:divBdr>
            </w:div>
          </w:divsChild>
        </w:div>
        <w:div w:id="883561478">
          <w:marLeft w:val="0"/>
          <w:marRight w:val="0"/>
          <w:marTop w:val="0"/>
          <w:marBottom w:val="0"/>
          <w:divBdr>
            <w:top w:val="none" w:sz="0" w:space="0" w:color="auto"/>
            <w:left w:val="none" w:sz="0" w:space="0" w:color="auto"/>
            <w:bottom w:val="none" w:sz="0" w:space="0" w:color="auto"/>
            <w:right w:val="none" w:sz="0" w:space="0" w:color="auto"/>
          </w:divBdr>
          <w:divsChild>
            <w:div w:id="1405224618">
              <w:marLeft w:val="0"/>
              <w:marRight w:val="0"/>
              <w:marTop w:val="0"/>
              <w:marBottom w:val="0"/>
              <w:divBdr>
                <w:top w:val="none" w:sz="0" w:space="0" w:color="auto"/>
                <w:left w:val="none" w:sz="0" w:space="0" w:color="auto"/>
                <w:bottom w:val="none" w:sz="0" w:space="0" w:color="auto"/>
                <w:right w:val="none" w:sz="0" w:space="0" w:color="auto"/>
              </w:divBdr>
            </w:div>
            <w:div w:id="865023816">
              <w:marLeft w:val="0"/>
              <w:marRight w:val="0"/>
              <w:marTop w:val="0"/>
              <w:marBottom w:val="0"/>
              <w:divBdr>
                <w:top w:val="none" w:sz="0" w:space="0" w:color="auto"/>
                <w:left w:val="none" w:sz="0" w:space="0" w:color="auto"/>
                <w:bottom w:val="none" w:sz="0" w:space="0" w:color="auto"/>
                <w:right w:val="none" w:sz="0" w:space="0" w:color="auto"/>
              </w:divBdr>
            </w:div>
            <w:div w:id="1698506243">
              <w:marLeft w:val="0"/>
              <w:marRight w:val="0"/>
              <w:marTop w:val="0"/>
              <w:marBottom w:val="0"/>
              <w:divBdr>
                <w:top w:val="none" w:sz="0" w:space="0" w:color="auto"/>
                <w:left w:val="none" w:sz="0" w:space="0" w:color="auto"/>
                <w:bottom w:val="none" w:sz="0" w:space="0" w:color="auto"/>
                <w:right w:val="none" w:sz="0" w:space="0" w:color="auto"/>
              </w:divBdr>
            </w:div>
            <w:div w:id="1455979450">
              <w:marLeft w:val="0"/>
              <w:marRight w:val="0"/>
              <w:marTop w:val="0"/>
              <w:marBottom w:val="0"/>
              <w:divBdr>
                <w:top w:val="none" w:sz="0" w:space="0" w:color="auto"/>
                <w:left w:val="none" w:sz="0" w:space="0" w:color="auto"/>
                <w:bottom w:val="none" w:sz="0" w:space="0" w:color="auto"/>
                <w:right w:val="none" w:sz="0" w:space="0" w:color="auto"/>
              </w:divBdr>
            </w:div>
          </w:divsChild>
        </w:div>
        <w:div w:id="894004166">
          <w:marLeft w:val="0"/>
          <w:marRight w:val="0"/>
          <w:marTop w:val="0"/>
          <w:marBottom w:val="0"/>
          <w:divBdr>
            <w:top w:val="none" w:sz="0" w:space="0" w:color="auto"/>
            <w:left w:val="none" w:sz="0" w:space="0" w:color="auto"/>
            <w:bottom w:val="none" w:sz="0" w:space="0" w:color="auto"/>
            <w:right w:val="none" w:sz="0" w:space="0" w:color="auto"/>
          </w:divBdr>
          <w:divsChild>
            <w:div w:id="678849220">
              <w:marLeft w:val="0"/>
              <w:marRight w:val="0"/>
              <w:marTop w:val="0"/>
              <w:marBottom w:val="0"/>
              <w:divBdr>
                <w:top w:val="none" w:sz="0" w:space="0" w:color="auto"/>
                <w:left w:val="none" w:sz="0" w:space="0" w:color="auto"/>
                <w:bottom w:val="none" w:sz="0" w:space="0" w:color="auto"/>
                <w:right w:val="none" w:sz="0" w:space="0" w:color="auto"/>
              </w:divBdr>
            </w:div>
            <w:div w:id="953946610">
              <w:marLeft w:val="0"/>
              <w:marRight w:val="0"/>
              <w:marTop w:val="0"/>
              <w:marBottom w:val="0"/>
              <w:divBdr>
                <w:top w:val="none" w:sz="0" w:space="0" w:color="auto"/>
                <w:left w:val="none" w:sz="0" w:space="0" w:color="auto"/>
                <w:bottom w:val="none" w:sz="0" w:space="0" w:color="auto"/>
                <w:right w:val="none" w:sz="0" w:space="0" w:color="auto"/>
              </w:divBdr>
            </w:div>
            <w:div w:id="1278758995">
              <w:marLeft w:val="0"/>
              <w:marRight w:val="0"/>
              <w:marTop w:val="0"/>
              <w:marBottom w:val="0"/>
              <w:divBdr>
                <w:top w:val="none" w:sz="0" w:space="0" w:color="auto"/>
                <w:left w:val="none" w:sz="0" w:space="0" w:color="auto"/>
                <w:bottom w:val="none" w:sz="0" w:space="0" w:color="auto"/>
                <w:right w:val="none" w:sz="0" w:space="0" w:color="auto"/>
              </w:divBdr>
            </w:div>
            <w:div w:id="815029222">
              <w:marLeft w:val="0"/>
              <w:marRight w:val="0"/>
              <w:marTop w:val="0"/>
              <w:marBottom w:val="0"/>
              <w:divBdr>
                <w:top w:val="none" w:sz="0" w:space="0" w:color="auto"/>
                <w:left w:val="none" w:sz="0" w:space="0" w:color="auto"/>
                <w:bottom w:val="none" w:sz="0" w:space="0" w:color="auto"/>
                <w:right w:val="none" w:sz="0" w:space="0" w:color="auto"/>
              </w:divBdr>
            </w:div>
          </w:divsChild>
        </w:div>
        <w:div w:id="1484663242">
          <w:marLeft w:val="0"/>
          <w:marRight w:val="0"/>
          <w:marTop w:val="0"/>
          <w:marBottom w:val="0"/>
          <w:divBdr>
            <w:top w:val="none" w:sz="0" w:space="0" w:color="auto"/>
            <w:left w:val="none" w:sz="0" w:space="0" w:color="auto"/>
            <w:bottom w:val="none" w:sz="0" w:space="0" w:color="auto"/>
            <w:right w:val="none" w:sz="0" w:space="0" w:color="auto"/>
          </w:divBdr>
          <w:divsChild>
            <w:div w:id="971590798">
              <w:marLeft w:val="0"/>
              <w:marRight w:val="0"/>
              <w:marTop w:val="0"/>
              <w:marBottom w:val="0"/>
              <w:divBdr>
                <w:top w:val="none" w:sz="0" w:space="0" w:color="auto"/>
                <w:left w:val="none" w:sz="0" w:space="0" w:color="auto"/>
                <w:bottom w:val="none" w:sz="0" w:space="0" w:color="auto"/>
                <w:right w:val="none" w:sz="0" w:space="0" w:color="auto"/>
              </w:divBdr>
            </w:div>
            <w:div w:id="238944697">
              <w:marLeft w:val="0"/>
              <w:marRight w:val="0"/>
              <w:marTop w:val="0"/>
              <w:marBottom w:val="0"/>
              <w:divBdr>
                <w:top w:val="none" w:sz="0" w:space="0" w:color="auto"/>
                <w:left w:val="none" w:sz="0" w:space="0" w:color="auto"/>
                <w:bottom w:val="none" w:sz="0" w:space="0" w:color="auto"/>
                <w:right w:val="none" w:sz="0" w:space="0" w:color="auto"/>
              </w:divBdr>
            </w:div>
            <w:div w:id="253634335">
              <w:marLeft w:val="0"/>
              <w:marRight w:val="0"/>
              <w:marTop w:val="0"/>
              <w:marBottom w:val="0"/>
              <w:divBdr>
                <w:top w:val="none" w:sz="0" w:space="0" w:color="auto"/>
                <w:left w:val="none" w:sz="0" w:space="0" w:color="auto"/>
                <w:bottom w:val="none" w:sz="0" w:space="0" w:color="auto"/>
                <w:right w:val="none" w:sz="0" w:space="0" w:color="auto"/>
              </w:divBdr>
            </w:div>
          </w:divsChild>
        </w:div>
        <w:div w:id="1435784231">
          <w:marLeft w:val="0"/>
          <w:marRight w:val="0"/>
          <w:marTop w:val="0"/>
          <w:marBottom w:val="0"/>
          <w:divBdr>
            <w:top w:val="none" w:sz="0" w:space="0" w:color="auto"/>
            <w:left w:val="none" w:sz="0" w:space="0" w:color="auto"/>
            <w:bottom w:val="none" w:sz="0" w:space="0" w:color="auto"/>
            <w:right w:val="none" w:sz="0" w:space="0" w:color="auto"/>
          </w:divBdr>
          <w:divsChild>
            <w:div w:id="1374232330">
              <w:marLeft w:val="0"/>
              <w:marRight w:val="0"/>
              <w:marTop w:val="0"/>
              <w:marBottom w:val="0"/>
              <w:divBdr>
                <w:top w:val="none" w:sz="0" w:space="0" w:color="auto"/>
                <w:left w:val="none" w:sz="0" w:space="0" w:color="auto"/>
                <w:bottom w:val="none" w:sz="0" w:space="0" w:color="auto"/>
                <w:right w:val="none" w:sz="0" w:space="0" w:color="auto"/>
              </w:divBdr>
            </w:div>
          </w:divsChild>
        </w:div>
        <w:div w:id="126317639">
          <w:marLeft w:val="0"/>
          <w:marRight w:val="0"/>
          <w:marTop w:val="0"/>
          <w:marBottom w:val="0"/>
          <w:divBdr>
            <w:top w:val="none" w:sz="0" w:space="0" w:color="auto"/>
            <w:left w:val="none" w:sz="0" w:space="0" w:color="auto"/>
            <w:bottom w:val="none" w:sz="0" w:space="0" w:color="auto"/>
            <w:right w:val="none" w:sz="0" w:space="0" w:color="auto"/>
          </w:divBdr>
          <w:divsChild>
            <w:div w:id="1934707590">
              <w:marLeft w:val="0"/>
              <w:marRight w:val="0"/>
              <w:marTop w:val="0"/>
              <w:marBottom w:val="0"/>
              <w:divBdr>
                <w:top w:val="none" w:sz="0" w:space="0" w:color="auto"/>
                <w:left w:val="none" w:sz="0" w:space="0" w:color="auto"/>
                <w:bottom w:val="none" w:sz="0" w:space="0" w:color="auto"/>
                <w:right w:val="none" w:sz="0" w:space="0" w:color="auto"/>
              </w:divBdr>
            </w:div>
            <w:div w:id="2006131254">
              <w:marLeft w:val="0"/>
              <w:marRight w:val="0"/>
              <w:marTop w:val="0"/>
              <w:marBottom w:val="0"/>
              <w:divBdr>
                <w:top w:val="none" w:sz="0" w:space="0" w:color="auto"/>
                <w:left w:val="none" w:sz="0" w:space="0" w:color="auto"/>
                <w:bottom w:val="none" w:sz="0" w:space="0" w:color="auto"/>
                <w:right w:val="none" w:sz="0" w:space="0" w:color="auto"/>
              </w:divBdr>
            </w:div>
          </w:divsChild>
        </w:div>
        <w:div w:id="1611736987">
          <w:marLeft w:val="0"/>
          <w:marRight w:val="0"/>
          <w:marTop w:val="0"/>
          <w:marBottom w:val="0"/>
          <w:divBdr>
            <w:top w:val="none" w:sz="0" w:space="0" w:color="auto"/>
            <w:left w:val="none" w:sz="0" w:space="0" w:color="auto"/>
            <w:bottom w:val="none" w:sz="0" w:space="0" w:color="auto"/>
            <w:right w:val="none" w:sz="0" w:space="0" w:color="auto"/>
          </w:divBdr>
          <w:divsChild>
            <w:div w:id="2082749329">
              <w:marLeft w:val="0"/>
              <w:marRight w:val="0"/>
              <w:marTop w:val="0"/>
              <w:marBottom w:val="0"/>
              <w:divBdr>
                <w:top w:val="none" w:sz="0" w:space="0" w:color="auto"/>
                <w:left w:val="none" w:sz="0" w:space="0" w:color="auto"/>
                <w:bottom w:val="none" w:sz="0" w:space="0" w:color="auto"/>
                <w:right w:val="none" w:sz="0" w:space="0" w:color="auto"/>
              </w:divBdr>
            </w:div>
            <w:div w:id="1613783713">
              <w:marLeft w:val="0"/>
              <w:marRight w:val="0"/>
              <w:marTop w:val="0"/>
              <w:marBottom w:val="0"/>
              <w:divBdr>
                <w:top w:val="none" w:sz="0" w:space="0" w:color="auto"/>
                <w:left w:val="none" w:sz="0" w:space="0" w:color="auto"/>
                <w:bottom w:val="none" w:sz="0" w:space="0" w:color="auto"/>
                <w:right w:val="none" w:sz="0" w:space="0" w:color="auto"/>
              </w:divBdr>
            </w:div>
          </w:divsChild>
        </w:div>
        <w:div w:id="604536615">
          <w:marLeft w:val="0"/>
          <w:marRight w:val="0"/>
          <w:marTop w:val="0"/>
          <w:marBottom w:val="0"/>
          <w:divBdr>
            <w:top w:val="none" w:sz="0" w:space="0" w:color="auto"/>
            <w:left w:val="none" w:sz="0" w:space="0" w:color="auto"/>
            <w:bottom w:val="none" w:sz="0" w:space="0" w:color="auto"/>
            <w:right w:val="none" w:sz="0" w:space="0" w:color="auto"/>
          </w:divBdr>
          <w:divsChild>
            <w:div w:id="150022230">
              <w:marLeft w:val="0"/>
              <w:marRight w:val="0"/>
              <w:marTop w:val="0"/>
              <w:marBottom w:val="0"/>
              <w:divBdr>
                <w:top w:val="none" w:sz="0" w:space="0" w:color="auto"/>
                <w:left w:val="none" w:sz="0" w:space="0" w:color="auto"/>
                <w:bottom w:val="none" w:sz="0" w:space="0" w:color="auto"/>
                <w:right w:val="none" w:sz="0" w:space="0" w:color="auto"/>
              </w:divBdr>
            </w:div>
            <w:div w:id="2013753559">
              <w:marLeft w:val="0"/>
              <w:marRight w:val="0"/>
              <w:marTop w:val="0"/>
              <w:marBottom w:val="0"/>
              <w:divBdr>
                <w:top w:val="none" w:sz="0" w:space="0" w:color="auto"/>
                <w:left w:val="none" w:sz="0" w:space="0" w:color="auto"/>
                <w:bottom w:val="none" w:sz="0" w:space="0" w:color="auto"/>
                <w:right w:val="none" w:sz="0" w:space="0" w:color="auto"/>
              </w:divBdr>
            </w:div>
          </w:divsChild>
        </w:div>
        <w:div w:id="434592760">
          <w:marLeft w:val="0"/>
          <w:marRight w:val="0"/>
          <w:marTop w:val="0"/>
          <w:marBottom w:val="0"/>
          <w:divBdr>
            <w:top w:val="none" w:sz="0" w:space="0" w:color="auto"/>
            <w:left w:val="none" w:sz="0" w:space="0" w:color="auto"/>
            <w:bottom w:val="none" w:sz="0" w:space="0" w:color="auto"/>
            <w:right w:val="none" w:sz="0" w:space="0" w:color="auto"/>
          </w:divBdr>
          <w:divsChild>
            <w:div w:id="419760312">
              <w:marLeft w:val="0"/>
              <w:marRight w:val="0"/>
              <w:marTop w:val="0"/>
              <w:marBottom w:val="0"/>
              <w:divBdr>
                <w:top w:val="none" w:sz="0" w:space="0" w:color="auto"/>
                <w:left w:val="none" w:sz="0" w:space="0" w:color="auto"/>
                <w:bottom w:val="none" w:sz="0" w:space="0" w:color="auto"/>
                <w:right w:val="none" w:sz="0" w:space="0" w:color="auto"/>
              </w:divBdr>
            </w:div>
            <w:div w:id="258677659">
              <w:marLeft w:val="0"/>
              <w:marRight w:val="0"/>
              <w:marTop w:val="0"/>
              <w:marBottom w:val="0"/>
              <w:divBdr>
                <w:top w:val="none" w:sz="0" w:space="0" w:color="auto"/>
                <w:left w:val="none" w:sz="0" w:space="0" w:color="auto"/>
                <w:bottom w:val="none" w:sz="0" w:space="0" w:color="auto"/>
                <w:right w:val="none" w:sz="0" w:space="0" w:color="auto"/>
              </w:divBdr>
            </w:div>
          </w:divsChild>
        </w:div>
        <w:div w:id="2000183514">
          <w:marLeft w:val="0"/>
          <w:marRight w:val="0"/>
          <w:marTop w:val="0"/>
          <w:marBottom w:val="0"/>
          <w:divBdr>
            <w:top w:val="none" w:sz="0" w:space="0" w:color="auto"/>
            <w:left w:val="none" w:sz="0" w:space="0" w:color="auto"/>
            <w:bottom w:val="none" w:sz="0" w:space="0" w:color="auto"/>
            <w:right w:val="none" w:sz="0" w:space="0" w:color="auto"/>
          </w:divBdr>
          <w:divsChild>
            <w:div w:id="1313488380">
              <w:marLeft w:val="0"/>
              <w:marRight w:val="0"/>
              <w:marTop w:val="0"/>
              <w:marBottom w:val="0"/>
              <w:divBdr>
                <w:top w:val="none" w:sz="0" w:space="0" w:color="auto"/>
                <w:left w:val="none" w:sz="0" w:space="0" w:color="auto"/>
                <w:bottom w:val="none" w:sz="0" w:space="0" w:color="auto"/>
                <w:right w:val="none" w:sz="0" w:space="0" w:color="auto"/>
              </w:divBdr>
            </w:div>
          </w:divsChild>
        </w:div>
        <w:div w:id="800004080">
          <w:marLeft w:val="0"/>
          <w:marRight w:val="0"/>
          <w:marTop w:val="0"/>
          <w:marBottom w:val="0"/>
          <w:divBdr>
            <w:top w:val="none" w:sz="0" w:space="0" w:color="auto"/>
            <w:left w:val="none" w:sz="0" w:space="0" w:color="auto"/>
            <w:bottom w:val="none" w:sz="0" w:space="0" w:color="auto"/>
            <w:right w:val="none" w:sz="0" w:space="0" w:color="auto"/>
          </w:divBdr>
          <w:divsChild>
            <w:div w:id="548996365">
              <w:marLeft w:val="0"/>
              <w:marRight w:val="0"/>
              <w:marTop w:val="0"/>
              <w:marBottom w:val="0"/>
              <w:divBdr>
                <w:top w:val="none" w:sz="0" w:space="0" w:color="auto"/>
                <w:left w:val="none" w:sz="0" w:space="0" w:color="auto"/>
                <w:bottom w:val="none" w:sz="0" w:space="0" w:color="auto"/>
                <w:right w:val="none" w:sz="0" w:space="0" w:color="auto"/>
              </w:divBdr>
            </w:div>
            <w:div w:id="1535146095">
              <w:marLeft w:val="0"/>
              <w:marRight w:val="0"/>
              <w:marTop w:val="0"/>
              <w:marBottom w:val="0"/>
              <w:divBdr>
                <w:top w:val="none" w:sz="0" w:space="0" w:color="auto"/>
                <w:left w:val="none" w:sz="0" w:space="0" w:color="auto"/>
                <w:bottom w:val="none" w:sz="0" w:space="0" w:color="auto"/>
                <w:right w:val="none" w:sz="0" w:space="0" w:color="auto"/>
              </w:divBdr>
            </w:div>
            <w:div w:id="1955135699">
              <w:marLeft w:val="0"/>
              <w:marRight w:val="0"/>
              <w:marTop w:val="0"/>
              <w:marBottom w:val="0"/>
              <w:divBdr>
                <w:top w:val="none" w:sz="0" w:space="0" w:color="auto"/>
                <w:left w:val="none" w:sz="0" w:space="0" w:color="auto"/>
                <w:bottom w:val="none" w:sz="0" w:space="0" w:color="auto"/>
                <w:right w:val="none" w:sz="0" w:space="0" w:color="auto"/>
              </w:divBdr>
            </w:div>
          </w:divsChild>
        </w:div>
        <w:div w:id="2119910553">
          <w:marLeft w:val="0"/>
          <w:marRight w:val="0"/>
          <w:marTop w:val="0"/>
          <w:marBottom w:val="0"/>
          <w:divBdr>
            <w:top w:val="none" w:sz="0" w:space="0" w:color="auto"/>
            <w:left w:val="none" w:sz="0" w:space="0" w:color="auto"/>
            <w:bottom w:val="none" w:sz="0" w:space="0" w:color="auto"/>
            <w:right w:val="none" w:sz="0" w:space="0" w:color="auto"/>
          </w:divBdr>
          <w:divsChild>
            <w:div w:id="1586374810">
              <w:marLeft w:val="0"/>
              <w:marRight w:val="0"/>
              <w:marTop w:val="0"/>
              <w:marBottom w:val="0"/>
              <w:divBdr>
                <w:top w:val="none" w:sz="0" w:space="0" w:color="auto"/>
                <w:left w:val="none" w:sz="0" w:space="0" w:color="auto"/>
                <w:bottom w:val="none" w:sz="0" w:space="0" w:color="auto"/>
                <w:right w:val="none" w:sz="0" w:space="0" w:color="auto"/>
              </w:divBdr>
            </w:div>
            <w:div w:id="263000247">
              <w:marLeft w:val="0"/>
              <w:marRight w:val="0"/>
              <w:marTop w:val="0"/>
              <w:marBottom w:val="0"/>
              <w:divBdr>
                <w:top w:val="none" w:sz="0" w:space="0" w:color="auto"/>
                <w:left w:val="none" w:sz="0" w:space="0" w:color="auto"/>
                <w:bottom w:val="none" w:sz="0" w:space="0" w:color="auto"/>
                <w:right w:val="none" w:sz="0" w:space="0" w:color="auto"/>
              </w:divBdr>
            </w:div>
            <w:div w:id="1490443814">
              <w:marLeft w:val="0"/>
              <w:marRight w:val="0"/>
              <w:marTop w:val="0"/>
              <w:marBottom w:val="0"/>
              <w:divBdr>
                <w:top w:val="none" w:sz="0" w:space="0" w:color="auto"/>
                <w:left w:val="none" w:sz="0" w:space="0" w:color="auto"/>
                <w:bottom w:val="none" w:sz="0" w:space="0" w:color="auto"/>
                <w:right w:val="none" w:sz="0" w:space="0" w:color="auto"/>
              </w:divBdr>
            </w:div>
          </w:divsChild>
        </w:div>
        <w:div w:id="1726756119">
          <w:marLeft w:val="0"/>
          <w:marRight w:val="0"/>
          <w:marTop w:val="0"/>
          <w:marBottom w:val="0"/>
          <w:divBdr>
            <w:top w:val="none" w:sz="0" w:space="0" w:color="auto"/>
            <w:left w:val="none" w:sz="0" w:space="0" w:color="auto"/>
            <w:bottom w:val="none" w:sz="0" w:space="0" w:color="auto"/>
            <w:right w:val="none" w:sz="0" w:space="0" w:color="auto"/>
          </w:divBdr>
          <w:divsChild>
            <w:div w:id="940836093">
              <w:marLeft w:val="0"/>
              <w:marRight w:val="0"/>
              <w:marTop w:val="0"/>
              <w:marBottom w:val="0"/>
              <w:divBdr>
                <w:top w:val="none" w:sz="0" w:space="0" w:color="auto"/>
                <w:left w:val="none" w:sz="0" w:space="0" w:color="auto"/>
                <w:bottom w:val="none" w:sz="0" w:space="0" w:color="auto"/>
                <w:right w:val="none" w:sz="0" w:space="0" w:color="auto"/>
              </w:divBdr>
            </w:div>
            <w:div w:id="1568149077">
              <w:marLeft w:val="0"/>
              <w:marRight w:val="0"/>
              <w:marTop w:val="0"/>
              <w:marBottom w:val="0"/>
              <w:divBdr>
                <w:top w:val="none" w:sz="0" w:space="0" w:color="auto"/>
                <w:left w:val="none" w:sz="0" w:space="0" w:color="auto"/>
                <w:bottom w:val="none" w:sz="0" w:space="0" w:color="auto"/>
                <w:right w:val="none" w:sz="0" w:space="0" w:color="auto"/>
              </w:divBdr>
            </w:div>
          </w:divsChild>
        </w:div>
        <w:div w:id="2037653392">
          <w:marLeft w:val="0"/>
          <w:marRight w:val="0"/>
          <w:marTop w:val="0"/>
          <w:marBottom w:val="0"/>
          <w:divBdr>
            <w:top w:val="none" w:sz="0" w:space="0" w:color="auto"/>
            <w:left w:val="none" w:sz="0" w:space="0" w:color="auto"/>
            <w:bottom w:val="none" w:sz="0" w:space="0" w:color="auto"/>
            <w:right w:val="none" w:sz="0" w:space="0" w:color="auto"/>
          </w:divBdr>
          <w:divsChild>
            <w:div w:id="971249205">
              <w:marLeft w:val="0"/>
              <w:marRight w:val="0"/>
              <w:marTop w:val="0"/>
              <w:marBottom w:val="0"/>
              <w:divBdr>
                <w:top w:val="none" w:sz="0" w:space="0" w:color="auto"/>
                <w:left w:val="none" w:sz="0" w:space="0" w:color="auto"/>
                <w:bottom w:val="none" w:sz="0" w:space="0" w:color="auto"/>
                <w:right w:val="none" w:sz="0" w:space="0" w:color="auto"/>
              </w:divBdr>
            </w:div>
          </w:divsChild>
        </w:div>
        <w:div w:id="1683899306">
          <w:marLeft w:val="0"/>
          <w:marRight w:val="0"/>
          <w:marTop w:val="0"/>
          <w:marBottom w:val="0"/>
          <w:divBdr>
            <w:top w:val="none" w:sz="0" w:space="0" w:color="auto"/>
            <w:left w:val="none" w:sz="0" w:space="0" w:color="auto"/>
            <w:bottom w:val="none" w:sz="0" w:space="0" w:color="auto"/>
            <w:right w:val="none" w:sz="0" w:space="0" w:color="auto"/>
          </w:divBdr>
          <w:divsChild>
            <w:div w:id="1606771328">
              <w:marLeft w:val="0"/>
              <w:marRight w:val="0"/>
              <w:marTop w:val="0"/>
              <w:marBottom w:val="0"/>
              <w:divBdr>
                <w:top w:val="none" w:sz="0" w:space="0" w:color="auto"/>
                <w:left w:val="none" w:sz="0" w:space="0" w:color="auto"/>
                <w:bottom w:val="none" w:sz="0" w:space="0" w:color="auto"/>
                <w:right w:val="none" w:sz="0" w:space="0" w:color="auto"/>
              </w:divBdr>
            </w:div>
          </w:divsChild>
        </w:div>
        <w:div w:id="1368867936">
          <w:marLeft w:val="0"/>
          <w:marRight w:val="0"/>
          <w:marTop w:val="0"/>
          <w:marBottom w:val="0"/>
          <w:divBdr>
            <w:top w:val="none" w:sz="0" w:space="0" w:color="auto"/>
            <w:left w:val="none" w:sz="0" w:space="0" w:color="auto"/>
            <w:bottom w:val="none" w:sz="0" w:space="0" w:color="auto"/>
            <w:right w:val="none" w:sz="0" w:space="0" w:color="auto"/>
          </w:divBdr>
          <w:divsChild>
            <w:div w:id="2014260681">
              <w:marLeft w:val="0"/>
              <w:marRight w:val="0"/>
              <w:marTop w:val="0"/>
              <w:marBottom w:val="0"/>
              <w:divBdr>
                <w:top w:val="none" w:sz="0" w:space="0" w:color="auto"/>
                <w:left w:val="none" w:sz="0" w:space="0" w:color="auto"/>
                <w:bottom w:val="none" w:sz="0" w:space="0" w:color="auto"/>
                <w:right w:val="none" w:sz="0" w:space="0" w:color="auto"/>
              </w:divBdr>
            </w:div>
            <w:div w:id="464273579">
              <w:marLeft w:val="0"/>
              <w:marRight w:val="0"/>
              <w:marTop w:val="0"/>
              <w:marBottom w:val="0"/>
              <w:divBdr>
                <w:top w:val="none" w:sz="0" w:space="0" w:color="auto"/>
                <w:left w:val="none" w:sz="0" w:space="0" w:color="auto"/>
                <w:bottom w:val="none" w:sz="0" w:space="0" w:color="auto"/>
                <w:right w:val="none" w:sz="0" w:space="0" w:color="auto"/>
              </w:divBdr>
            </w:div>
            <w:div w:id="1902524108">
              <w:marLeft w:val="0"/>
              <w:marRight w:val="0"/>
              <w:marTop w:val="0"/>
              <w:marBottom w:val="0"/>
              <w:divBdr>
                <w:top w:val="none" w:sz="0" w:space="0" w:color="auto"/>
                <w:left w:val="none" w:sz="0" w:space="0" w:color="auto"/>
                <w:bottom w:val="none" w:sz="0" w:space="0" w:color="auto"/>
                <w:right w:val="none" w:sz="0" w:space="0" w:color="auto"/>
              </w:divBdr>
            </w:div>
          </w:divsChild>
        </w:div>
        <w:div w:id="1490902098">
          <w:marLeft w:val="0"/>
          <w:marRight w:val="0"/>
          <w:marTop w:val="0"/>
          <w:marBottom w:val="0"/>
          <w:divBdr>
            <w:top w:val="none" w:sz="0" w:space="0" w:color="auto"/>
            <w:left w:val="none" w:sz="0" w:space="0" w:color="auto"/>
            <w:bottom w:val="none" w:sz="0" w:space="0" w:color="auto"/>
            <w:right w:val="none" w:sz="0" w:space="0" w:color="auto"/>
          </w:divBdr>
          <w:divsChild>
            <w:div w:id="1087732456">
              <w:marLeft w:val="0"/>
              <w:marRight w:val="0"/>
              <w:marTop w:val="0"/>
              <w:marBottom w:val="0"/>
              <w:divBdr>
                <w:top w:val="none" w:sz="0" w:space="0" w:color="auto"/>
                <w:left w:val="none" w:sz="0" w:space="0" w:color="auto"/>
                <w:bottom w:val="none" w:sz="0" w:space="0" w:color="auto"/>
                <w:right w:val="none" w:sz="0" w:space="0" w:color="auto"/>
              </w:divBdr>
            </w:div>
            <w:div w:id="1444810563">
              <w:marLeft w:val="0"/>
              <w:marRight w:val="0"/>
              <w:marTop w:val="0"/>
              <w:marBottom w:val="0"/>
              <w:divBdr>
                <w:top w:val="none" w:sz="0" w:space="0" w:color="auto"/>
                <w:left w:val="none" w:sz="0" w:space="0" w:color="auto"/>
                <w:bottom w:val="none" w:sz="0" w:space="0" w:color="auto"/>
                <w:right w:val="none" w:sz="0" w:space="0" w:color="auto"/>
              </w:divBdr>
            </w:div>
            <w:div w:id="158231802">
              <w:marLeft w:val="0"/>
              <w:marRight w:val="0"/>
              <w:marTop w:val="0"/>
              <w:marBottom w:val="0"/>
              <w:divBdr>
                <w:top w:val="none" w:sz="0" w:space="0" w:color="auto"/>
                <w:left w:val="none" w:sz="0" w:space="0" w:color="auto"/>
                <w:bottom w:val="none" w:sz="0" w:space="0" w:color="auto"/>
                <w:right w:val="none" w:sz="0" w:space="0" w:color="auto"/>
              </w:divBdr>
            </w:div>
          </w:divsChild>
        </w:div>
        <w:div w:id="763308207">
          <w:marLeft w:val="0"/>
          <w:marRight w:val="0"/>
          <w:marTop w:val="0"/>
          <w:marBottom w:val="0"/>
          <w:divBdr>
            <w:top w:val="none" w:sz="0" w:space="0" w:color="auto"/>
            <w:left w:val="none" w:sz="0" w:space="0" w:color="auto"/>
            <w:bottom w:val="none" w:sz="0" w:space="0" w:color="auto"/>
            <w:right w:val="none" w:sz="0" w:space="0" w:color="auto"/>
          </w:divBdr>
          <w:divsChild>
            <w:div w:id="1583837124">
              <w:marLeft w:val="0"/>
              <w:marRight w:val="0"/>
              <w:marTop w:val="0"/>
              <w:marBottom w:val="0"/>
              <w:divBdr>
                <w:top w:val="none" w:sz="0" w:space="0" w:color="auto"/>
                <w:left w:val="none" w:sz="0" w:space="0" w:color="auto"/>
                <w:bottom w:val="none" w:sz="0" w:space="0" w:color="auto"/>
                <w:right w:val="none" w:sz="0" w:space="0" w:color="auto"/>
              </w:divBdr>
            </w:div>
            <w:div w:id="1446851605">
              <w:marLeft w:val="0"/>
              <w:marRight w:val="0"/>
              <w:marTop w:val="0"/>
              <w:marBottom w:val="0"/>
              <w:divBdr>
                <w:top w:val="none" w:sz="0" w:space="0" w:color="auto"/>
                <w:left w:val="none" w:sz="0" w:space="0" w:color="auto"/>
                <w:bottom w:val="none" w:sz="0" w:space="0" w:color="auto"/>
                <w:right w:val="none" w:sz="0" w:space="0" w:color="auto"/>
              </w:divBdr>
            </w:div>
          </w:divsChild>
        </w:div>
        <w:div w:id="1109934658">
          <w:marLeft w:val="0"/>
          <w:marRight w:val="0"/>
          <w:marTop w:val="0"/>
          <w:marBottom w:val="0"/>
          <w:divBdr>
            <w:top w:val="none" w:sz="0" w:space="0" w:color="auto"/>
            <w:left w:val="none" w:sz="0" w:space="0" w:color="auto"/>
            <w:bottom w:val="none" w:sz="0" w:space="0" w:color="auto"/>
            <w:right w:val="none" w:sz="0" w:space="0" w:color="auto"/>
          </w:divBdr>
          <w:divsChild>
            <w:div w:id="1338074491">
              <w:marLeft w:val="0"/>
              <w:marRight w:val="0"/>
              <w:marTop w:val="0"/>
              <w:marBottom w:val="0"/>
              <w:divBdr>
                <w:top w:val="none" w:sz="0" w:space="0" w:color="auto"/>
                <w:left w:val="none" w:sz="0" w:space="0" w:color="auto"/>
                <w:bottom w:val="none" w:sz="0" w:space="0" w:color="auto"/>
                <w:right w:val="none" w:sz="0" w:space="0" w:color="auto"/>
              </w:divBdr>
            </w:div>
          </w:divsChild>
        </w:div>
        <w:div w:id="1705325444">
          <w:marLeft w:val="0"/>
          <w:marRight w:val="0"/>
          <w:marTop w:val="0"/>
          <w:marBottom w:val="0"/>
          <w:divBdr>
            <w:top w:val="none" w:sz="0" w:space="0" w:color="auto"/>
            <w:left w:val="none" w:sz="0" w:space="0" w:color="auto"/>
            <w:bottom w:val="none" w:sz="0" w:space="0" w:color="auto"/>
            <w:right w:val="none" w:sz="0" w:space="0" w:color="auto"/>
          </w:divBdr>
          <w:divsChild>
            <w:div w:id="41831099">
              <w:marLeft w:val="0"/>
              <w:marRight w:val="0"/>
              <w:marTop w:val="0"/>
              <w:marBottom w:val="0"/>
              <w:divBdr>
                <w:top w:val="none" w:sz="0" w:space="0" w:color="auto"/>
                <w:left w:val="none" w:sz="0" w:space="0" w:color="auto"/>
                <w:bottom w:val="none" w:sz="0" w:space="0" w:color="auto"/>
                <w:right w:val="none" w:sz="0" w:space="0" w:color="auto"/>
              </w:divBdr>
            </w:div>
            <w:div w:id="375399656">
              <w:marLeft w:val="0"/>
              <w:marRight w:val="0"/>
              <w:marTop w:val="0"/>
              <w:marBottom w:val="0"/>
              <w:divBdr>
                <w:top w:val="none" w:sz="0" w:space="0" w:color="auto"/>
                <w:left w:val="none" w:sz="0" w:space="0" w:color="auto"/>
                <w:bottom w:val="none" w:sz="0" w:space="0" w:color="auto"/>
                <w:right w:val="none" w:sz="0" w:space="0" w:color="auto"/>
              </w:divBdr>
            </w:div>
          </w:divsChild>
        </w:div>
        <w:div w:id="1928079503">
          <w:marLeft w:val="0"/>
          <w:marRight w:val="0"/>
          <w:marTop w:val="0"/>
          <w:marBottom w:val="0"/>
          <w:divBdr>
            <w:top w:val="none" w:sz="0" w:space="0" w:color="auto"/>
            <w:left w:val="none" w:sz="0" w:space="0" w:color="auto"/>
            <w:bottom w:val="none" w:sz="0" w:space="0" w:color="auto"/>
            <w:right w:val="none" w:sz="0" w:space="0" w:color="auto"/>
          </w:divBdr>
          <w:divsChild>
            <w:div w:id="1747723293">
              <w:marLeft w:val="0"/>
              <w:marRight w:val="0"/>
              <w:marTop w:val="0"/>
              <w:marBottom w:val="0"/>
              <w:divBdr>
                <w:top w:val="none" w:sz="0" w:space="0" w:color="auto"/>
                <w:left w:val="none" w:sz="0" w:space="0" w:color="auto"/>
                <w:bottom w:val="none" w:sz="0" w:space="0" w:color="auto"/>
                <w:right w:val="none" w:sz="0" w:space="0" w:color="auto"/>
              </w:divBdr>
            </w:div>
            <w:div w:id="918293784">
              <w:marLeft w:val="0"/>
              <w:marRight w:val="0"/>
              <w:marTop w:val="0"/>
              <w:marBottom w:val="0"/>
              <w:divBdr>
                <w:top w:val="none" w:sz="0" w:space="0" w:color="auto"/>
                <w:left w:val="none" w:sz="0" w:space="0" w:color="auto"/>
                <w:bottom w:val="none" w:sz="0" w:space="0" w:color="auto"/>
                <w:right w:val="none" w:sz="0" w:space="0" w:color="auto"/>
              </w:divBdr>
            </w:div>
            <w:div w:id="1761872533">
              <w:marLeft w:val="0"/>
              <w:marRight w:val="0"/>
              <w:marTop w:val="0"/>
              <w:marBottom w:val="0"/>
              <w:divBdr>
                <w:top w:val="none" w:sz="0" w:space="0" w:color="auto"/>
                <w:left w:val="none" w:sz="0" w:space="0" w:color="auto"/>
                <w:bottom w:val="none" w:sz="0" w:space="0" w:color="auto"/>
                <w:right w:val="none" w:sz="0" w:space="0" w:color="auto"/>
              </w:divBdr>
            </w:div>
          </w:divsChild>
        </w:div>
        <w:div w:id="537282887">
          <w:marLeft w:val="0"/>
          <w:marRight w:val="0"/>
          <w:marTop w:val="0"/>
          <w:marBottom w:val="0"/>
          <w:divBdr>
            <w:top w:val="none" w:sz="0" w:space="0" w:color="auto"/>
            <w:left w:val="none" w:sz="0" w:space="0" w:color="auto"/>
            <w:bottom w:val="none" w:sz="0" w:space="0" w:color="auto"/>
            <w:right w:val="none" w:sz="0" w:space="0" w:color="auto"/>
          </w:divBdr>
          <w:divsChild>
            <w:div w:id="226234651">
              <w:marLeft w:val="0"/>
              <w:marRight w:val="0"/>
              <w:marTop w:val="0"/>
              <w:marBottom w:val="0"/>
              <w:divBdr>
                <w:top w:val="none" w:sz="0" w:space="0" w:color="auto"/>
                <w:left w:val="none" w:sz="0" w:space="0" w:color="auto"/>
                <w:bottom w:val="none" w:sz="0" w:space="0" w:color="auto"/>
                <w:right w:val="none" w:sz="0" w:space="0" w:color="auto"/>
              </w:divBdr>
            </w:div>
            <w:div w:id="1219433347">
              <w:marLeft w:val="0"/>
              <w:marRight w:val="0"/>
              <w:marTop w:val="0"/>
              <w:marBottom w:val="0"/>
              <w:divBdr>
                <w:top w:val="none" w:sz="0" w:space="0" w:color="auto"/>
                <w:left w:val="none" w:sz="0" w:space="0" w:color="auto"/>
                <w:bottom w:val="none" w:sz="0" w:space="0" w:color="auto"/>
                <w:right w:val="none" w:sz="0" w:space="0" w:color="auto"/>
              </w:divBdr>
            </w:div>
          </w:divsChild>
        </w:div>
        <w:div w:id="1786773508">
          <w:marLeft w:val="0"/>
          <w:marRight w:val="0"/>
          <w:marTop w:val="0"/>
          <w:marBottom w:val="0"/>
          <w:divBdr>
            <w:top w:val="none" w:sz="0" w:space="0" w:color="auto"/>
            <w:left w:val="none" w:sz="0" w:space="0" w:color="auto"/>
            <w:bottom w:val="none" w:sz="0" w:space="0" w:color="auto"/>
            <w:right w:val="none" w:sz="0" w:space="0" w:color="auto"/>
          </w:divBdr>
          <w:divsChild>
            <w:div w:id="1191456050">
              <w:marLeft w:val="0"/>
              <w:marRight w:val="0"/>
              <w:marTop w:val="0"/>
              <w:marBottom w:val="0"/>
              <w:divBdr>
                <w:top w:val="none" w:sz="0" w:space="0" w:color="auto"/>
                <w:left w:val="none" w:sz="0" w:space="0" w:color="auto"/>
                <w:bottom w:val="none" w:sz="0" w:space="0" w:color="auto"/>
                <w:right w:val="none" w:sz="0" w:space="0" w:color="auto"/>
              </w:divBdr>
            </w:div>
          </w:divsChild>
        </w:div>
        <w:div w:id="109519586">
          <w:marLeft w:val="0"/>
          <w:marRight w:val="0"/>
          <w:marTop w:val="0"/>
          <w:marBottom w:val="0"/>
          <w:divBdr>
            <w:top w:val="none" w:sz="0" w:space="0" w:color="auto"/>
            <w:left w:val="none" w:sz="0" w:space="0" w:color="auto"/>
            <w:bottom w:val="none" w:sz="0" w:space="0" w:color="auto"/>
            <w:right w:val="none" w:sz="0" w:space="0" w:color="auto"/>
          </w:divBdr>
          <w:divsChild>
            <w:div w:id="619068800">
              <w:marLeft w:val="0"/>
              <w:marRight w:val="0"/>
              <w:marTop w:val="0"/>
              <w:marBottom w:val="0"/>
              <w:divBdr>
                <w:top w:val="none" w:sz="0" w:space="0" w:color="auto"/>
                <w:left w:val="none" w:sz="0" w:space="0" w:color="auto"/>
                <w:bottom w:val="none" w:sz="0" w:space="0" w:color="auto"/>
                <w:right w:val="none" w:sz="0" w:space="0" w:color="auto"/>
              </w:divBdr>
            </w:div>
            <w:div w:id="2040274288">
              <w:marLeft w:val="0"/>
              <w:marRight w:val="0"/>
              <w:marTop w:val="0"/>
              <w:marBottom w:val="0"/>
              <w:divBdr>
                <w:top w:val="none" w:sz="0" w:space="0" w:color="auto"/>
                <w:left w:val="none" w:sz="0" w:space="0" w:color="auto"/>
                <w:bottom w:val="none" w:sz="0" w:space="0" w:color="auto"/>
                <w:right w:val="none" w:sz="0" w:space="0" w:color="auto"/>
              </w:divBdr>
            </w:div>
            <w:div w:id="1930388494">
              <w:marLeft w:val="0"/>
              <w:marRight w:val="0"/>
              <w:marTop w:val="0"/>
              <w:marBottom w:val="0"/>
              <w:divBdr>
                <w:top w:val="none" w:sz="0" w:space="0" w:color="auto"/>
                <w:left w:val="none" w:sz="0" w:space="0" w:color="auto"/>
                <w:bottom w:val="none" w:sz="0" w:space="0" w:color="auto"/>
                <w:right w:val="none" w:sz="0" w:space="0" w:color="auto"/>
              </w:divBdr>
            </w:div>
          </w:divsChild>
        </w:div>
        <w:div w:id="1016807089">
          <w:marLeft w:val="0"/>
          <w:marRight w:val="0"/>
          <w:marTop w:val="0"/>
          <w:marBottom w:val="0"/>
          <w:divBdr>
            <w:top w:val="none" w:sz="0" w:space="0" w:color="auto"/>
            <w:left w:val="none" w:sz="0" w:space="0" w:color="auto"/>
            <w:bottom w:val="none" w:sz="0" w:space="0" w:color="auto"/>
            <w:right w:val="none" w:sz="0" w:space="0" w:color="auto"/>
          </w:divBdr>
          <w:divsChild>
            <w:div w:id="1290622689">
              <w:marLeft w:val="0"/>
              <w:marRight w:val="0"/>
              <w:marTop w:val="0"/>
              <w:marBottom w:val="0"/>
              <w:divBdr>
                <w:top w:val="none" w:sz="0" w:space="0" w:color="auto"/>
                <w:left w:val="none" w:sz="0" w:space="0" w:color="auto"/>
                <w:bottom w:val="none" w:sz="0" w:space="0" w:color="auto"/>
                <w:right w:val="none" w:sz="0" w:space="0" w:color="auto"/>
              </w:divBdr>
            </w:div>
            <w:div w:id="186262050">
              <w:marLeft w:val="0"/>
              <w:marRight w:val="0"/>
              <w:marTop w:val="0"/>
              <w:marBottom w:val="0"/>
              <w:divBdr>
                <w:top w:val="none" w:sz="0" w:space="0" w:color="auto"/>
                <w:left w:val="none" w:sz="0" w:space="0" w:color="auto"/>
                <w:bottom w:val="none" w:sz="0" w:space="0" w:color="auto"/>
                <w:right w:val="none" w:sz="0" w:space="0" w:color="auto"/>
              </w:divBdr>
            </w:div>
            <w:div w:id="291596940">
              <w:marLeft w:val="0"/>
              <w:marRight w:val="0"/>
              <w:marTop w:val="0"/>
              <w:marBottom w:val="0"/>
              <w:divBdr>
                <w:top w:val="none" w:sz="0" w:space="0" w:color="auto"/>
                <w:left w:val="none" w:sz="0" w:space="0" w:color="auto"/>
                <w:bottom w:val="none" w:sz="0" w:space="0" w:color="auto"/>
                <w:right w:val="none" w:sz="0" w:space="0" w:color="auto"/>
              </w:divBdr>
            </w:div>
            <w:div w:id="506210602">
              <w:marLeft w:val="0"/>
              <w:marRight w:val="0"/>
              <w:marTop w:val="0"/>
              <w:marBottom w:val="0"/>
              <w:divBdr>
                <w:top w:val="none" w:sz="0" w:space="0" w:color="auto"/>
                <w:left w:val="none" w:sz="0" w:space="0" w:color="auto"/>
                <w:bottom w:val="none" w:sz="0" w:space="0" w:color="auto"/>
                <w:right w:val="none" w:sz="0" w:space="0" w:color="auto"/>
              </w:divBdr>
            </w:div>
          </w:divsChild>
        </w:div>
        <w:div w:id="287860714">
          <w:marLeft w:val="0"/>
          <w:marRight w:val="0"/>
          <w:marTop w:val="0"/>
          <w:marBottom w:val="0"/>
          <w:divBdr>
            <w:top w:val="none" w:sz="0" w:space="0" w:color="auto"/>
            <w:left w:val="none" w:sz="0" w:space="0" w:color="auto"/>
            <w:bottom w:val="none" w:sz="0" w:space="0" w:color="auto"/>
            <w:right w:val="none" w:sz="0" w:space="0" w:color="auto"/>
          </w:divBdr>
          <w:divsChild>
            <w:div w:id="782188084">
              <w:marLeft w:val="0"/>
              <w:marRight w:val="0"/>
              <w:marTop w:val="0"/>
              <w:marBottom w:val="0"/>
              <w:divBdr>
                <w:top w:val="none" w:sz="0" w:space="0" w:color="auto"/>
                <w:left w:val="none" w:sz="0" w:space="0" w:color="auto"/>
                <w:bottom w:val="none" w:sz="0" w:space="0" w:color="auto"/>
                <w:right w:val="none" w:sz="0" w:space="0" w:color="auto"/>
              </w:divBdr>
            </w:div>
            <w:div w:id="1512256796">
              <w:marLeft w:val="0"/>
              <w:marRight w:val="0"/>
              <w:marTop w:val="0"/>
              <w:marBottom w:val="0"/>
              <w:divBdr>
                <w:top w:val="none" w:sz="0" w:space="0" w:color="auto"/>
                <w:left w:val="none" w:sz="0" w:space="0" w:color="auto"/>
                <w:bottom w:val="none" w:sz="0" w:space="0" w:color="auto"/>
                <w:right w:val="none" w:sz="0" w:space="0" w:color="auto"/>
              </w:divBdr>
            </w:div>
            <w:div w:id="595596577">
              <w:marLeft w:val="0"/>
              <w:marRight w:val="0"/>
              <w:marTop w:val="0"/>
              <w:marBottom w:val="0"/>
              <w:divBdr>
                <w:top w:val="none" w:sz="0" w:space="0" w:color="auto"/>
                <w:left w:val="none" w:sz="0" w:space="0" w:color="auto"/>
                <w:bottom w:val="none" w:sz="0" w:space="0" w:color="auto"/>
                <w:right w:val="none" w:sz="0" w:space="0" w:color="auto"/>
              </w:divBdr>
            </w:div>
          </w:divsChild>
        </w:div>
        <w:div w:id="936864906">
          <w:marLeft w:val="0"/>
          <w:marRight w:val="0"/>
          <w:marTop w:val="0"/>
          <w:marBottom w:val="0"/>
          <w:divBdr>
            <w:top w:val="none" w:sz="0" w:space="0" w:color="auto"/>
            <w:left w:val="none" w:sz="0" w:space="0" w:color="auto"/>
            <w:bottom w:val="none" w:sz="0" w:space="0" w:color="auto"/>
            <w:right w:val="none" w:sz="0" w:space="0" w:color="auto"/>
          </w:divBdr>
          <w:divsChild>
            <w:div w:id="546182782">
              <w:marLeft w:val="0"/>
              <w:marRight w:val="0"/>
              <w:marTop w:val="0"/>
              <w:marBottom w:val="0"/>
              <w:divBdr>
                <w:top w:val="none" w:sz="0" w:space="0" w:color="auto"/>
                <w:left w:val="none" w:sz="0" w:space="0" w:color="auto"/>
                <w:bottom w:val="none" w:sz="0" w:space="0" w:color="auto"/>
                <w:right w:val="none" w:sz="0" w:space="0" w:color="auto"/>
              </w:divBdr>
            </w:div>
            <w:div w:id="1867517314">
              <w:marLeft w:val="0"/>
              <w:marRight w:val="0"/>
              <w:marTop w:val="0"/>
              <w:marBottom w:val="0"/>
              <w:divBdr>
                <w:top w:val="none" w:sz="0" w:space="0" w:color="auto"/>
                <w:left w:val="none" w:sz="0" w:space="0" w:color="auto"/>
                <w:bottom w:val="none" w:sz="0" w:space="0" w:color="auto"/>
                <w:right w:val="none" w:sz="0" w:space="0" w:color="auto"/>
              </w:divBdr>
            </w:div>
            <w:div w:id="814302948">
              <w:marLeft w:val="0"/>
              <w:marRight w:val="0"/>
              <w:marTop w:val="0"/>
              <w:marBottom w:val="0"/>
              <w:divBdr>
                <w:top w:val="none" w:sz="0" w:space="0" w:color="auto"/>
                <w:left w:val="none" w:sz="0" w:space="0" w:color="auto"/>
                <w:bottom w:val="none" w:sz="0" w:space="0" w:color="auto"/>
                <w:right w:val="none" w:sz="0" w:space="0" w:color="auto"/>
              </w:divBdr>
            </w:div>
          </w:divsChild>
        </w:div>
        <w:div w:id="881751825">
          <w:marLeft w:val="0"/>
          <w:marRight w:val="0"/>
          <w:marTop w:val="0"/>
          <w:marBottom w:val="0"/>
          <w:divBdr>
            <w:top w:val="none" w:sz="0" w:space="0" w:color="auto"/>
            <w:left w:val="none" w:sz="0" w:space="0" w:color="auto"/>
            <w:bottom w:val="none" w:sz="0" w:space="0" w:color="auto"/>
            <w:right w:val="none" w:sz="0" w:space="0" w:color="auto"/>
          </w:divBdr>
          <w:divsChild>
            <w:div w:id="142739881">
              <w:marLeft w:val="0"/>
              <w:marRight w:val="0"/>
              <w:marTop w:val="0"/>
              <w:marBottom w:val="0"/>
              <w:divBdr>
                <w:top w:val="none" w:sz="0" w:space="0" w:color="auto"/>
                <w:left w:val="none" w:sz="0" w:space="0" w:color="auto"/>
                <w:bottom w:val="none" w:sz="0" w:space="0" w:color="auto"/>
                <w:right w:val="none" w:sz="0" w:space="0" w:color="auto"/>
              </w:divBdr>
            </w:div>
          </w:divsChild>
        </w:div>
        <w:div w:id="152794472">
          <w:marLeft w:val="0"/>
          <w:marRight w:val="0"/>
          <w:marTop w:val="0"/>
          <w:marBottom w:val="0"/>
          <w:divBdr>
            <w:top w:val="none" w:sz="0" w:space="0" w:color="auto"/>
            <w:left w:val="none" w:sz="0" w:space="0" w:color="auto"/>
            <w:bottom w:val="none" w:sz="0" w:space="0" w:color="auto"/>
            <w:right w:val="none" w:sz="0" w:space="0" w:color="auto"/>
          </w:divBdr>
          <w:divsChild>
            <w:div w:id="1729186806">
              <w:marLeft w:val="0"/>
              <w:marRight w:val="0"/>
              <w:marTop w:val="0"/>
              <w:marBottom w:val="0"/>
              <w:divBdr>
                <w:top w:val="none" w:sz="0" w:space="0" w:color="auto"/>
                <w:left w:val="none" w:sz="0" w:space="0" w:color="auto"/>
                <w:bottom w:val="none" w:sz="0" w:space="0" w:color="auto"/>
                <w:right w:val="none" w:sz="0" w:space="0" w:color="auto"/>
              </w:divBdr>
            </w:div>
            <w:div w:id="1015184408">
              <w:marLeft w:val="0"/>
              <w:marRight w:val="0"/>
              <w:marTop w:val="0"/>
              <w:marBottom w:val="0"/>
              <w:divBdr>
                <w:top w:val="none" w:sz="0" w:space="0" w:color="auto"/>
                <w:left w:val="none" w:sz="0" w:space="0" w:color="auto"/>
                <w:bottom w:val="none" w:sz="0" w:space="0" w:color="auto"/>
                <w:right w:val="none" w:sz="0" w:space="0" w:color="auto"/>
              </w:divBdr>
            </w:div>
            <w:div w:id="1458832688">
              <w:marLeft w:val="0"/>
              <w:marRight w:val="0"/>
              <w:marTop w:val="0"/>
              <w:marBottom w:val="0"/>
              <w:divBdr>
                <w:top w:val="none" w:sz="0" w:space="0" w:color="auto"/>
                <w:left w:val="none" w:sz="0" w:space="0" w:color="auto"/>
                <w:bottom w:val="none" w:sz="0" w:space="0" w:color="auto"/>
                <w:right w:val="none" w:sz="0" w:space="0" w:color="auto"/>
              </w:divBdr>
            </w:div>
          </w:divsChild>
        </w:div>
        <w:div w:id="1800761067">
          <w:marLeft w:val="0"/>
          <w:marRight w:val="0"/>
          <w:marTop w:val="0"/>
          <w:marBottom w:val="0"/>
          <w:divBdr>
            <w:top w:val="none" w:sz="0" w:space="0" w:color="auto"/>
            <w:left w:val="none" w:sz="0" w:space="0" w:color="auto"/>
            <w:bottom w:val="none" w:sz="0" w:space="0" w:color="auto"/>
            <w:right w:val="none" w:sz="0" w:space="0" w:color="auto"/>
          </w:divBdr>
          <w:divsChild>
            <w:div w:id="869416558">
              <w:marLeft w:val="0"/>
              <w:marRight w:val="0"/>
              <w:marTop w:val="0"/>
              <w:marBottom w:val="0"/>
              <w:divBdr>
                <w:top w:val="none" w:sz="0" w:space="0" w:color="auto"/>
                <w:left w:val="none" w:sz="0" w:space="0" w:color="auto"/>
                <w:bottom w:val="none" w:sz="0" w:space="0" w:color="auto"/>
                <w:right w:val="none" w:sz="0" w:space="0" w:color="auto"/>
              </w:divBdr>
            </w:div>
            <w:div w:id="2104182081">
              <w:marLeft w:val="0"/>
              <w:marRight w:val="0"/>
              <w:marTop w:val="0"/>
              <w:marBottom w:val="0"/>
              <w:divBdr>
                <w:top w:val="none" w:sz="0" w:space="0" w:color="auto"/>
                <w:left w:val="none" w:sz="0" w:space="0" w:color="auto"/>
                <w:bottom w:val="none" w:sz="0" w:space="0" w:color="auto"/>
                <w:right w:val="none" w:sz="0" w:space="0" w:color="auto"/>
              </w:divBdr>
            </w:div>
          </w:divsChild>
        </w:div>
        <w:div w:id="2051761329">
          <w:marLeft w:val="0"/>
          <w:marRight w:val="0"/>
          <w:marTop w:val="0"/>
          <w:marBottom w:val="0"/>
          <w:divBdr>
            <w:top w:val="none" w:sz="0" w:space="0" w:color="auto"/>
            <w:left w:val="none" w:sz="0" w:space="0" w:color="auto"/>
            <w:bottom w:val="none" w:sz="0" w:space="0" w:color="auto"/>
            <w:right w:val="none" w:sz="0" w:space="0" w:color="auto"/>
          </w:divBdr>
          <w:divsChild>
            <w:div w:id="1275407365">
              <w:marLeft w:val="0"/>
              <w:marRight w:val="0"/>
              <w:marTop w:val="0"/>
              <w:marBottom w:val="0"/>
              <w:divBdr>
                <w:top w:val="none" w:sz="0" w:space="0" w:color="auto"/>
                <w:left w:val="none" w:sz="0" w:space="0" w:color="auto"/>
                <w:bottom w:val="none" w:sz="0" w:space="0" w:color="auto"/>
                <w:right w:val="none" w:sz="0" w:space="0" w:color="auto"/>
              </w:divBdr>
            </w:div>
            <w:div w:id="1508902936">
              <w:marLeft w:val="0"/>
              <w:marRight w:val="0"/>
              <w:marTop w:val="0"/>
              <w:marBottom w:val="0"/>
              <w:divBdr>
                <w:top w:val="none" w:sz="0" w:space="0" w:color="auto"/>
                <w:left w:val="none" w:sz="0" w:space="0" w:color="auto"/>
                <w:bottom w:val="none" w:sz="0" w:space="0" w:color="auto"/>
                <w:right w:val="none" w:sz="0" w:space="0" w:color="auto"/>
              </w:divBdr>
            </w:div>
          </w:divsChild>
        </w:div>
        <w:div w:id="2036147661">
          <w:marLeft w:val="0"/>
          <w:marRight w:val="0"/>
          <w:marTop w:val="0"/>
          <w:marBottom w:val="0"/>
          <w:divBdr>
            <w:top w:val="none" w:sz="0" w:space="0" w:color="auto"/>
            <w:left w:val="none" w:sz="0" w:space="0" w:color="auto"/>
            <w:bottom w:val="none" w:sz="0" w:space="0" w:color="auto"/>
            <w:right w:val="none" w:sz="0" w:space="0" w:color="auto"/>
          </w:divBdr>
          <w:divsChild>
            <w:div w:id="2059232460">
              <w:marLeft w:val="0"/>
              <w:marRight w:val="0"/>
              <w:marTop w:val="0"/>
              <w:marBottom w:val="0"/>
              <w:divBdr>
                <w:top w:val="none" w:sz="0" w:space="0" w:color="auto"/>
                <w:left w:val="none" w:sz="0" w:space="0" w:color="auto"/>
                <w:bottom w:val="none" w:sz="0" w:space="0" w:color="auto"/>
                <w:right w:val="none" w:sz="0" w:space="0" w:color="auto"/>
              </w:divBdr>
            </w:div>
          </w:divsChild>
        </w:div>
        <w:div w:id="198052591">
          <w:marLeft w:val="0"/>
          <w:marRight w:val="0"/>
          <w:marTop w:val="0"/>
          <w:marBottom w:val="0"/>
          <w:divBdr>
            <w:top w:val="none" w:sz="0" w:space="0" w:color="auto"/>
            <w:left w:val="none" w:sz="0" w:space="0" w:color="auto"/>
            <w:bottom w:val="none" w:sz="0" w:space="0" w:color="auto"/>
            <w:right w:val="none" w:sz="0" w:space="0" w:color="auto"/>
          </w:divBdr>
          <w:divsChild>
            <w:div w:id="822352669">
              <w:marLeft w:val="0"/>
              <w:marRight w:val="0"/>
              <w:marTop w:val="0"/>
              <w:marBottom w:val="0"/>
              <w:divBdr>
                <w:top w:val="none" w:sz="0" w:space="0" w:color="auto"/>
                <w:left w:val="none" w:sz="0" w:space="0" w:color="auto"/>
                <w:bottom w:val="none" w:sz="0" w:space="0" w:color="auto"/>
                <w:right w:val="none" w:sz="0" w:space="0" w:color="auto"/>
              </w:divBdr>
            </w:div>
            <w:div w:id="1169373071">
              <w:marLeft w:val="0"/>
              <w:marRight w:val="0"/>
              <w:marTop w:val="0"/>
              <w:marBottom w:val="0"/>
              <w:divBdr>
                <w:top w:val="none" w:sz="0" w:space="0" w:color="auto"/>
                <w:left w:val="none" w:sz="0" w:space="0" w:color="auto"/>
                <w:bottom w:val="none" w:sz="0" w:space="0" w:color="auto"/>
                <w:right w:val="none" w:sz="0" w:space="0" w:color="auto"/>
              </w:divBdr>
            </w:div>
          </w:divsChild>
        </w:div>
        <w:div w:id="445198881">
          <w:marLeft w:val="0"/>
          <w:marRight w:val="0"/>
          <w:marTop w:val="0"/>
          <w:marBottom w:val="0"/>
          <w:divBdr>
            <w:top w:val="none" w:sz="0" w:space="0" w:color="auto"/>
            <w:left w:val="none" w:sz="0" w:space="0" w:color="auto"/>
            <w:bottom w:val="none" w:sz="0" w:space="0" w:color="auto"/>
            <w:right w:val="none" w:sz="0" w:space="0" w:color="auto"/>
          </w:divBdr>
          <w:divsChild>
            <w:div w:id="79831919">
              <w:marLeft w:val="0"/>
              <w:marRight w:val="0"/>
              <w:marTop w:val="0"/>
              <w:marBottom w:val="0"/>
              <w:divBdr>
                <w:top w:val="none" w:sz="0" w:space="0" w:color="auto"/>
                <w:left w:val="none" w:sz="0" w:space="0" w:color="auto"/>
                <w:bottom w:val="none" w:sz="0" w:space="0" w:color="auto"/>
                <w:right w:val="none" w:sz="0" w:space="0" w:color="auto"/>
              </w:divBdr>
            </w:div>
            <w:div w:id="1916817600">
              <w:marLeft w:val="0"/>
              <w:marRight w:val="0"/>
              <w:marTop w:val="0"/>
              <w:marBottom w:val="0"/>
              <w:divBdr>
                <w:top w:val="none" w:sz="0" w:space="0" w:color="auto"/>
                <w:left w:val="none" w:sz="0" w:space="0" w:color="auto"/>
                <w:bottom w:val="none" w:sz="0" w:space="0" w:color="auto"/>
                <w:right w:val="none" w:sz="0" w:space="0" w:color="auto"/>
              </w:divBdr>
            </w:div>
            <w:div w:id="1963414308">
              <w:marLeft w:val="0"/>
              <w:marRight w:val="0"/>
              <w:marTop w:val="0"/>
              <w:marBottom w:val="0"/>
              <w:divBdr>
                <w:top w:val="none" w:sz="0" w:space="0" w:color="auto"/>
                <w:left w:val="none" w:sz="0" w:space="0" w:color="auto"/>
                <w:bottom w:val="none" w:sz="0" w:space="0" w:color="auto"/>
                <w:right w:val="none" w:sz="0" w:space="0" w:color="auto"/>
              </w:divBdr>
            </w:div>
          </w:divsChild>
        </w:div>
        <w:div w:id="395131584">
          <w:marLeft w:val="0"/>
          <w:marRight w:val="0"/>
          <w:marTop w:val="0"/>
          <w:marBottom w:val="0"/>
          <w:divBdr>
            <w:top w:val="none" w:sz="0" w:space="0" w:color="auto"/>
            <w:left w:val="none" w:sz="0" w:space="0" w:color="auto"/>
            <w:bottom w:val="none" w:sz="0" w:space="0" w:color="auto"/>
            <w:right w:val="none" w:sz="0" w:space="0" w:color="auto"/>
          </w:divBdr>
          <w:divsChild>
            <w:div w:id="861019203">
              <w:marLeft w:val="0"/>
              <w:marRight w:val="0"/>
              <w:marTop w:val="0"/>
              <w:marBottom w:val="0"/>
              <w:divBdr>
                <w:top w:val="none" w:sz="0" w:space="0" w:color="auto"/>
                <w:left w:val="none" w:sz="0" w:space="0" w:color="auto"/>
                <w:bottom w:val="none" w:sz="0" w:space="0" w:color="auto"/>
                <w:right w:val="none" w:sz="0" w:space="0" w:color="auto"/>
              </w:divBdr>
            </w:div>
            <w:div w:id="935553499">
              <w:marLeft w:val="0"/>
              <w:marRight w:val="0"/>
              <w:marTop w:val="0"/>
              <w:marBottom w:val="0"/>
              <w:divBdr>
                <w:top w:val="none" w:sz="0" w:space="0" w:color="auto"/>
                <w:left w:val="none" w:sz="0" w:space="0" w:color="auto"/>
                <w:bottom w:val="none" w:sz="0" w:space="0" w:color="auto"/>
                <w:right w:val="none" w:sz="0" w:space="0" w:color="auto"/>
              </w:divBdr>
            </w:div>
          </w:divsChild>
        </w:div>
        <w:div w:id="1341928587">
          <w:marLeft w:val="0"/>
          <w:marRight w:val="0"/>
          <w:marTop w:val="0"/>
          <w:marBottom w:val="0"/>
          <w:divBdr>
            <w:top w:val="none" w:sz="0" w:space="0" w:color="auto"/>
            <w:left w:val="none" w:sz="0" w:space="0" w:color="auto"/>
            <w:bottom w:val="none" w:sz="0" w:space="0" w:color="auto"/>
            <w:right w:val="none" w:sz="0" w:space="0" w:color="auto"/>
          </w:divBdr>
          <w:divsChild>
            <w:div w:id="1943948072">
              <w:marLeft w:val="0"/>
              <w:marRight w:val="0"/>
              <w:marTop w:val="0"/>
              <w:marBottom w:val="0"/>
              <w:divBdr>
                <w:top w:val="none" w:sz="0" w:space="0" w:color="auto"/>
                <w:left w:val="none" w:sz="0" w:space="0" w:color="auto"/>
                <w:bottom w:val="none" w:sz="0" w:space="0" w:color="auto"/>
                <w:right w:val="none" w:sz="0" w:space="0" w:color="auto"/>
              </w:divBdr>
            </w:div>
          </w:divsChild>
        </w:div>
        <w:div w:id="1840341555">
          <w:marLeft w:val="0"/>
          <w:marRight w:val="0"/>
          <w:marTop w:val="0"/>
          <w:marBottom w:val="0"/>
          <w:divBdr>
            <w:top w:val="none" w:sz="0" w:space="0" w:color="auto"/>
            <w:left w:val="none" w:sz="0" w:space="0" w:color="auto"/>
            <w:bottom w:val="none" w:sz="0" w:space="0" w:color="auto"/>
            <w:right w:val="none" w:sz="0" w:space="0" w:color="auto"/>
          </w:divBdr>
          <w:divsChild>
            <w:div w:id="1051806392">
              <w:marLeft w:val="0"/>
              <w:marRight w:val="0"/>
              <w:marTop w:val="0"/>
              <w:marBottom w:val="0"/>
              <w:divBdr>
                <w:top w:val="none" w:sz="0" w:space="0" w:color="auto"/>
                <w:left w:val="none" w:sz="0" w:space="0" w:color="auto"/>
                <w:bottom w:val="none" w:sz="0" w:space="0" w:color="auto"/>
                <w:right w:val="none" w:sz="0" w:space="0" w:color="auto"/>
              </w:divBdr>
            </w:div>
            <w:div w:id="498736800">
              <w:marLeft w:val="0"/>
              <w:marRight w:val="0"/>
              <w:marTop w:val="0"/>
              <w:marBottom w:val="0"/>
              <w:divBdr>
                <w:top w:val="none" w:sz="0" w:space="0" w:color="auto"/>
                <w:left w:val="none" w:sz="0" w:space="0" w:color="auto"/>
                <w:bottom w:val="none" w:sz="0" w:space="0" w:color="auto"/>
                <w:right w:val="none" w:sz="0" w:space="0" w:color="auto"/>
              </w:divBdr>
            </w:div>
          </w:divsChild>
        </w:div>
        <w:div w:id="636035703">
          <w:marLeft w:val="0"/>
          <w:marRight w:val="0"/>
          <w:marTop w:val="0"/>
          <w:marBottom w:val="0"/>
          <w:divBdr>
            <w:top w:val="none" w:sz="0" w:space="0" w:color="auto"/>
            <w:left w:val="none" w:sz="0" w:space="0" w:color="auto"/>
            <w:bottom w:val="none" w:sz="0" w:space="0" w:color="auto"/>
            <w:right w:val="none" w:sz="0" w:space="0" w:color="auto"/>
          </w:divBdr>
          <w:divsChild>
            <w:div w:id="1957062634">
              <w:marLeft w:val="0"/>
              <w:marRight w:val="0"/>
              <w:marTop w:val="0"/>
              <w:marBottom w:val="0"/>
              <w:divBdr>
                <w:top w:val="none" w:sz="0" w:space="0" w:color="auto"/>
                <w:left w:val="none" w:sz="0" w:space="0" w:color="auto"/>
                <w:bottom w:val="none" w:sz="0" w:space="0" w:color="auto"/>
                <w:right w:val="none" w:sz="0" w:space="0" w:color="auto"/>
              </w:divBdr>
            </w:div>
            <w:div w:id="837815288">
              <w:marLeft w:val="0"/>
              <w:marRight w:val="0"/>
              <w:marTop w:val="0"/>
              <w:marBottom w:val="0"/>
              <w:divBdr>
                <w:top w:val="none" w:sz="0" w:space="0" w:color="auto"/>
                <w:left w:val="none" w:sz="0" w:space="0" w:color="auto"/>
                <w:bottom w:val="none" w:sz="0" w:space="0" w:color="auto"/>
                <w:right w:val="none" w:sz="0" w:space="0" w:color="auto"/>
              </w:divBdr>
            </w:div>
            <w:div w:id="1620186677">
              <w:marLeft w:val="0"/>
              <w:marRight w:val="0"/>
              <w:marTop w:val="0"/>
              <w:marBottom w:val="0"/>
              <w:divBdr>
                <w:top w:val="none" w:sz="0" w:space="0" w:color="auto"/>
                <w:left w:val="none" w:sz="0" w:space="0" w:color="auto"/>
                <w:bottom w:val="none" w:sz="0" w:space="0" w:color="auto"/>
                <w:right w:val="none" w:sz="0" w:space="0" w:color="auto"/>
              </w:divBdr>
            </w:div>
            <w:div w:id="266621178">
              <w:marLeft w:val="0"/>
              <w:marRight w:val="0"/>
              <w:marTop w:val="0"/>
              <w:marBottom w:val="0"/>
              <w:divBdr>
                <w:top w:val="none" w:sz="0" w:space="0" w:color="auto"/>
                <w:left w:val="none" w:sz="0" w:space="0" w:color="auto"/>
                <w:bottom w:val="none" w:sz="0" w:space="0" w:color="auto"/>
                <w:right w:val="none" w:sz="0" w:space="0" w:color="auto"/>
              </w:divBdr>
            </w:div>
          </w:divsChild>
        </w:div>
        <w:div w:id="553396810">
          <w:marLeft w:val="0"/>
          <w:marRight w:val="0"/>
          <w:marTop w:val="0"/>
          <w:marBottom w:val="0"/>
          <w:divBdr>
            <w:top w:val="none" w:sz="0" w:space="0" w:color="auto"/>
            <w:left w:val="none" w:sz="0" w:space="0" w:color="auto"/>
            <w:bottom w:val="none" w:sz="0" w:space="0" w:color="auto"/>
            <w:right w:val="none" w:sz="0" w:space="0" w:color="auto"/>
          </w:divBdr>
          <w:divsChild>
            <w:div w:id="901599396">
              <w:marLeft w:val="0"/>
              <w:marRight w:val="0"/>
              <w:marTop w:val="0"/>
              <w:marBottom w:val="0"/>
              <w:divBdr>
                <w:top w:val="none" w:sz="0" w:space="0" w:color="auto"/>
                <w:left w:val="none" w:sz="0" w:space="0" w:color="auto"/>
                <w:bottom w:val="none" w:sz="0" w:space="0" w:color="auto"/>
                <w:right w:val="none" w:sz="0" w:space="0" w:color="auto"/>
              </w:divBdr>
            </w:div>
            <w:div w:id="1273168100">
              <w:marLeft w:val="0"/>
              <w:marRight w:val="0"/>
              <w:marTop w:val="0"/>
              <w:marBottom w:val="0"/>
              <w:divBdr>
                <w:top w:val="none" w:sz="0" w:space="0" w:color="auto"/>
                <w:left w:val="none" w:sz="0" w:space="0" w:color="auto"/>
                <w:bottom w:val="none" w:sz="0" w:space="0" w:color="auto"/>
                <w:right w:val="none" w:sz="0" w:space="0" w:color="auto"/>
              </w:divBdr>
            </w:div>
          </w:divsChild>
        </w:div>
        <w:div w:id="1620719221">
          <w:marLeft w:val="0"/>
          <w:marRight w:val="0"/>
          <w:marTop w:val="0"/>
          <w:marBottom w:val="0"/>
          <w:divBdr>
            <w:top w:val="none" w:sz="0" w:space="0" w:color="auto"/>
            <w:left w:val="none" w:sz="0" w:space="0" w:color="auto"/>
            <w:bottom w:val="none" w:sz="0" w:space="0" w:color="auto"/>
            <w:right w:val="none" w:sz="0" w:space="0" w:color="auto"/>
          </w:divBdr>
          <w:divsChild>
            <w:div w:id="1573655486">
              <w:marLeft w:val="0"/>
              <w:marRight w:val="0"/>
              <w:marTop w:val="0"/>
              <w:marBottom w:val="0"/>
              <w:divBdr>
                <w:top w:val="none" w:sz="0" w:space="0" w:color="auto"/>
                <w:left w:val="none" w:sz="0" w:space="0" w:color="auto"/>
                <w:bottom w:val="none" w:sz="0" w:space="0" w:color="auto"/>
                <w:right w:val="none" w:sz="0" w:space="0" w:color="auto"/>
              </w:divBdr>
            </w:div>
          </w:divsChild>
        </w:div>
        <w:div w:id="1314486776">
          <w:marLeft w:val="0"/>
          <w:marRight w:val="0"/>
          <w:marTop w:val="0"/>
          <w:marBottom w:val="0"/>
          <w:divBdr>
            <w:top w:val="none" w:sz="0" w:space="0" w:color="auto"/>
            <w:left w:val="none" w:sz="0" w:space="0" w:color="auto"/>
            <w:bottom w:val="none" w:sz="0" w:space="0" w:color="auto"/>
            <w:right w:val="none" w:sz="0" w:space="0" w:color="auto"/>
          </w:divBdr>
          <w:divsChild>
            <w:div w:id="799111990">
              <w:marLeft w:val="0"/>
              <w:marRight w:val="0"/>
              <w:marTop w:val="0"/>
              <w:marBottom w:val="0"/>
              <w:divBdr>
                <w:top w:val="none" w:sz="0" w:space="0" w:color="auto"/>
                <w:left w:val="none" w:sz="0" w:space="0" w:color="auto"/>
                <w:bottom w:val="none" w:sz="0" w:space="0" w:color="auto"/>
                <w:right w:val="none" w:sz="0" w:space="0" w:color="auto"/>
              </w:divBdr>
            </w:div>
            <w:div w:id="2005667853">
              <w:marLeft w:val="0"/>
              <w:marRight w:val="0"/>
              <w:marTop w:val="0"/>
              <w:marBottom w:val="0"/>
              <w:divBdr>
                <w:top w:val="none" w:sz="0" w:space="0" w:color="auto"/>
                <w:left w:val="none" w:sz="0" w:space="0" w:color="auto"/>
                <w:bottom w:val="none" w:sz="0" w:space="0" w:color="auto"/>
                <w:right w:val="none" w:sz="0" w:space="0" w:color="auto"/>
              </w:divBdr>
            </w:div>
          </w:divsChild>
        </w:div>
        <w:div w:id="179467478">
          <w:marLeft w:val="0"/>
          <w:marRight w:val="0"/>
          <w:marTop w:val="0"/>
          <w:marBottom w:val="0"/>
          <w:divBdr>
            <w:top w:val="none" w:sz="0" w:space="0" w:color="auto"/>
            <w:left w:val="none" w:sz="0" w:space="0" w:color="auto"/>
            <w:bottom w:val="none" w:sz="0" w:space="0" w:color="auto"/>
            <w:right w:val="none" w:sz="0" w:space="0" w:color="auto"/>
          </w:divBdr>
          <w:divsChild>
            <w:div w:id="1485462841">
              <w:marLeft w:val="0"/>
              <w:marRight w:val="0"/>
              <w:marTop w:val="0"/>
              <w:marBottom w:val="0"/>
              <w:divBdr>
                <w:top w:val="none" w:sz="0" w:space="0" w:color="auto"/>
                <w:left w:val="none" w:sz="0" w:space="0" w:color="auto"/>
                <w:bottom w:val="none" w:sz="0" w:space="0" w:color="auto"/>
                <w:right w:val="none" w:sz="0" w:space="0" w:color="auto"/>
              </w:divBdr>
            </w:div>
            <w:div w:id="1071586175">
              <w:marLeft w:val="0"/>
              <w:marRight w:val="0"/>
              <w:marTop w:val="0"/>
              <w:marBottom w:val="0"/>
              <w:divBdr>
                <w:top w:val="none" w:sz="0" w:space="0" w:color="auto"/>
                <w:left w:val="none" w:sz="0" w:space="0" w:color="auto"/>
                <w:bottom w:val="none" w:sz="0" w:space="0" w:color="auto"/>
                <w:right w:val="none" w:sz="0" w:space="0" w:color="auto"/>
              </w:divBdr>
            </w:div>
            <w:div w:id="1166674753">
              <w:marLeft w:val="0"/>
              <w:marRight w:val="0"/>
              <w:marTop w:val="0"/>
              <w:marBottom w:val="0"/>
              <w:divBdr>
                <w:top w:val="none" w:sz="0" w:space="0" w:color="auto"/>
                <w:left w:val="none" w:sz="0" w:space="0" w:color="auto"/>
                <w:bottom w:val="none" w:sz="0" w:space="0" w:color="auto"/>
                <w:right w:val="none" w:sz="0" w:space="0" w:color="auto"/>
              </w:divBdr>
            </w:div>
            <w:div w:id="493767352">
              <w:marLeft w:val="0"/>
              <w:marRight w:val="0"/>
              <w:marTop w:val="0"/>
              <w:marBottom w:val="0"/>
              <w:divBdr>
                <w:top w:val="none" w:sz="0" w:space="0" w:color="auto"/>
                <w:left w:val="none" w:sz="0" w:space="0" w:color="auto"/>
                <w:bottom w:val="none" w:sz="0" w:space="0" w:color="auto"/>
                <w:right w:val="none" w:sz="0" w:space="0" w:color="auto"/>
              </w:divBdr>
            </w:div>
          </w:divsChild>
        </w:div>
        <w:div w:id="835804939">
          <w:marLeft w:val="0"/>
          <w:marRight w:val="0"/>
          <w:marTop w:val="0"/>
          <w:marBottom w:val="0"/>
          <w:divBdr>
            <w:top w:val="none" w:sz="0" w:space="0" w:color="auto"/>
            <w:left w:val="none" w:sz="0" w:space="0" w:color="auto"/>
            <w:bottom w:val="none" w:sz="0" w:space="0" w:color="auto"/>
            <w:right w:val="none" w:sz="0" w:space="0" w:color="auto"/>
          </w:divBdr>
          <w:divsChild>
            <w:div w:id="1862015847">
              <w:marLeft w:val="0"/>
              <w:marRight w:val="0"/>
              <w:marTop w:val="0"/>
              <w:marBottom w:val="0"/>
              <w:divBdr>
                <w:top w:val="none" w:sz="0" w:space="0" w:color="auto"/>
                <w:left w:val="none" w:sz="0" w:space="0" w:color="auto"/>
                <w:bottom w:val="none" w:sz="0" w:space="0" w:color="auto"/>
                <w:right w:val="none" w:sz="0" w:space="0" w:color="auto"/>
              </w:divBdr>
            </w:div>
            <w:div w:id="1073090549">
              <w:marLeft w:val="0"/>
              <w:marRight w:val="0"/>
              <w:marTop w:val="0"/>
              <w:marBottom w:val="0"/>
              <w:divBdr>
                <w:top w:val="none" w:sz="0" w:space="0" w:color="auto"/>
                <w:left w:val="none" w:sz="0" w:space="0" w:color="auto"/>
                <w:bottom w:val="none" w:sz="0" w:space="0" w:color="auto"/>
                <w:right w:val="none" w:sz="0" w:space="0" w:color="auto"/>
              </w:divBdr>
            </w:div>
          </w:divsChild>
        </w:div>
        <w:div w:id="2074692354">
          <w:marLeft w:val="0"/>
          <w:marRight w:val="0"/>
          <w:marTop w:val="0"/>
          <w:marBottom w:val="0"/>
          <w:divBdr>
            <w:top w:val="none" w:sz="0" w:space="0" w:color="auto"/>
            <w:left w:val="none" w:sz="0" w:space="0" w:color="auto"/>
            <w:bottom w:val="none" w:sz="0" w:space="0" w:color="auto"/>
            <w:right w:val="none" w:sz="0" w:space="0" w:color="auto"/>
          </w:divBdr>
          <w:divsChild>
            <w:div w:id="1606305760">
              <w:marLeft w:val="0"/>
              <w:marRight w:val="0"/>
              <w:marTop w:val="0"/>
              <w:marBottom w:val="0"/>
              <w:divBdr>
                <w:top w:val="none" w:sz="0" w:space="0" w:color="auto"/>
                <w:left w:val="none" w:sz="0" w:space="0" w:color="auto"/>
                <w:bottom w:val="none" w:sz="0" w:space="0" w:color="auto"/>
                <w:right w:val="none" w:sz="0" w:space="0" w:color="auto"/>
              </w:divBdr>
            </w:div>
          </w:divsChild>
        </w:div>
        <w:div w:id="1506550030">
          <w:marLeft w:val="0"/>
          <w:marRight w:val="0"/>
          <w:marTop w:val="0"/>
          <w:marBottom w:val="0"/>
          <w:divBdr>
            <w:top w:val="none" w:sz="0" w:space="0" w:color="auto"/>
            <w:left w:val="none" w:sz="0" w:space="0" w:color="auto"/>
            <w:bottom w:val="none" w:sz="0" w:space="0" w:color="auto"/>
            <w:right w:val="none" w:sz="0" w:space="0" w:color="auto"/>
          </w:divBdr>
          <w:divsChild>
            <w:div w:id="865489492">
              <w:marLeft w:val="0"/>
              <w:marRight w:val="0"/>
              <w:marTop w:val="0"/>
              <w:marBottom w:val="0"/>
              <w:divBdr>
                <w:top w:val="none" w:sz="0" w:space="0" w:color="auto"/>
                <w:left w:val="none" w:sz="0" w:space="0" w:color="auto"/>
                <w:bottom w:val="none" w:sz="0" w:space="0" w:color="auto"/>
                <w:right w:val="none" w:sz="0" w:space="0" w:color="auto"/>
              </w:divBdr>
            </w:div>
            <w:div w:id="24984766">
              <w:marLeft w:val="0"/>
              <w:marRight w:val="0"/>
              <w:marTop w:val="0"/>
              <w:marBottom w:val="0"/>
              <w:divBdr>
                <w:top w:val="none" w:sz="0" w:space="0" w:color="auto"/>
                <w:left w:val="none" w:sz="0" w:space="0" w:color="auto"/>
                <w:bottom w:val="none" w:sz="0" w:space="0" w:color="auto"/>
                <w:right w:val="none" w:sz="0" w:space="0" w:color="auto"/>
              </w:divBdr>
            </w:div>
          </w:divsChild>
        </w:div>
        <w:div w:id="573928105">
          <w:marLeft w:val="0"/>
          <w:marRight w:val="0"/>
          <w:marTop w:val="0"/>
          <w:marBottom w:val="0"/>
          <w:divBdr>
            <w:top w:val="none" w:sz="0" w:space="0" w:color="auto"/>
            <w:left w:val="none" w:sz="0" w:space="0" w:color="auto"/>
            <w:bottom w:val="none" w:sz="0" w:space="0" w:color="auto"/>
            <w:right w:val="none" w:sz="0" w:space="0" w:color="auto"/>
          </w:divBdr>
          <w:divsChild>
            <w:div w:id="787092617">
              <w:marLeft w:val="0"/>
              <w:marRight w:val="0"/>
              <w:marTop w:val="0"/>
              <w:marBottom w:val="0"/>
              <w:divBdr>
                <w:top w:val="none" w:sz="0" w:space="0" w:color="auto"/>
                <w:left w:val="none" w:sz="0" w:space="0" w:color="auto"/>
                <w:bottom w:val="none" w:sz="0" w:space="0" w:color="auto"/>
                <w:right w:val="none" w:sz="0" w:space="0" w:color="auto"/>
              </w:divBdr>
            </w:div>
            <w:div w:id="1036809058">
              <w:marLeft w:val="0"/>
              <w:marRight w:val="0"/>
              <w:marTop w:val="0"/>
              <w:marBottom w:val="0"/>
              <w:divBdr>
                <w:top w:val="none" w:sz="0" w:space="0" w:color="auto"/>
                <w:left w:val="none" w:sz="0" w:space="0" w:color="auto"/>
                <w:bottom w:val="none" w:sz="0" w:space="0" w:color="auto"/>
                <w:right w:val="none" w:sz="0" w:space="0" w:color="auto"/>
              </w:divBdr>
            </w:div>
          </w:divsChild>
        </w:div>
        <w:div w:id="895895800">
          <w:marLeft w:val="0"/>
          <w:marRight w:val="0"/>
          <w:marTop w:val="0"/>
          <w:marBottom w:val="0"/>
          <w:divBdr>
            <w:top w:val="none" w:sz="0" w:space="0" w:color="auto"/>
            <w:left w:val="none" w:sz="0" w:space="0" w:color="auto"/>
            <w:bottom w:val="none" w:sz="0" w:space="0" w:color="auto"/>
            <w:right w:val="none" w:sz="0" w:space="0" w:color="auto"/>
          </w:divBdr>
          <w:divsChild>
            <w:div w:id="1508984340">
              <w:marLeft w:val="0"/>
              <w:marRight w:val="0"/>
              <w:marTop w:val="0"/>
              <w:marBottom w:val="0"/>
              <w:divBdr>
                <w:top w:val="none" w:sz="0" w:space="0" w:color="auto"/>
                <w:left w:val="none" w:sz="0" w:space="0" w:color="auto"/>
                <w:bottom w:val="none" w:sz="0" w:space="0" w:color="auto"/>
                <w:right w:val="none" w:sz="0" w:space="0" w:color="auto"/>
              </w:divBdr>
            </w:div>
            <w:div w:id="69232775">
              <w:marLeft w:val="0"/>
              <w:marRight w:val="0"/>
              <w:marTop w:val="0"/>
              <w:marBottom w:val="0"/>
              <w:divBdr>
                <w:top w:val="none" w:sz="0" w:space="0" w:color="auto"/>
                <w:left w:val="none" w:sz="0" w:space="0" w:color="auto"/>
                <w:bottom w:val="none" w:sz="0" w:space="0" w:color="auto"/>
                <w:right w:val="none" w:sz="0" w:space="0" w:color="auto"/>
              </w:divBdr>
            </w:div>
          </w:divsChild>
        </w:div>
        <w:div w:id="932713348">
          <w:marLeft w:val="0"/>
          <w:marRight w:val="0"/>
          <w:marTop w:val="0"/>
          <w:marBottom w:val="0"/>
          <w:divBdr>
            <w:top w:val="none" w:sz="0" w:space="0" w:color="auto"/>
            <w:left w:val="none" w:sz="0" w:space="0" w:color="auto"/>
            <w:bottom w:val="none" w:sz="0" w:space="0" w:color="auto"/>
            <w:right w:val="none" w:sz="0" w:space="0" w:color="auto"/>
          </w:divBdr>
          <w:divsChild>
            <w:div w:id="1886602303">
              <w:marLeft w:val="0"/>
              <w:marRight w:val="0"/>
              <w:marTop w:val="0"/>
              <w:marBottom w:val="0"/>
              <w:divBdr>
                <w:top w:val="none" w:sz="0" w:space="0" w:color="auto"/>
                <w:left w:val="none" w:sz="0" w:space="0" w:color="auto"/>
                <w:bottom w:val="none" w:sz="0" w:space="0" w:color="auto"/>
                <w:right w:val="none" w:sz="0" w:space="0" w:color="auto"/>
              </w:divBdr>
            </w:div>
          </w:divsChild>
        </w:div>
        <w:div w:id="1140607832">
          <w:marLeft w:val="0"/>
          <w:marRight w:val="0"/>
          <w:marTop w:val="0"/>
          <w:marBottom w:val="0"/>
          <w:divBdr>
            <w:top w:val="none" w:sz="0" w:space="0" w:color="auto"/>
            <w:left w:val="none" w:sz="0" w:space="0" w:color="auto"/>
            <w:bottom w:val="none" w:sz="0" w:space="0" w:color="auto"/>
            <w:right w:val="none" w:sz="0" w:space="0" w:color="auto"/>
          </w:divBdr>
          <w:divsChild>
            <w:div w:id="1015227242">
              <w:marLeft w:val="0"/>
              <w:marRight w:val="0"/>
              <w:marTop w:val="0"/>
              <w:marBottom w:val="0"/>
              <w:divBdr>
                <w:top w:val="none" w:sz="0" w:space="0" w:color="auto"/>
                <w:left w:val="none" w:sz="0" w:space="0" w:color="auto"/>
                <w:bottom w:val="none" w:sz="0" w:space="0" w:color="auto"/>
                <w:right w:val="none" w:sz="0" w:space="0" w:color="auto"/>
              </w:divBdr>
            </w:div>
            <w:div w:id="557516765">
              <w:marLeft w:val="0"/>
              <w:marRight w:val="0"/>
              <w:marTop w:val="0"/>
              <w:marBottom w:val="0"/>
              <w:divBdr>
                <w:top w:val="none" w:sz="0" w:space="0" w:color="auto"/>
                <w:left w:val="none" w:sz="0" w:space="0" w:color="auto"/>
                <w:bottom w:val="none" w:sz="0" w:space="0" w:color="auto"/>
                <w:right w:val="none" w:sz="0" w:space="0" w:color="auto"/>
              </w:divBdr>
            </w:div>
          </w:divsChild>
        </w:div>
        <w:div w:id="946620931">
          <w:marLeft w:val="0"/>
          <w:marRight w:val="0"/>
          <w:marTop w:val="0"/>
          <w:marBottom w:val="0"/>
          <w:divBdr>
            <w:top w:val="none" w:sz="0" w:space="0" w:color="auto"/>
            <w:left w:val="none" w:sz="0" w:space="0" w:color="auto"/>
            <w:bottom w:val="none" w:sz="0" w:space="0" w:color="auto"/>
            <w:right w:val="none" w:sz="0" w:space="0" w:color="auto"/>
          </w:divBdr>
          <w:divsChild>
            <w:div w:id="151412686">
              <w:marLeft w:val="0"/>
              <w:marRight w:val="0"/>
              <w:marTop w:val="0"/>
              <w:marBottom w:val="0"/>
              <w:divBdr>
                <w:top w:val="none" w:sz="0" w:space="0" w:color="auto"/>
                <w:left w:val="none" w:sz="0" w:space="0" w:color="auto"/>
                <w:bottom w:val="none" w:sz="0" w:space="0" w:color="auto"/>
                <w:right w:val="none" w:sz="0" w:space="0" w:color="auto"/>
              </w:divBdr>
            </w:div>
            <w:div w:id="1085608022">
              <w:marLeft w:val="0"/>
              <w:marRight w:val="0"/>
              <w:marTop w:val="0"/>
              <w:marBottom w:val="0"/>
              <w:divBdr>
                <w:top w:val="none" w:sz="0" w:space="0" w:color="auto"/>
                <w:left w:val="none" w:sz="0" w:space="0" w:color="auto"/>
                <w:bottom w:val="none" w:sz="0" w:space="0" w:color="auto"/>
                <w:right w:val="none" w:sz="0" w:space="0" w:color="auto"/>
              </w:divBdr>
            </w:div>
          </w:divsChild>
        </w:div>
        <w:div w:id="822699849">
          <w:marLeft w:val="0"/>
          <w:marRight w:val="0"/>
          <w:marTop w:val="0"/>
          <w:marBottom w:val="0"/>
          <w:divBdr>
            <w:top w:val="none" w:sz="0" w:space="0" w:color="auto"/>
            <w:left w:val="none" w:sz="0" w:space="0" w:color="auto"/>
            <w:bottom w:val="none" w:sz="0" w:space="0" w:color="auto"/>
            <w:right w:val="none" w:sz="0" w:space="0" w:color="auto"/>
          </w:divBdr>
          <w:divsChild>
            <w:div w:id="1832018454">
              <w:marLeft w:val="0"/>
              <w:marRight w:val="0"/>
              <w:marTop w:val="0"/>
              <w:marBottom w:val="0"/>
              <w:divBdr>
                <w:top w:val="none" w:sz="0" w:space="0" w:color="auto"/>
                <w:left w:val="none" w:sz="0" w:space="0" w:color="auto"/>
                <w:bottom w:val="none" w:sz="0" w:space="0" w:color="auto"/>
                <w:right w:val="none" w:sz="0" w:space="0" w:color="auto"/>
              </w:divBdr>
            </w:div>
            <w:div w:id="2074543806">
              <w:marLeft w:val="0"/>
              <w:marRight w:val="0"/>
              <w:marTop w:val="0"/>
              <w:marBottom w:val="0"/>
              <w:divBdr>
                <w:top w:val="none" w:sz="0" w:space="0" w:color="auto"/>
                <w:left w:val="none" w:sz="0" w:space="0" w:color="auto"/>
                <w:bottom w:val="none" w:sz="0" w:space="0" w:color="auto"/>
                <w:right w:val="none" w:sz="0" w:space="0" w:color="auto"/>
              </w:divBdr>
            </w:div>
          </w:divsChild>
        </w:div>
        <w:div w:id="164368875">
          <w:marLeft w:val="0"/>
          <w:marRight w:val="0"/>
          <w:marTop w:val="0"/>
          <w:marBottom w:val="0"/>
          <w:divBdr>
            <w:top w:val="none" w:sz="0" w:space="0" w:color="auto"/>
            <w:left w:val="none" w:sz="0" w:space="0" w:color="auto"/>
            <w:bottom w:val="none" w:sz="0" w:space="0" w:color="auto"/>
            <w:right w:val="none" w:sz="0" w:space="0" w:color="auto"/>
          </w:divBdr>
          <w:divsChild>
            <w:div w:id="289871250">
              <w:marLeft w:val="0"/>
              <w:marRight w:val="0"/>
              <w:marTop w:val="0"/>
              <w:marBottom w:val="0"/>
              <w:divBdr>
                <w:top w:val="none" w:sz="0" w:space="0" w:color="auto"/>
                <w:left w:val="none" w:sz="0" w:space="0" w:color="auto"/>
                <w:bottom w:val="none" w:sz="0" w:space="0" w:color="auto"/>
                <w:right w:val="none" w:sz="0" w:space="0" w:color="auto"/>
              </w:divBdr>
            </w:div>
            <w:div w:id="395058490">
              <w:marLeft w:val="0"/>
              <w:marRight w:val="0"/>
              <w:marTop w:val="0"/>
              <w:marBottom w:val="0"/>
              <w:divBdr>
                <w:top w:val="none" w:sz="0" w:space="0" w:color="auto"/>
                <w:left w:val="none" w:sz="0" w:space="0" w:color="auto"/>
                <w:bottom w:val="none" w:sz="0" w:space="0" w:color="auto"/>
                <w:right w:val="none" w:sz="0" w:space="0" w:color="auto"/>
              </w:divBdr>
            </w:div>
            <w:div w:id="981731552">
              <w:marLeft w:val="0"/>
              <w:marRight w:val="0"/>
              <w:marTop w:val="0"/>
              <w:marBottom w:val="0"/>
              <w:divBdr>
                <w:top w:val="none" w:sz="0" w:space="0" w:color="auto"/>
                <w:left w:val="none" w:sz="0" w:space="0" w:color="auto"/>
                <w:bottom w:val="none" w:sz="0" w:space="0" w:color="auto"/>
                <w:right w:val="none" w:sz="0" w:space="0" w:color="auto"/>
              </w:divBdr>
            </w:div>
          </w:divsChild>
        </w:div>
        <w:div w:id="171577909">
          <w:marLeft w:val="0"/>
          <w:marRight w:val="0"/>
          <w:marTop w:val="0"/>
          <w:marBottom w:val="0"/>
          <w:divBdr>
            <w:top w:val="none" w:sz="0" w:space="0" w:color="auto"/>
            <w:left w:val="none" w:sz="0" w:space="0" w:color="auto"/>
            <w:bottom w:val="none" w:sz="0" w:space="0" w:color="auto"/>
            <w:right w:val="none" w:sz="0" w:space="0" w:color="auto"/>
          </w:divBdr>
          <w:divsChild>
            <w:div w:id="1891457386">
              <w:marLeft w:val="0"/>
              <w:marRight w:val="0"/>
              <w:marTop w:val="0"/>
              <w:marBottom w:val="0"/>
              <w:divBdr>
                <w:top w:val="none" w:sz="0" w:space="0" w:color="auto"/>
                <w:left w:val="none" w:sz="0" w:space="0" w:color="auto"/>
                <w:bottom w:val="none" w:sz="0" w:space="0" w:color="auto"/>
                <w:right w:val="none" w:sz="0" w:space="0" w:color="auto"/>
              </w:divBdr>
            </w:div>
            <w:div w:id="1831098765">
              <w:marLeft w:val="0"/>
              <w:marRight w:val="0"/>
              <w:marTop w:val="0"/>
              <w:marBottom w:val="0"/>
              <w:divBdr>
                <w:top w:val="none" w:sz="0" w:space="0" w:color="auto"/>
                <w:left w:val="none" w:sz="0" w:space="0" w:color="auto"/>
                <w:bottom w:val="none" w:sz="0" w:space="0" w:color="auto"/>
                <w:right w:val="none" w:sz="0" w:space="0" w:color="auto"/>
              </w:divBdr>
            </w:div>
          </w:divsChild>
        </w:div>
        <w:div w:id="807674025">
          <w:marLeft w:val="0"/>
          <w:marRight w:val="0"/>
          <w:marTop w:val="0"/>
          <w:marBottom w:val="0"/>
          <w:divBdr>
            <w:top w:val="none" w:sz="0" w:space="0" w:color="auto"/>
            <w:left w:val="none" w:sz="0" w:space="0" w:color="auto"/>
            <w:bottom w:val="none" w:sz="0" w:space="0" w:color="auto"/>
            <w:right w:val="none" w:sz="0" w:space="0" w:color="auto"/>
          </w:divBdr>
          <w:divsChild>
            <w:div w:id="171385552">
              <w:marLeft w:val="0"/>
              <w:marRight w:val="0"/>
              <w:marTop w:val="0"/>
              <w:marBottom w:val="0"/>
              <w:divBdr>
                <w:top w:val="none" w:sz="0" w:space="0" w:color="auto"/>
                <w:left w:val="none" w:sz="0" w:space="0" w:color="auto"/>
                <w:bottom w:val="none" w:sz="0" w:space="0" w:color="auto"/>
                <w:right w:val="none" w:sz="0" w:space="0" w:color="auto"/>
              </w:divBdr>
            </w:div>
            <w:div w:id="243801249">
              <w:marLeft w:val="0"/>
              <w:marRight w:val="0"/>
              <w:marTop w:val="0"/>
              <w:marBottom w:val="0"/>
              <w:divBdr>
                <w:top w:val="none" w:sz="0" w:space="0" w:color="auto"/>
                <w:left w:val="none" w:sz="0" w:space="0" w:color="auto"/>
                <w:bottom w:val="none" w:sz="0" w:space="0" w:color="auto"/>
                <w:right w:val="none" w:sz="0" w:space="0" w:color="auto"/>
              </w:divBdr>
            </w:div>
            <w:div w:id="1946689858">
              <w:marLeft w:val="0"/>
              <w:marRight w:val="0"/>
              <w:marTop w:val="0"/>
              <w:marBottom w:val="0"/>
              <w:divBdr>
                <w:top w:val="none" w:sz="0" w:space="0" w:color="auto"/>
                <w:left w:val="none" w:sz="0" w:space="0" w:color="auto"/>
                <w:bottom w:val="none" w:sz="0" w:space="0" w:color="auto"/>
                <w:right w:val="none" w:sz="0" w:space="0" w:color="auto"/>
              </w:divBdr>
            </w:div>
            <w:div w:id="955064463">
              <w:marLeft w:val="0"/>
              <w:marRight w:val="0"/>
              <w:marTop w:val="0"/>
              <w:marBottom w:val="0"/>
              <w:divBdr>
                <w:top w:val="none" w:sz="0" w:space="0" w:color="auto"/>
                <w:left w:val="none" w:sz="0" w:space="0" w:color="auto"/>
                <w:bottom w:val="none" w:sz="0" w:space="0" w:color="auto"/>
                <w:right w:val="none" w:sz="0" w:space="0" w:color="auto"/>
              </w:divBdr>
            </w:div>
          </w:divsChild>
        </w:div>
        <w:div w:id="661590111">
          <w:marLeft w:val="0"/>
          <w:marRight w:val="0"/>
          <w:marTop w:val="0"/>
          <w:marBottom w:val="0"/>
          <w:divBdr>
            <w:top w:val="none" w:sz="0" w:space="0" w:color="auto"/>
            <w:left w:val="none" w:sz="0" w:space="0" w:color="auto"/>
            <w:bottom w:val="none" w:sz="0" w:space="0" w:color="auto"/>
            <w:right w:val="none" w:sz="0" w:space="0" w:color="auto"/>
          </w:divBdr>
          <w:divsChild>
            <w:div w:id="361397870">
              <w:marLeft w:val="0"/>
              <w:marRight w:val="0"/>
              <w:marTop w:val="0"/>
              <w:marBottom w:val="0"/>
              <w:divBdr>
                <w:top w:val="none" w:sz="0" w:space="0" w:color="auto"/>
                <w:left w:val="none" w:sz="0" w:space="0" w:color="auto"/>
                <w:bottom w:val="none" w:sz="0" w:space="0" w:color="auto"/>
                <w:right w:val="none" w:sz="0" w:space="0" w:color="auto"/>
              </w:divBdr>
            </w:div>
            <w:div w:id="4678399">
              <w:marLeft w:val="0"/>
              <w:marRight w:val="0"/>
              <w:marTop w:val="0"/>
              <w:marBottom w:val="0"/>
              <w:divBdr>
                <w:top w:val="none" w:sz="0" w:space="0" w:color="auto"/>
                <w:left w:val="none" w:sz="0" w:space="0" w:color="auto"/>
                <w:bottom w:val="none" w:sz="0" w:space="0" w:color="auto"/>
                <w:right w:val="none" w:sz="0" w:space="0" w:color="auto"/>
              </w:divBdr>
            </w:div>
            <w:div w:id="1855335912">
              <w:marLeft w:val="0"/>
              <w:marRight w:val="0"/>
              <w:marTop w:val="0"/>
              <w:marBottom w:val="0"/>
              <w:divBdr>
                <w:top w:val="none" w:sz="0" w:space="0" w:color="auto"/>
                <w:left w:val="none" w:sz="0" w:space="0" w:color="auto"/>
                <w:bottom w:val="none" w:sz="0" w:space="0" w:color="auto"/>
                <w:right w:val="none" w:sz="0" w:space="0" w:color="auto"/>
              </w:divBdr>
            </w:div>
          </w:divsChild>
        </w:div>
        <w:div w:id="2088375505">
          <w:marLeft w:val="0"/>
          <w:marRight w:val="0"/>
          <w:marTop w:val="0"/>
          <w:marBottom w:val="0"/>
          <w:divBdr>
            <w:top w:val="none" w:sz="0" w:space="0" w:color="auto"/>
            <w:left w:val="none" w:sz="0" w:space="0" w:color="auto"/>
            <w:bottom w:val="none" w:sz="0" w:space="0" w:color="auto"/>
            <w:right w:val="none" w:sz="0" w:space="0" w:color="auto"/>
          </w:divBdr>
          <w:divsChild>
            <w:div w:id="161243666">
              <w:marLeft w:val="0"/>
              <w:marRight w:val="0"/>
              <w:marTop w:val="0"/>
              <w:marBottom w:val="0"/>
              <w:divBdr>
                <w:top w:val="none" w:sz="0" w:space="0" w:color="auto"/>
                <w:left w:val="none" w:sz="0" w:space="0" w:color="auto"/>
                <w:bottom w:val="none" w:sz="0" w:space="0" w:color="auto"/>
                <w:right w:val="none" w:sz="0" w:space="0" w:color="auto"/>
              </w:divBdr>
            </w:div>
          </w:divsChild>
        </w:div>
        <w:div w:id="609312101">
          <w:marLeft w:val="0"/>
          <w:marRight w:val="0"/>
          <w:marTop w:val="0"/>
          <w:marBottom w:val="0"/>
          <w:divBdr>
            <w:top w:val="none" w:sz="0" w:space="0" w:color="auto"/>
            <w:left w:val="none" w:sz="0" w:space="0" w:color="auto"/>
            <w:bottom w:val="none" w:sz="0" w:space="0" w:color="auto"/>
            <w:right w:val="none" w:sz="0" w:space="0" w:color="auto"/>
          </w:divBdr>
          <w:divsChild>
            <w:div w:id="359161540">
              <w:marLeft w:val="0"/>
              <w:marRight w:val="0"/>
              <w:marTop w:val="0"/>
              <w:marBottom w:val="0"/>
              <w:divBdr>
                <w:top w:val="none" w:sz="0" w:space="0" w:color="auto"/>
                <w:left w:val="none" w:sz="0" w:space="0" w:color="auto"/>
                <w:bottom w:val="none" w:sz="0" w:space="0" w:color="auto"/>
                <w:right w:val="none" w:sz="0" w:space="0" w:color="auto"/>
              </w:divBdr>
            </w:div>
          </w:divsChild>
        </w:div>
        <w:div w:id="1824851077">
          <w:marLeft w:val="0"/>
          <w:marRight w:val="0"/>
          <w:marTop w:val="0"/>
          <w:marBottom w:val="0"/>
          <w:divBdr>
            <w:top w:val="none" w:sz="0" w:space="0" w:color="auto"/>
            <w:left w:val="none" w:sz="0" w:space="0" w:color="auto"/>
            <w:bottom w:val="none" w:sz="0" w:space="0" w:color="auto"/>
            <w:right w:val="none" w:sz="0" w:space="0" w:color="auto"/>
          </w:divBdr>
          <w:divsChild>
            <w:div w:id="7946584">
              <w:marLeft w:val="0"/>
              <w:marRight w:val="0"/>
              <w:marTop w:val="0"/>
              <w:marBottom w:val="0"/>
              <w:divBdr>
                <w:top w:val="none" w:sz="0" w:space="0" w:color="auto"/>
                <w:left w:val="none" w:sz="0" w:space="0" w:color="auto"/>
                <w:bottom w:val="none" w:sz="0" w:space="0" w:color="auto"/>
                <w:right w:val="none" w:sz="0" w:space="0" w:color="auto"/>
              </w:divBdr>
            </w:div>
            <w:div w:id="1835341234">
              <w:marLeft w:val="0"/>
              <w:marRight w:val="0"/>
              <w:marTop w:val="0"/>
              <w:marBottom w:val="0"/>
              <w:divBdr>
                <w:top w:val="none" w:sz="0" w:space="0" w:color="auto"/>
                <w:left w:val="none" w:sz="0" w:space="0" w:color="auto"/>
                <w:bottom w:val="none" w:sz="0" w:space="0" w:color="auto"/>
                <w:right w:val="none" w:sz="0" w:space="0" w:color="auto"/>
              </w:divBdr>
            </w:div>
          </w:divsChild>
        </w:div>
        <w:div w:id="1532719994">
          <w:marLeft w:val="0"/>
          <w:marRight w:val="0"/>
          <w:marTop w:val="0"/>
          <w:marBottom w:val="0"/>
          <w:divBdr>
            <w:top w:val="none" w:sz="0" w:space="0" w:color="auto"/>
            <w:left w:val="none" w:sz="0" w:space="0" w:color="auto"/>
            <w:bottom w:val="none" w:sz="0" w:space="0" w:color="auto"/>
            <w:right w:val="none" w:sz="0" w:space="0" w:color="auto"/>
          </w:divBdr>
          <w:divsChild>
            <w:div w:id="1771508770">
              <w:marLeft w:val="0"/>
              <w:marRight w:val="0"/>
              <w:marTop w:val="0"/>
              <w:marBottom w:val="0"/>
              <w:divBdr>
                <w:top w:val="none" w:sz="0" w:space="0" w:color="auto"/>
                <w:left w:val="none" w:sz="0" w:space="0" w:color="auto"/>
                <w:bottom w:val="none" w:sz="0" w:space="0" w:color="auto"/>
                <w:right w:val="none" w:sz="0" w:space="0" w:color="auto"/>
              </w:divBdr>
            </w:div>
            <w:div w:id="1309631384">
              <w:marLeft w:val="0"/>
              <w:marRight w:val="0"/>
              <w:marTop w:val="0"/>
              <w:marBottom w:val="0"/>
              <w:divBdr>
                <w:top w:val="none" w:sz="0" w:space="0" w:color="auto"/>
                <w:left w:val="none" w:sz="0" w:space="0" w:color="auto"/>
                <w:bottom w:val="none" w:sz="0" w:space="0" w:color="auto"/>
                <w:right w:val="none" w:sz="0" w:space="0" w:color="auto"/>
              </w:divBdr>
            </w:div>
          </w:divsChild>
        </w:div>
        <w:div w:id="2117404668">
          <w:marLeft w:val="0"/>
          <w:marRight w:val="0"/>
          <w:marTop w:val="0"/>
          <w:marBottom w:val="0"/>
          <w:divBdr>
            <w:top w:val="none" w:sz="0" w:space="0" w:color="auto"/>
            <w:left w:val="none" w:sz="0" w:space="0" w:color="auto"/>
            <w:bottom w:val="none" w:sz="0" w:space="0" w:color="auto"/>
            <w:right w:val="none" w:sz="0" w:space="0" w:color="auto"/>
          </w:divBdr>
          <w:divsChild>
            <w:div w:id="923338003">
              <w:marLeft w:val="0"/>
              <w:marRight w:val="0"/>
              <w:marTop w:val="0"/>
              <w:marBottom w:val="0"/>
              <w:divBdr>
                <w:top w:val="none" w:sz="0" w:space="0" w:color="auto"/>
                <w:left w:val="none" w:sz="0" w:space="0" w:color="auto"/>
                <w:bottom w:val="none" w:sz="0" w:space="0" w:color="auto"/>
                <w:right w:val="none" w:sz="0" w:space="0" w:color="auto"/>
              </w:divBdr>
            </w:div>
            <w:div w:id="1048915808">
              <w:marLeft w:val="0"/>
              <w:marRight w:val="0"/>
              <w:marTop w:val="0"/>
              <w:marBottom w:val="0"/>
              <w:divBdr>
                <w:top w:val="none" w:sz="0" w:space="0" w:color="auto"/>
                <w:left w:val="none" w:sz="0" w:space="0" w:color="auto"/>
                <w:bottom w:val="none" w:sz="0" w:space="0" w:color="auto"/>
                <w:right w:val="none" w:sz="0" w:space="0" w:color="auto"/>
              </w:divBdr>
            </w:div>
          </w:divsChild>
        </w:div>
        <w:div w:id="1233740711">
          <w:marLeft w:val="0"/>
          <w:marRight w:val="0"/>
          <w:marTop w:val="0"/>
          <w:marBottom w:val="0"/>
          <w:divBdr>
            <w:top w:val="none" w:sz="0" w:space="0" w:color="auto"/>
            <w:left w:val="none" w:sz="0" w:space="0" w:color="auto"/>
            <w:bottom w:val="none" w:sz="0" w:space="0" w:color="auto"/>
            <w:right w:val="none" w:sz="0" w:space="0" w:color="auto"/>
          </w:divBdr>
          <w:divsChild>
            <w:div w:id="1477067676">
              <w:marLeft w:val="0"/>
              <w:marRight w:val="0"/>
              <w:marTop w:val="0"/>
              <w:marBottom w:val="0"/>
              <w:divBdr>
                <w:top w:val="none" w:sz="0" w:space="0" w:color="auto"/>
                <w:left w:val="none" w:sz="0" w:space="0" w:color="auto"/>
                <w:bottom w:val="none" w:sz="0" w:space="0" w:color="auto"/>
                <w:right w:val="none" w:sz="0" w:space="0" w:color="auto"/>
              </w:divBdr>
            </w:div>
          </w:divsChild>
        </w:div>
        <w:div w:id="213583114">
          <w:marLeft w:val="0"/>
          <w:marRight w:val="0"/>
          <w:marTop w:val="0"/>
          <w:marBottom w:val="0"/>
          <w:divBdr>
            <w:top w:val="none" w:sz="0" w:space="0" w:color="auto"/>
            <w:left w:val="none" w:sz="0" w:space="0" w:color="auto"/>
            <w:bottom w:val="none" w:sz="0" w:space="0" w:color="auto"/>
            <w:right w:val="none" w:sz="0" w:space="0" w:color="auto"/>
          </w:divBdr>
          <w:divsChild>
            <w:div w:id="551113997">
              <w:marLeft w:val="0"/>
              <w:marRight w:val="0"/>
              <w:marTop w:val="0"/>
              <w:marBottom w:val="0"/>
              <w:divBdr>
                <w:top w:val="none" w:sz="0" w:space="0" w:color="auto"/>
                <w:left w:val="none" w:sz="0" w:space="0" w:color="auto"/>
                <w:bottom w:val="none" w:sz="0" w:space="0" w:color="auto"/>
                <w:right w:val="none" w:sz="0" w:space="0" w:color="auto"/>
              </w:divBdr>
            </w:div>
            <w:div w:id="2092778537">
              <w:marLeft w:val="0"/>
              <w:marRight w:val="0"/>
              <w:marTop w:val="0"/>
              <w:marBottom w:val="0"/>
              <w:divBdr>
                <w:top w:val="none" w:sz="0" w:space="0" w:color="auto"/>
                <w:left w:val="none" w:sz="0" w:space="0" w:color="auto"/>
                <w:bottom w:val="none" w:sz="0" w:space="0" w:color="auto"/>
                <w:right w:val="none" w:sz="0" w:space="0" w:color="auto"/>
              </w:divBdr>
            </w:div>
            <w:div w:id="1996687030">
              <w:marLeft w:val="0"/>
              <w:marRight w:val="0"/>
              <w:marTop w:val="0"/>
              <w:marBottom w:val="0"/>
              <w:divBdr>
                <w:top w:val="none" w:sz="0" w:space="0" w:color="auto"/>
                <w:left w:val="none" w:sz="0" w:space="0" w:color="auto"/>
                <w:bottom w:val="none" w:sz="0" w:space="0" w:color="auto"/>
                <w:right w:val="none" w:sz="0" w:space="0" w:color="auto"/>
              </w:divBdr>
            </w:div>
          </w:divsChild>
        </w:div>
        <w:div w:id="1931548502">
          <w:marLeft w:val="0"/>
          <w:marRight w:val="0"/>
          <w:marTop w:val="0"/>
          <w:marBottom w:val="0"/>
          <w:divBdr>
            <w:top w:val="none" w:sz="0" w:space="0" w:color="auto"/>
            <w:left w:val="none" w:sz="0" w:space="0" w:color="auto"/>
            <w:bottom w:val="none" w:sz="0" w:space="0" w:color="auto"/>
            <w:right w:val="none" w:sz="0" w:space="0" w:color="auto"/>
          </w:divBdr>
          <w:divsChild>
            <w:div w:id="1659574211">
              <w:marLeft w:val="0"/>
              <w:marRight w:val="0"/>
              <w:marTop w:val="0"/>
              <w:marBottom w:val="0"/>
              <w:divBdr>
                <w:top w:val="none" w:sz="0" w:space="0" w:color="auto"/>
                <w:left w:val="none" w:sz="0" w:space="0" w:color="auto"/>
                <w:bottom w:val="none" w:sz="0" w:space="0" w:color="auto"/>
                <w:right w:val="none" w:sz="0" w:space="0" w:color="auto"/>
              </w:divBdr>
            </w:div>
            <w:div w:id="655642917">
              <w:marLeft w:val="0"/>
              <w:marRight w:val="0"/>
              <w:marTop w:val="0"/>
              <w:marBottom w:val="0"/>
              <w:divBdr>
                <w:top w:val="none" w:sz="0" w:space="0" w:color="auto"/>
                <w:left w:val="none" w:sz="0" w:space="0" w:color="auto"/>
                <w:bottom w:val="none" w:sz="0" w:space="0" w:color="auto"/>
                <w:right w:val="none" w:sz="0" w:space="0" w:color="auto"/>
              </w:divBdr>
            </w:div>
            <w:div w:id="1527602699">
              <w:marLeft w:val="0"/>
              <w:marRight w:val="0"/>
              <w:marTop w:val="0"/>
              <w:marBottom w:val="0"/>
              <w:divBdr>
                <w:top w:val="none" w:sz="0" w:space="0" w:color="auto"/>
                <w:left w:val="none" w:sz="0" w:space="0" w:color="auto"/>
                <w:bottom w:val="none" w:sz="0" w:space="0" w:color="auto"/>
                <w:right w:val="none" w:sz="0" w:space="0" w:color="auto"/>
              </w:divBdr>
            </w:div>
            <w:div w:id="1759207370">
              <w:marLeft w:val="0"/>
              <w:marRight w:val="0"/>
              <w:marTop w:val="0"/>
              <w:marBottom w:val="0"/>
              <w:divBdr>
                <w:top w:val="none" w:sz="0" w:space="0" w:color="auto"/>
                <w:left w:val="none" w:sz="0" w:space="0" w:color="auto"/>
                <w:bottom w:val="none" w:sz="0" w:space="0" w:color="auto"/>
                <w:right w:val="none" w:sz="0" w:space="0" w:color="auto"/>
              </w:divBdr>
            </w:div>
          </w:divsChild>
        </w:div>
        <w:div w:id="555047139">
          <w:marLeft w:val="0"/>
          <w:marRight w:val="0"/>
          <w:marTop w:val="0"/>
          <w:marBottom w:val="0"/>
          <w:divBdr>
            <w:top w:val="none" w:sz="0" w:space="0" w:color="auto"/>
            <w:left w:val="none" w:sz="0" w:space="0" w:color="auto"/>
            <w:bottom w:val="none" w:sz="0" w:space="0" w:color="auto"/>
            <w:right w:val="none" w:sz="0" w:space="0" w:color="auto"/>
          </w:divBdr>
          <w:divsChild>
            <w:div w:id="1601571779">
              <w:marLeft w:val="0"/>
              <w:marRight w:val="0"/>
              <w:marTop w:val="0"/>
              <w:marBottom w:val="0"/>
              <w:divBdr>
                <w:top w:val="none" w:sz="0" w:space="0" w:color="auto"/>
                <w:left w:val="none" w:sz="0" w:space="0" w:color="auto"/>
                <w:bottom w:val="none" w:sz="0" w:space="0" w:color="auto"/>
                <w:right w:val="none" w:sz="0" w:space="0" w:color="auto"/>
              </w:divBdr>
            </w:div>
            <w:div w:id="1190414385">
              <w:marLeft w:val="0"/>
              <w:marRight w:val="0"/>
              <w:marTop w:val="0"/>
              <w:marBottom w:val="0"/>
              <w:divBdr>
                <w:top w:val="none" w:sz="0" w:space="0" w:color="auto"/>
                <w:left w:val="none" w:sz="0" w:space="0" w:color="auto"/>
                <w:bottom w:val="none" w:sz="0" w:space="0" w:color="auto"/>
                <w:right w:val="none" w:sz="0" w:space="0" w:color="auto"/>
              </w:divBdr>
            </w:div>
          </w:divsChild>
        </w:div>
        <w:div w:id="1737164592">
          <w:marLeft w:val="0"/>
          <w:marRight w:val="0"/>
          <w:marTop w:val="0"/>
          <w:marBottom w:val="0"/>
          <w:divBdr>
            <w:top w:val="none" w:sz="0" w:space="0" w:color="auto"/>
            <w:left w:val="none" w:sz="0" w:space="0" w:color="auto"/>
            <w:bottom w:val="none" w:sz="0" w:space="0" w:color="auto"/>
            <w:right w:val="none" w:sz="0" w:space="0" w:color="auto"/>
          </w:divBdr>
          <w:divsChild>
            <w:div w:id="507914672">
              <w:marLeft w:val="0"/>
              <w:marRight w:val="0"/>
              <w:marTop w:val="0"/>
              <w:marBottom w:val="0"/>
              <w:divBdr>
                <w:top w:val="none" w:sz="0" w:space="0" w:color="auto"/>
                <w:left w:val="none" w:sz="0" w:space="0" w:color="auto"/>
                <w:bottom w:val="none" w:sz="0" w:space="0" w:color="auto"/>
                <w:right w:val="none" w:sz="0" w:space="0" w:color="auto"/>
              </w:divBdr>
            </w:div>
          </w:divsChild>
        </w:div>
        <w:div w:id="161285292">
          <w:marLeft w:val="0"/>
          <w:marRight w:val="0"/>
          <w:marTop w:val="0"/>
          <w:marBottom w:val="0"/>
          <w:divBdr>
            <w:top w:val="none" w:sz="0" w:space="0" w:color="auto"/>
            <w:left w:val="none" w:sz="0" w:space="0" w:color="auto"/>
            <w:bottom w:val="none" w:sz="0" w:space="0" w:color="auto"/>
            <w:right w:val="none" w:sz="0" w:space="0" w:color="auto"/>
          </w:divBdr>
          <w:divsChild>
            <w:div w:id="1325860965">
              <w:marLeft w:val="0"/>
              <w:marRight w:val="0"/>
              <w:marTop w:val="0"/>
              <w:marBottom w:val="0"/>
              <w:divBdr>
                <w:top w:val="none" w:sz="0" w:space="0" w:color="auto"/>
                <w:left w:val="none" w:sz="0" w:space="0" w:color="auto"/>
                <w:bottom w:val="none" w:sz="0" w:space="0" w:color="auto"/>
                <w:right w:val="none" w:sz="0" w:space="0" w:color="auto"/>
              </w:divBdr>
            </w:div>
            <w:div w:id="670568567">
              <w:marLeft w:val="0"/>
              <w:marRight w:val="0"/>
              <w:marTop w:val="0"/>
              <w:marBottom w:val="0"/>
              <w:divBdr>
                <w:top w:val="none" w:sz="0" w:space="0" w:color="auto"/>
                <w:left w:val="none" w:sz="0" w:space="0" w:color="auto"/>
                <w:bottom w:val="none" w:sz="0" w:space="0" w:color="auto"/>
                <w:right w:val="none" w:sz="0" w:space="0" w:color="auto"/>
              </w:divBdr>
            </w:div>
            <w:div w:id="1137259857">
              <w:marLeft w:val="0"/>
              <w:marRight w:val="0"/>
              <w:marTop w:val="0"/>
              <w:marBottom w:val="0"/>
              <w:divBdr>
                <w:top w:val="none" w:sz="0" w:space="0" w:color="auto"/>
                <w:left w:val="none" w:sz="0" w:space="0" w:color="auto"/>
                <w:bottom w:val="none" w:sz="0" w:space="0" w:color="auto"/>
                <w:right w:val="none" w:sz="0" w:space="0" w:color="auto"/>
              </w:divBdr>
            </w:div>
          </w:divsChild>
        </w:div>
        <w:div w:id="1813327160">
          <w:marLeft w:val="0"/>
          <w:marRight w:val="0"/>
          <w:marTop w:val="0"/>
          <w:marBottom w:val="0"/>
          <w:divBdr>
            <w:top w:val="none" w:sz="0" w:space="0" w:color="auto"/>
            <w:left w:val="none" w:sz="0" w:space="0" w:color="auto"/>
            <w:bottom w:val="none" w:sz="0" w:space="0" w:color="auto"/>
            <w:right w:val="none" w:sz="0" w:space="0" w:color="auto"/>
          </w:divBdr>
          <w:divsChild>
            <w:div w:id="1160779869">
              <w:marLeft w:val="0"/>
              <w:marRight w:val="0"/>
              <w:marTop w:val="0"/>
              <w:marBottom w:val="0"/>
              <w:divBdr>
                <w:top w:val="none" w:sz="0" w:space="0" w:color="auto"/>
                <w:left w:val="none" w:sz="0" w:space="0" w:color="auto"/>
                <w:bottom w:val="none" w:sz="0" w:space="0" w:color="auto"/>
                <w:right w:val="none" w:sz="0" w:space="0" w:color="auto"/>
              </w:divBdr>
            </w:div>
            <w:div w:id="1927491200">
              <w:marLeft w:val="0"/>
              <w:marRight w:val="0"/>
              <w:marTop w:val="0"/>
              <w:marBottom w:val="0"/>
              <w:divBdr>
                <w:top w:val="none" w:sz="0" w:space="0" w:color="auto"/>
                <w:left w:val="none" w:sz="0" w:space="0" w:color="auto"/>
                <w:bottom w:val="none" w:sz="0" w:space="0" w:color="auto"/>
                <w:right w:val="none" w:sz="0" w:space="0" w:color="auto"/>
              </w:divBdr>
            </w:div>
          </w:divsChild>
        </w:div>
        <w:div w:id="1285238249">
          <w:marLeft w:val="0"/>
          <w:marRight w:val="0"/>
          <w:marTop w:val="0"/>
          <w:marBottom w:val="0"/>
          <w:divBdr>
            <w:top w:val="none" w:sz="0" w:space="0" w:color="auto"/>
            <w:left w:val="none" w:sz="0" w:space="0" w:color="auto"/>
            <w:bottom w:val="none" w:sz="0" w:space="0" w:color="auto"/>
            <w:right w:val="none" w:sz="0" w:space="0" w:color="auto"/>
          </w:divBdr>
          <w:divsChild>
            <w:div w:id="1347637320">
              <w:marLeft w:val="0"/>
              <w:marRight w:val="0"/>
              <w:marTop w:val="0"/>
              <w:marBottom w:val="0"/>
              <w:divBdr>
                <w:top w:val="none" w:sz="0" w:space="0" w:color="auto"/>
                <w:left w:val="none" w:sz="0" w:space="0" w:color="auto"/>
                <w:bottom w:val="none" w:sz="0" w:space="0" w:color="auto"/>
                <w:right w:val="none" w:sz="0" w:space="0" w:color="auto"/>
              </w:divBdr>
            </w:div>
            <w:div w:id="17289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9546">
      <w:bodyDiv w:val="1"/>
      <w:marLeft w:val="0"/>
      <w:marRight w:val="0"/>
      <w:marTop w:val="0"/>
      <w:marBottom w:val="0"/>
      <w:divBdr>
        <w:top w:val="none" w:sz="0" w:space="0" w:color="auto"/>
        <w:left w:val="none" w:sz="0" w:space="0" w:color="auto"/>
        <w:bottom w:val="none" w:sz="0" w:space="0" w:color="auto"/>
        <w:right w:val="none" w:sz="0" w:space="0" w:color="auto"/>
      </w:divBdr>
    </w:div>
    <w:div w:id="1011687906">
      <w:bodyDiv w:val="1"/>
      <w:marLeft w:val="0"/>
      <w:marRight w:val="0"/>
      <w:marTop w:val="0"/>
      <w:marBottom w:val="0"/>
      <w:divBdr>
        <w:top w:val="none" w:sz="0" w:space="0" w:color="auto"/>
        <w:left w:val="none" w:sz="0" w:space="0" w:color="auto"/>
        <w:bottom w:val="none" w:sz="0" w:space="0" w:color="auto"/>
        <w:right w:val="none" w:sz="0" w:space="0" w:color="auto"/>
      </w:divBdr>
    </w:div>
    <w:div w:id="1026178452">
      <w:bodyDiv w:val="1"/>
      <w:marLeft w:val="0"/>
      <w:marRight w:val="0"/>
      <w:marTop w:val="0"/>
      <w:marBottom w:val="0"/>
      <w:divBdr>
        <w:top w:val="none" w:sz="0" w:space="0" w:color="auto"/>
        <w:left w:val="none" w:sz="0" w:space="0" w:color="auto"/>
        <w:bottom w:val="none" w:sz="0" w:space="0" w:color="auto"/>
        <w:right w:val="none" w:sz="0" w:space="0" w:color="auto"/>
      </w:divBdr>
    </w:div>
    <w:div w:id="1045254210">
      <w:bodyDiv w:val="1"/>
      <w:marLeft w:val="0"/>
      <w:marRight w:val="0"/>
      <w:marTop w:val="0"/>
      <w:marBottom w:val="0"/>
      <w:divBdr>
        <w:top w:val="none" w:sz="0" w:space="0" w:color="auto"/>
        <w:left w:val="none" w:sz="0" w:space="0" w:color="auto"/>
        <w:bottom w:val="none" w:sz="0" w:space="0" w:color="auto"/>
        <w:right w:val="none" w:sz="0" w:space="0" w:color="auto"/>
      </w:divBdr>
    </w:div>
    <w:div w:id="1132098281">
      <w:bodyDiv w:val="1"/>
      <w:marLeft w:val="0"/>
      <w:marRight w:val="0"/>
      <w:marTop w:val="0"/>
      <w:marBottom w:val="0"/>
      <w:divBdr>
        <w:top w:val="none" w:sz="0" w:space="0" w:color="auto"/>
        <w:left w:val="none" w:sz="0" w:space="0" w:color="auto"/>
        <w:bottom w:val="none" w:sz="0" w:space="0" w:color="auto"/>
        <w:right w:val="none" w:sz="0" w:space="0" w:color="auto"/>
      </w:divBdr>
      <w:divsChild>
        <w:div w:id="1931573306">
          <w:marLeft w:val="0"/>
          <w:marRight w:val="0"/>
          <w:marTop w:val="0"/>
          <w:marBottom w:val="0"/>
          <w:divBdr>
            <w:top w:val="none" w:sz="0" w:space="0" w:color="auto"/>
            <w:left w:val="none" w:sz="0" w:space="0" w:color="auto"/>
            <w:bottom w:val="none" w:sz="0" w:space="0" w:color="auto"/>
            <w:right w:val="none" w:sz="0" w:space="0" w:color="auto"/>
          </w:divBdr>
          <w:divsChild>
            <w:div w:id="997345415">
              <w:marLeft w:val="0"/>
              <w:marRight w:val="0"/>
              <w:marTop w:val="0"/>
              <w:marBottom w:val="0"/>
              <w:divBdr>
                <w:top w:val="none" w:sz="0" w:space="0" w:color="auto"/>
                <w:left w:val="none" w:sz="0" w:space="0" w:color="auto"/>
                <w:bottom w:val="none" w:sz="0" w:space="0" w:color="auto"/>
                <w:right w:val="none" w:sz="0" w:space="0" w:color="auto"/>
              </w:divBdr>
            </w:div>
          </w:divsChild>
        </w:div>
        <w:div w:id="1864125479">
          <w:marLeft w:val="0"/>
          <w:marRight w:val="0"/>
          <w:marTop w:val="0"/>
          <w:marBottom w:val="0"/>
          <w:divBdr>
            <w:top w:val="none" w:sz="0" w:space="0" w:color="auto"/>
            <w:left w:val="none" w:sz="0" w:space="0" w:color="auto"/>
            <w:bottom w:val="none" w:sz="0" w:space="0" w:color="auto"/>
            <w:right w:val="none" w:sz="0" w:space="0" w:color="auto"/>
          </w:divBdr>
          <w:divsChild>
            <w:div w:id="1665935039">
              <w:marLeft w:val="0"/>
              <w:marRight w:val="0"/>
              <w:marTop w:val="0"/>
              <w:marBottom w:val="0"/>
              <w:divBdr>
                <w:top w:val="none" w:sz="0" w:space="0" w:color="auto"/>
                <w:left w:val="none" w:sz="0" w:space="0" w:color="auto"/>
                <w:bottom w:val="none" w:sz="0" w:space="0" w:color="auto"/>
                <w:right w:val="none" w:sz="0" w:space="0" w:color="auto"/>
              </w:divBdr>
            </w:div>
          </w:divsChild>
        </w:div>
        <w:div w:id="1385371870">
          <w:marLeft w:val="0"/>
          <w:marRight w:val="0"/>
          <w:marTop w:val="0"/>
          <w:marBottom w:val="0"/>
          <w:divBdr>
            <w:top w:val="none" w:sz="0" w:space="0" w:color="auto"/>
            <w:left w:val="none" w:sz="0" w:space="0" w:color="auto"/>
            <w:bottom w:val="none" w:sz="0" w:space="0" w:color="auto"/>
            <w:right w:val="none" w:sz="0" w:space="0" w:color="auto"/>
          </w:divBdr>
          <w:divsChild>
            <w:div w:id="168521384">
              <w:marLeft w:val="0"/>
              <w:marRight w:val="0"/>
              <w:marTop w:val="0"/>
              <w:marBottom w:val="0"/>
              <w:divBdr>
                <w:top w:val="none" w:sz="0" w:space="0" w:color="auto"/>
                <w:left w:val="none" w:sz="0" w:space="0" w:color="auto"/>
                <w:bottom w:val="none" w:sz="0" w:space="0" w:color="auto"/>
                <w:right w:val="none" w:sz="0" w:space="0" w:color="auto"/>
              </w:divBdr>
            </w:div>
          </w:divsChild>
        </w:div>
        <w:div w:id="1702970070">
          <w:marLeft w:val="0"/>
          <w:marRight w:val="0"/>
          <w:marTop w:val="0"/>
          <w:marBottom w:val="0"/>
          <w:divBdr>
            <w:top w:val="none" w:sz="0" w:space="0" w:color="auto"/>
            <w:left w:val="none" w:sz="0" w:space="0" w:color="auto"/>
            <w:bottom w:val="none" w:sz="0" w:space="0" w:color="auto"/>
            <w:right w:val="none" w:sz="0" w:space="0" w:color="auto"/>
          </w:divBdr>
          <w:divsChild>
            <w:div w:id="2090417045">
              <w:marLeft w:val="0"/>
              <w:marRight w:val="0"/>
              <w:marTop w:val="0"/>
              <w:marBottom w:val="0"/>
              <w:divBdr>
                <w:top w:val="none" w:sz="0" w:space="0" w:color="auto"/>
                <w:left w:val="none" w:sz="0" w:space="0" w:color="auto"/>
                <w:bottom w:val="none" w:sz="0" w:space="0" w:color="auto"/>
                <w:right w:val="none" w:sz="0" w:space="0" w:color="auto"/>
              </w:divBdr>
            </w:div>
          </w:divsChild>
        </w:div>
        <w:div w:id="1873029099">
          <w:marLeft w:val="0"/>
          <w:marRight w:val="0"/>
          <w:marTop w:val="0"/>
          <w:marBottom w:val="0"/>
          <w:divBdr>
            <w:top w:val="none" w:sz="0" w:space="0" w:color="auto"/>
            <w:left w:val="none" w:sz="0" w:space="0" w:color="auto"/>
            <w:bottom w:val="none" w:sz="0" w:space="0" w:color="auto"/>
            <w:right w:val="none" w:sz="0" w:space="0" w:color="auto"/>
          </w:divBdr>
          <w:divsChild>
            <w:div w:id="551386677">
              <w:marLeft w:val="0"/>
              <w:marRight w:val="0"/>
              <w:marTop w:val="0"/>
              <w:marBottom w:val="0"/>
              <w:divBdr>
                <w:top w:val="none" w:sz="0" w:space="0" w:color="auto"/>
                <w:left w:val="none" w:sz="0" w:space="0" w:color="auto"/>
                <w:bottom w:val="none" w:sz="0" w:space="0" w:color="auto"/>
                <w:right w:val="none" w:sz="0" w:space="0" w:color="auto"/>
              </w:divBdr>
            </w:div>
          </w:divsChild>
        </w:div>
        <w:div w:id="137186585">
          <w:marLeft w:val="0"/>
          <w:marRight w:val="0"/>
          <w:marTop w:val="0"/>
          <w:marBottom w:val="0"/>
          <w:divBdr>
            <w:top w:val="none" w:sz="0" w:space="0" w:color="auto"/>
            <w:left w:val="none" w:sz="0" w:space="0" w:color="auto"/>
            <w:bottom w:val="none" w:sz="0" w:space="0" w:color="auto"/>
            <w:right w:val="none" w:sz="0" w:space="0" w:color="auto"/>
          </w:divBdr>
          <w:divsChild>
            <w:div w:id="63375614">
              <w:marLeft w:val="0"/>
              <w:marRight w:val="0"/>
              <w:marTop w:val="0"/>
              <w:marBottom w:val="0"/>
              <w:divBdr>
                <w:top w:val="none" w:sz="0" w:space="0" w:color="auto"/>
                <w:left w:val="none" w:sz="0" w:space="0" w:color="auto"/>
                <w:bottom w:val="none" w:sz="0" w:space="0" w:color="auto"/>
                <w:right w:val="none" w:sz="0" w:space="0" w:color="auto"/>
              </w:divBdr>
            </w:div>
          </w:divsChild>
        </w:div>
        <w:div w:id="1727217977">
          <w:marLeft w:val="0"/>
          <w:marRight w:val="0"/>
          <w:marTop w:val="0"/>
          <w:marBottom w:val="0"/>
          <w:divBdr>
            <w:top w:val="none" w:sz="0" w:space="0" w:color="auto"/>
            <w:left w:val="none" w:sz="0" w:space="0" w:color="auto"/>
            <w:bottom w:val="none" w:sz="0" w:space="0" w:color="auto"/>
            <w:right w:val="none" w:sz="0" w:space="0" w:color="auto"/>
          </w:divBdr>
          <w:divsChild>
            <w:div w:id="1605191431">
              <w:marLeft w:val="0"/>
              <w:marRight w:val="0"/>
              <w:marTop w:val="0"/>
              <w:marBottom w:val="0"/>
              <w:divBdr>
                <w:top w:val="none" w:sz="0" w:space="0" w:color="auto"/>
                <w:left w:val="none" w:sz="0" w:space="0" w:color="auto"/>
                <w:bottom w:val="none" w:sz="0" w:space="0" w:color="auto"/>
                <w:right w:val="none" w:sz="0" w:space="0" w:color="auto"/>
              </w:divBdr>
            </w:div>
            <w:div w:id="1753044467">
              <w:marLeft w:val="0"/>
              <w:marRight w:val="0"/>
              <w:marTop w:val="0"/>
              <w:marBottom w:val="0"/>
              <w:divBdr>
                <w:top w:val="none" w:sz="0" w:space="0" w:color="auto"/>
                <w:left w:val="none" w:sz="0" w:space="0" w:color="auto"/>
                <w:bottom w:val="none" w:sz="0" w:space="0" w:color="auto"/>
                <w:right w:val="none" w:sz="0" w:space="0" w:color="auto"/>
              </w:divBdr>
            </w:div>
          </w:divsChild>
        </w:div>
        <w:div w:id="2094357694">
          <w:marLeft w:val="0"/>
          <w:marRight w:val="0"/>
          <w:marTop w:val="0"/>
          <w:marBottom w:val="0"/>
          <w:divBdr>
            <w:top w:val="none" w:sz="0" w:space="0" w:color="auto"/>
            <w:left w:val="none" w:sz="0" w:space="0" w:color="auto"/>
            <w:bottom w:val="none" w:sz="0" w:space="0" w:color="auto"/>
            <w:right w:val="none" w:sz="0" w:space="0" w:color="auto"/>
          </w:divBdr>
          <w:divsChild>
            <w:div w:id="872110454">
              <w:marLeft w:val="0"/>
              <w:marRight w:val="0"/>
              <w:marTop w:val="0"/>
              <w:marBottom w:val="0"/>
              <w:divBdr>
                <w:top w:val="none" w:sz="0" w:space="0" w:color="auto"/>
                <w:left w:val="none" w:sz="0" w:space="0" w:color="auto"/>
                <w:bottom w:val="none" w:sz="0" w:space="0" w:color="auto"/>
                <w:right w:val="none" w:sz="0" w:space="0" w:color="auto"/>
              </w:divBdr>
            </w:div>
            <w:div w:id="597952972">
              <w:marLeft w:val="0"/>
              <w:marRight w:val="0"/>
              <w:marTop w:val="0"/>
              <w:marBottom w:val="0"/>
              <w:divBdr>
                <w:top w:val="none" w:sz="0" w:space="0" w:color="auto"/>
                <w:left w:val="none" w:sz="0" w:space="0" w:color="auto"/>
                <w:bottom w:val="none" w:sz="0" w:space="0" w:color="auto"/>
                <w:right w:val="none" w:sz="0" w:space="0" w:color="auto"/>
              </w:divBdr>
            </w:div>
            <w:div w:id="1437292243">
              <w:marLeft w:val="0"/>
              <w:marRight w:val="0"/>
              <w:marTop w:val="0"/>
              <w:marBottom w:val="0"/>
              <w:divBdr>
                <w:top w:val="none" w:sz="0" w:space="0" w:color="auto"/>
                <w:left w:val="none" w:sz="0" w:space="0" w:color="auto"/>
                <w:bottom w:val="none" w:sz="0" w:space="0" w:color="auto"/>
                <w:right w:val="none" w:sz="0" w:space="0" w:color="auto"/>
              </w:divBdr>
            </w:div>
          </w:divsChild>
        </w:div>
        <w:div w:id="290288327">
          <w:marLeft w:val="0"/>
          <w:marRight w:val="0"/>
          <w:marTop w:val="0"/>
          <w:marBottom w:val="0"/>
          <w:divBdr>
            <w:top w:val="none" w:sz="0" w:space="0" w:color="auto"/>
            <w:left w:val="none" w:sz="0" w:space="0" w:color="auto"/>
            <w:bottom w:val="none" w:sz="0" w:space="0" w:color="auto"/>
            <w:right w:val="none" w:sz="0" w:space="0" w:color="auto"/>
          </w:divBdr>
          <w:divsChild>
            <w:div w:id="347217400">
              <w:marLeft w:val="0"/>
              <w:marRight w:val="0"/>
              <w:marTop w:val="0"/>
              <w:marBottom w:val="0"/>
              <w:divBdr>
                <w:top w:val="none" w:sz="0" w:space="0" w:color="auto"/>
                <w:left w:val="none" w:sz="0" w:space="0" w:color="auto"/>
                <w:bottom w:val="none" w:sz="0" w:space="0" w:color="auto"/>
                <w:right w:val="none" w:sz="0" w:space="0" w:color="auto"/>
              </w:divBdr>
            </w:div>
            <w:div w:id="592861654">
              <w:marLeft w:val="0"/>
              <w:marRight w:val="0"/>
              <w:marTop w:val="0"/>
              <w:marBottom w:val="0"/>
              <w:divBdr>
                <w:top w:val="none" w:sz="0" w:space="0" w:color="auto"/>
                <w:left w:val="none" w:sz="0" w:space="0" w:color="auto"/>
                <w:bottom w:val="none" w:sz="0" w:space="0" w:color="auto"/>
                <w:right w:val="none" w:sz="0" w:space="0" w:color="auto"/>
              </w:divBdr>
            </w:div>
          </w:divsChild>
        </w:div>
        <w:div w:id="1046756102">
          <w:marLeft w:val="0"/>
          <w:marRight w:val="0"/>
          <w:marTop w:val="0"/>
          <w:marBottom w:val="0"/>
          <w:divBdr>
            <w:top w:val="none" w:sz="0" w:space="0" w:color="auto"/>
            <w:left w:val="none" w:sz="0" w:space="0" w:color="auto"/>
            <w:bottom w:val="none" w:sz="0" w:space="0" w:color="auto"/>
            <w:right w:val="none" w:sz="0" w:space="0" w:color="auto"/>
          </w:divBdr>
          <w:divsChild>
            <w:div w:id="1907954762">
              <w:marLeft w:val="0"/>
              <w:marRight w:val="0"/>
              <w:marTop w:val="0"/>
              <w:marBottom w:val="0"/>
              <w:divBdr>
                <w:top w:val="none" w:sz="0" w:space="0" w:color="auto"/>
                <w:left w:val="none" w:sz="0" w:space="0" w:color="auto"/>
                <w:bottom w:val="none" w:sz="0" w:space="0" w:color="auto"/>
                <w:right w:val="none" w:sz="0" w:space="0" w:color="auto"/>
              </w:divBdr>
            </w:div>
            <w:div w:id="1444963235">
              <w:marLeft w:val="0"/>
              <w:marRight w:val="0"/>
              <w:marTop w:val="0"/>
              <w:marBottom w:val="0"/>
              <w:divBdr>
                <w:top w:val="none" w:sz="0" w:space="0" w:color="auto"/>
                <w:left w:val="none" w:sz="0" w:space="0" w:color="auto"/>
                <w:bottom w:val="none" w:sz="0" w:space="0" w:color="auto"/>
                <w:right w:val="none" w:sz="0" w:space="0" w:color="auto"/>
              </w:divBdr>
            </w:div>
            <w:div w:id="26368688">
              <w:marLeft w:val="0"/>
              <w:marRight w:val="0"/>
              <w:marTop w:val="0"/>
              <w:marBottom w:val="0"/>
              <w:divBdr>
                <w:top w:val="none" w:sz="0" w:space="0" w:color="auto"/>
                <w:left w:val="none" w:sz="0" w:space="0" w:color="auto"/>
                <w:bottom w:val="none" w:sz="0" w:space="0" w:color="auto"/>
                <w:right w:val="none" w:sz="0" w:space="0" w:color="auto"/>
              </w:divBdr>
            </w:div>
          </w:divsChild>
        </w:div>
        <w:div w:id="1961297175">
          <w:marLeft w:val="0"/>
          <w:marRight w:val="0"/>
          <w:marTop w:val="0"/>
          <w:marBottom w:val="0"/>
          <w:divBdr>
            <w:top w:val="none" w:sz="0" w:space="0" w:color="auto"/>
            <w:left w:val="none" w:sz="0" w:space="0" w:color="auto"/>
            <w:bottom w:val="none" w:sz="0" w:space="0" w:color="auto"/>
            <w:right w:val="none" w:sz="0" w:space="0" w:color="auto"/>
          </w:divBdr>
          <w:divsChild>
            <w:div w:id="1892380846">
              <w:marLeft w:val="0"/>
              <w:marRight w:val="0"/>
              <w:marTop w:val="0"/>
              <w:marBottom w:val="0"/>
              <w:divBdr>
                <w:top w:val="none" w:sz="0" w:space="0" w:color="auto"/>
                <w:left w:val="none" w:sz="0" w:space="0" w:color="auto"/>
                <w:bottom w:val="none" w:sz="0" w:space="0" w:color="auto"/>
                <w:right w:val="none" w:sz="0" w:space="0" w:color="auto"/>
              </w:divBdr>
            </w:div>
          </w:divsChild>
        </w:div>
        <w:div w:id="869029127">
          <w:marLeft w:val="0"/>
          <w:marRight w:val="0"/>
          <w:marTop w:val="0"/>
          <w:marBottom w:val="0"/>
          <w:divBdr>
            <w:top w:val="none" w:sz="0" w:space="0" w:color="auto"/>
            <w:left w:val="none" w:sz="0" w:space="0" w:color="auto"/>
            <w:bottom w:val="none" w:sz="0" w:space="0" w:color="auto"/>
            <w:right w:val="none" w:sz="0" w:space="0" w:color="auto"/>
          </w:divBdr>
          <w:divsChild>
            <w:div w:id="1383863555">
              <w:marLeft w:val="0"/>
              <w:marRight w:val="0"/>
              <w:marTop w:val="0"/>
              <w:marBottom w:val="0"/>
              <w:divBdr>
                <w:top w:val="none" w:sz="0" w:space="0" w:color="auto"/>
                <w:left w:val="none" w:sz="0" w:space="0" w:color="auto"/>
                <w:bottom w:val="none" w:sz="0" w:space="0" w:color="auto"/>
                <w:right w:val="none" w:sz="0" w:space="0" w:color="auto"/>
              </w:divBdr>
            </w:div>
            <w:div w:id="719866470">
              <w:marLeft w:val="0"/>
              <w:marRight w:val="0"/>
              <w:marTop w:val="0"/>
              <w:marBottom w:val="0"/>
              <w:divBdr>
                <w:top w:val="none" w:sz="0" w:space="0" w:color="auto"/>
                <w:left w:val="none" w:sz="0" w:space="0" w:color="auto"/>
                <w:bottom w:val="none" w:sz="0" w:space="0" w:color="auto"/>
                <w:right w:val="none" w:sz="0" w:space="0" w:color="auto"/>
              </w:divBdr>
            </w:div>
            <w:div w:id="1333292348">
              <w:marLeft w:val="0"/>
              <w:marRight w:val="0"/>
              <w:marTop w:val="0"/>
              <w:marBottom w:val="0"/>
              <w:divBdr>
                <w:top w:val="none" w:sz="0" w:space="0" w:color="auto"/>
                <w:left w:val="none" w:sz="0" w:space="0" w:color="auto"/>
                <w:bottom w:val="none" w:sz="0" w:space="0" w:color="auto"/>
                <w:right w:val="none" w:sz="0" w:space="0" w:color="auto"/>
              </w:divBdr>
            </w:div>
          </w:divsChild>
        </w:div>
        <w:div w:id="1031346355">
          <w:marLeft w:val="0"/>
          <w:marRight w:val="0"/>
          <w:marTop w:val="0"/>
          <w:marBottom w:val="0"/>
          <w:divBdr>
            <w:top w:val="none" w:sz="0" w:space="0" w:color="auto"/>
            <w:left w:val="none" w:sz="0" w:space="0" w:color="auto"/>
            <w:bottom w:val="none" w:sz="0" w:space="0" w:color="auto"/>
            <w:right w:val="none" w:sz="0" w:space="0" w:color="auto"/>
          </w:divBdr>
          <w:divsChild>
            <w:div w:id="55863352">
              <w:marLeft w:val="0"/>
              <w:marRight w:val="0"/>
              <w:marTop w:val="0"/>
              <w:marBottom w:val="0"/>
              <w:divBdr>
                <w:top w:val="none" w:sz="0" w:space="0" w:color="auto"/>
                <w:left w:val="none" w:sz="0" w:space="0" w:color="auto"/>
                <w:bottom w:val="none" w:sz="0" w:space="0" w:color="auto"/>
                <w:right w:val="none" w:sz="0" w:space="0" w:color="auto"/>
              </w:divBdr>
            </w:div>
            <w:div w:id="2113938387">
              <w:marLeft w:val="0"/>
              <w:marRight w:val="0"/>
              <w:marTop w:val="0"/>
              <w:marBottom w:val="0"/>
              <w:divBdr>
                <w:top w:val="none" w:sz="0" w:space="0" w:color="auto"/>
                <w:left w:val="none" w:sz="0" w:space="0" w:color="auto"/>
                <w:bottom w:val="none" w:sz="0" w:space="0" w:color="auto"/>
                <w:right w:val="none" w:sz="0" w:space="0" w:color="auto"/>
              </w:divBdr>
            </w:div>
            <w:div w:id="1454907489">
              <w:marLeft w:val="0"/>
              <w:marRight w:val="0"/>
              <w:marTop w:val="0"/>
              <w:marBottom w:val="0"/>
              <w:divBdr>
                <w:top w:val="none" w:sz="0" w:space="0" w:color="auto"/>
                <w:left w:val="none" w:sz="0" w:space="0" w:color="auto"/>
                <w:bottom w:val="none" w:sz="0" w:space="0" w:color="auto"/>
                <w:right w:val="none" w:sz="0" w:space="0" w:color="auto"/>
              </w:divBdr>
            </w:div>
          </w:divsChild>
        </w:div>
        <w:div w:id="1148474678">
          <w:marLeft w:val="0"/>
          <w:marRight w:val="0"/>
          <w:marTop w:val="0"/>
          <w:marBottom w:val="0"/>
          <w:divBdr>
            <w:top w:val="none" w:sz="0" w:space="0" w:color="auto"/>
            <w:left w:val="none" w:sz="0" w:space="0" w:color="auto"/>
            <w:bottom w:val="none" w:sz="0" w:space="0" w:color="auto"/>
            <w:right w:val="none" w:sz="0" w:space="0" w:color="auto"/>
          </w:divBdr>
          <w:divsChild>
            <w:div w:id="120193069">
              <w:marLeft w:val="0"/>
              <w:marRight w:val="0"/>
              <w:marTop w:val="0"/>
              <w:marBottom w:val="0"/>
              <w:divBdr>
                <w:top w:val="none" w:sz="0" w:space="0" w:color="auto"/>
                <w:left w:val="none" w:sz="0" w:space="0" w:color="auto"/>
                <w:bottom w:val="none" w:sz="0" w:space="0" w:color="auto"/>
                <w:right w:val="none" w:sz="0" w:space="0" w:color="auto"/>
              </w:divBdr>
            </w:div>
            <w:div w:id="998463859">
              <w:marLeft w:val="0"/>
              <w:marRight w:val="0"/>
              <w:marTop w:val="0"/>
              <w:marBottom w:val="0"/>
              <w:divBdr>
                <w:top w:val="none" w:sz="0" w:space="0" w:color="auto"/>
                <w:left w:val="none" w:sz="0" w:space="0" w:color="auto"/>
                <w:bottom w:val="none" w:sz="0" w:space="0" w:color="auto"/>
                <w:right w:val="none" w:sz="0" w:space="0" w:color="auto"/>
              </w:divBdr>
            </w:div>
          </w:divsChild>
        </w:div>
        <w:div w:id="1598824495">
          <w:marLeft w:val="0"/>
          <w:marRight w:val="0"/>
          <w:marTop w:val="0"/>
          <w:marBottom w:val="0"/>
          <w:divBdr>
            <w:top w:val="none" w:sz="0" w:space="0" w:color="auto"/>
            <w:left w:val="none" w:sz="0" w:space="0" w:color="auto"/>
            <w:bottom w:val="none" w:sz="0" w:space="0" w:color="auto"/>
            <w:right w:val="none" w:sz="0" w:space="0" w:color="auto"/>
          </w:divBdr>
          <w:divsChild>
            <w:div w:id="695353308">
              <w:marLeft w:val="0"/>
              <w:marRight w:val="0"/>
              <w:marTop w:val="0"/>
              <w:marBottom w:val="0"/>
              <w:divBdr>
                <w:top w:val="none" w:sz="0" w:space="0" w:color="auto"/>
                <w:left w:val="none" w:sz="0" w:space="0" w:color="auto"/>
                <w:bottom w:val="none" w:sz="0" w:space="0" w:color="auto"/>
                <w:right w:val="none" w:sz="0" w:space="0" w:color="auto"/>
              </w:divBdr>
            </w:div>
            <w:div w:id="12999452">
              <w:marLeft w:val="0"/>
              <w:marRight w:val="0"/>
              <w:marTop w:val="0"/>
              <w:marBottom w:val="0"/>
              <w:divBdr>
                <w:top w:val="none" w:sz="0" w:space="0" w:color="auto"/>
                <w:left w:val="none" w:sz="0" w:space="0" w:color="auto"/>
                <w:bottom w:val="none" w:sz="0" w:space="0" w:color="auto"/>
                <w:right w:val="none" w:sz="0" w:space="0" w:color="auto"/>
              </w:divBdr>
            </w:div>
          </w:divsChild>
        </w:div>
        <w:div w:id="97529349">
          <w:marLeft w:val="0"/>
          <w:marRight w:val="0"/>
          <w:marTop w:val="0"/>
          <w:marBottom w:val="0"/>
          <w:divBdr>
            <w:top w:val="none" w:sz="0" w:space="0" w:color="auto"/>
            <w:left w:val="none" w:sz="0" w:space="0" w:color="auto"/>
            <w:bottom w:val="none" w:sz="0" w:space="0" w:color="auto"/>
            <w:right w:val="none" w:sz="0" w:space="0" w:color="auto"/>
          </w:divBdr>
          <w:divsChild>
            <w:div w:id="807163687">
              <w:marLeft w:val="0"/>
              <w:marRight w:val="0"/>
              <w:marTop w:val="0"/>
              <w:marBottom w:val="0"/>
              <w:divBdr>
                <w:top w:val="none" w:sz="0" w:space="0" w:color="auto"/>
                <w:left w:val="none" w:sz="0" w:space="0" w:color="auto"/>
                <w:bottom w:val="none" w:sz="0" w:space="0" w:color="auto"/>
                <w:right w:val="none" w:sz="0" w:space="0" w:color="auto"/>
              </w:divBdr>
            </w:div>
          </w:divsChild>
        </w:div>
        <w:div w:id="1246258380">
          <w:marLeft w:val="0"/>
          <w:marRight w:val="0"/>
          <w:marTop w:val="0"/>
          <w:marBottom w:val="0"/>
          <w:divBdr>
            <w:top w:val="none" w:sz="0" w:space="0" w:color="auto"/>
            <w:left w:val="none" w:sz="0" w:space="0" w:color="auto"/>
            <w:bottom w:val="none" w:sz="0" w:space="0" w:color="auto"/>
            <w:right w:val="none" w:sz="0" w:space="0" w:color="auto"/>
          </w:divBdr>
          <w:divsChild>
            <w:div w:id="490020567">
              <w:marLeft w:val="0"/>
              <w:marRight w:val="0"/>
              <w:marTop w:val="0"/>
              <w:marBottom w:val="0"/>
              <w:divBdr>
                <w:top w:val="none" w:sz="0" w:space="0" w:color="auto"/>
                <w:left w:val="none" w:sz="0" w:space="0" w:color="auto"/>
                <w:bottom w:val="none" w:sz="0" w:space="0" w:color="auto"/>
                <w:right w:val="none" w:sz="0" w:space="0" w:color="auto"/>
              </w:divBdr>
            </w:div>
            <w:div w:id="887914306">
              <w:marLeft w:val="0"/>
              <w:marRight w:val="0"/>
              <w:marTop w:val="0"/>
              <w:marBottom w:val="0"/>
              <w:divBdr>
                <w:top w:val="none" w:sz="0" w:space="0" w:color="auto"/>
                <w:left w:val="none" w:sz="0" w:space="0" w:color="auto"/>
                <w:bottom w:val="none" w:sz="0" w:space="0" w:color="auto"/>
                <w:right w:val="none" w:sz="0" w:space="0" w:color="auto"/>
              </w:divBdr>
            </w:div>
            <w:div w:id="1160195924">
              <w:marLeft w:val="0"/>
              <w:marRight w:val="0"/>
              <w:marTop w:val="0"/>
              <w:marBottom w:val="0"/>
              <w:divBdr>
                <w:top w:val="none" w:sz="0" w:space="0" w:color="auto"/>
                <w:left w:val="none" w:sz="0" w:space="0" w:color="auto"/>
                <w:bottom w:val="none" w:sz="0" w:space="0" w:color="auto"/>
                <w:right w:val="none" w:sz="0" w:space="0" w:color="auto"/>
              </w:divBdr>
            </w:div>
          </w:divsChild>
        </w:div>
        <w:div w:id="1993409328">
          <w:marLeft w:val="0"/>
          <w:marRight w:val="0"/>
          <w:marTop w:val="0"/>
          <w:marBottom w:val="0"/>
          <w:divBdr>
            <w:top w:val="none" w:sz="0" w:space="0" w:color="auto"/>
            <w:left w:val="none" w:sz="0" w:space="0" w:color="auto"/>
            <w:bottom w:val="none" w:sz="0" w:space="0" w:color="auto"/>
            <w:right w:val="none" w:sz="0" w:space="0" w:color="auto"/>
          </w:divBdr>
          <w:divsChild>
            <w:div w:id="196704405">
              <w:marLeft w:val="0"/>
              <w:marRight w:val="0"/>
              <w:marTop w:val="0"/>
              <w:marBottom w:val="0"/>
              <w:divBdr>
                <w:top w:val="none" w:sz="0" w:space="0" w:color="auto"/>
                <w:left w:val="none" w:sz="0" w:space="0" w:color="auto"/>
                <w:bottom w:val="none" w:sz="0" w:space="0" w:color="auto"/>
                <w:right w:val="none" w:sz="0" w:space="0" w:color="auto"/>
              </w:divBdr>
            </w:div>
            <w:div w:id="416096084">
              <w:marLeft w:val="0"/>
              <w:marRight w:val="0"/>
              <w:marTop w:val="0"/>
              <w:marBottom w:val="0"/>
              <w:divBdr>
                <w:top w:val="none" w:sz="0" w:space="0" w:color="auto"/>
                <w:left w:val="none" w:sz="0" w:space="0" w:color="auto"/>
                <w:bottom w:val="none" w:sz="0" w:space="0" w:color="auto"/>
                <w:right w:val="none" w:sz="0" w:space="0" w:color="auto"/>
              </w:divBdr>
            </w:div>
          </w:divsChild>
        </w:div>
        <w:div w:id="1743868951">
          <w:marLeft w:val="0"/>
          <w:marRight w:val="0"/>
          <w:marTop w:val="0"/>
          <w:marBottom w:val="0"/>
          <w:divBdr>
            <w:top w:val="none" w:sz="0" w:space="0" w:color="auto"/>
            <w:left w:val="none" w:sz="0" w:space="0" w:color="auto"/>
            <w:bottom w:val="none" w:sz="0" w:space="0" w:color="auto"/>
            <w:right w:val="none" w:sz="0" w:space="0" w:color="auto"/>
          </w:divBdr>
          <w:divsChild>
            <w:div w:id="1209342344">
              <w:marLeft w:val="0"/>
              <w:marRight w:val="0"/>
              <w:marTop w:val="0"/>
              <w:marBottom w:val="0"/>
              <w:divBdr>
                <w:top w:val="none" w:sz="0" w:space="0" w:color="auto"/>
                <w:left w:val="none" w:sz="0" w:space="0" w:color="auto"/>
                <w:bottom w:val="none" w:sz="0" w:space="0" w:color="auto"/>
                <w:right w:val="none" w:sz="0" w:space="0" w:color="auto"/>
              </w:divBdr>
            </w:div>
            <w:div w:id="291643213">
              <w:marLeft w:val="0"/>
              <w:marRight w:val="0"/>
              <w:marTop w:val="0"/>
              <w:marBottom w:val="0"/>
              <w:divBdr>
                <w:top w:val="none" w:sz="0" w:space="0" w:color="auto"/>
                <w:left w:val="none" w:sz="0" w:space="0" w:color="auto"/>
                <w:bottom w:val="none" w:sz="0" w:space="0" w:color="auto"/>
                <w:right w:val="none" w:sz="0" w:space="0" w:color="auto"/>
              </w:divBdr>
            </w:div>
          </w:divsChild>
        </w:div>
        <w:div w:id="43264443">
          <w:marLeft w:val="0"/>
          <w:marRight w:val="0"/>
          <w:marTop w:val="0"/>
          <w:marBottom w:val="0"/>
          <w:divBdr>
            <w:top w:val="none" w:sz="0" w:space="0" w:color="auto"/>
            <w:left w:val="none" w:sz="0" w:space="0" w:color="auto"/>
            <w:bottom w:val="none" w:sz="0" w:space="0" w:color="auto"/>
            <w:right w:val="none" w:sz="0" w:space="0" w:color="auto"/>
          </w:divBdr>
          <w:divsChild>
            <w:div w:id="164784285">
              <w:marLeft w:val="0"/>
              <w:marRight w:val="0"/>
              <w:marTop w:val="0"/>
              <w:marBottom w:val="0"/>
              <w:divBdr>
                <w:top w:val="none" w:sz="0" w:space="0" w:color="auto"/>
                <w:left w:val="none" w:sz="0" w:space="0" w:color="auto"/>
                <w:bottom w:val="none" w:sz="0" w:space="0" w:color="auto"/>
                <w:right w:val="none" w:sz="0" w:space="0" w:color="auto"/>
              </w:divBdr>
            </w:div>
          </w:divsChild>
        </w:div>
        <w:div w:id="12269777">
          <w:marLeft w:val="0"/>
          <w:marRight w:val="0"/>
          <w:marTop w:val="0"/>
          <w:marBottom w:val="0"/>
          <w:divBdr>
            <w:top w:val="none" w:sz="0" w:space="0" w:color="auto"/>
            <w:left w:val="none" w:sz="0" w:space="0" w:color="auto"/>
            <w:bottom w:val="none" w:sz="0" w:space="0" w:color="auto"/>
            <w:right w:val="none" w:sz="0" w:space="0" w:color="auto"/>
          </w:divBdr>
          <w:divsChild>
            <w:div w:id="1923761770">
              <w:marLeft w:val="0"/>
              <w:marRight w:val="0"/>
              <w:marTop w:val="0"/>
              <w:marBottom w:val="0"/>
              <w:divBdr>
                <w:top w:val="none" w:sz="0" w:space="0" w:color="auto"/>
                <w:left w:val="none" w:sz="0" w:space="0" w:color="auto"/>
                <w:bottom w:val="none" w:sz="0" w:space="0" w:color="auto"/>
                <w:right w:val="none" w:sz="0" w:space="0" w:color="auto"/>
              </w:divBdr>
            </w:div>
            <w:div w:id="1565720743">
              <w:marLeft w:val="0"/>
              <w:marRight w:val="0"/>
              <w:marTop w:val="0"/>
              <w:marBottom w:val="0"/>
              <w:divBdr>
                <w:top w:val="none" w:sz="0" w:space="0" w:color="auto"/>
                <w:left w:val="none" w:sz="0" w:space="0" w:color="auto"/>
                <w:bottom w:val="none" w:sz="0" w:space="0" w:color="auto"/>
                <w:right w:val="none" w:sz="0" w:space="0" w:color="auto"/>
              </w:divBdr>
            </w:div>
          </w:divsChild>
        </w:div>
        <w:div w:id="307905491">
          <w:marLeft w:val="0"/>
          <w:marRight w:val="0"/>
          <w:marTop w:val="0"/>
          <w:marBottom w:val="0"/>
          <w:divBdr>
            <w:top w:val="none" w:sz="0" w:space="0" w:color="auto"/>
            <w:left w:val="none" w:sz="0" w:space="0" w:color="auto"/>
            <w:bottom w:val="none" w:sz="0" w:space="0" w:color="auto"/>
            <w:right w:val="none" w:sz="0" w:space="0" w:color="auto"/>
          </w:divBdr>
          <w:divsChild>
            <w:div w:id="1363823680">
              <w:marLeft w:val="0"/>
              <w:marRight w:val="0"/>
              <w:marTop w:val="0"/>
              <w:marBottom w:val="0"/>
              <w:divBdr>
                <w:top w:val="none" w:sz="0" w:space="0" w:color="auto"/>
                <w:left w:val="none" w:sz="0" w:space="0" w:color="auto"/>
                <w:bottom w:val="none" w:sz="0" w:space="0" w:color="auto"/>
                <w:right w:val="none" w:sz="0" w:space="0" w:color="auto"/>
              </w:divBdr>
            </w:div>
            <w:div w:id="102657833">
              <w:marLeft w:val="0"/>
              <w:marRight w:val="0"/>
              <w:marTop w:val="0"/>
              <w:marBottom w:val="0"/>
              <w:divBdr>
                <w:top w:val="none" w:sz="0" w:space="0" w:color="auto"/>
                <w:left w:val="none" w:sz="0" w:space="0" w:color="auto"/>
                <w:bottom w:val="none" w:sz="0" w:space="0" w:color="auto"/>
                <w:right w:val="none" w:sz="0" w:space="0" w:color="auto"/>
              </w:divBdr>
            </w:div>
            <w:div w:id="433013795">
              <w:marLeft w:val="0"/>
              <w:marRight w:val="0"/>
              <w:marTop w:val="0"/>
              <w:marBottom w:val="0"/>
              <w:divBdr>
                <w:top w:val="none" w:sz="0" w:space="0" w:color="auto"/>
                <w:left w:val="none" w:sz="0" w:space="0" w:color="auto"/>
                <w:bottom w:val="none" w:sz="0" w:space="0" w:color="auto"/>
                <w:right w:val="none" w:sz="0" w:space="0" w:color="auto"/>
              </w:divBdr>
            </w:div>
          </w:divsChild>
        </w:div>
        <w:div w:id="39864466">
          <w:marLeft w:val="0"/>
          <w:marRight w:val="0"/>
          <w:marTop w:val="0"/>
          <w:marBottom w:val="0"/>
          <w:divBdr>
            <w:top w:val="none" w:sz="0" w:space="0" w:color="auto"/>
            <w:left w:val="none" w:sz="0" w:space="0" w:color="auto"/>
            <w:bottom w:val="none" w:sz="0" w:space="0" w:color="auto"/>
            <w:right w:val="none" w:sz="0" w:space="0" w:color="auto"/>
          </w:divBdr>
          <w:divsChild>
            <w:div w:id="46075306">
              <w:marLeft w:val="0"/>
              <w:marRight w:val="0"/>
              <w:marTop w:val="0"/>
              <w:marBottom w:val="0"/>
              <w:divBdr>
                <w:top w:val="none" w:sz="0" w:space="0" w:color="auto"/>
                <w:left w:val="none" w:sz="0" w:space="0" w:color="auto"/>
                <w:bottom w:val="none" w:sz="0" w:space="0" w:color="auto"/>
                <w:right w:val="none" w:sz="0" w:space="0" w:color="auto"/>
              </w:divBdr>
            </w:div>
            <w:div w:id="1359576500">
              <w:marLeft w:val="0"/>
              <w:marRight w:val="0"/>
              <w:marTop w:val="0"/>
              <w:marBottom w:val="0"/>
              <w:divBdr>
                <w:top w:val="none" w:sz="0" w:space="0" w:color="auto"/>
                <w:left w:val="none" w:sz="0" w:space="0" w:color="auto"/>
                <w:bottom w:val="none" w:sz="0" w:space="0" w:color="auto"/>
                <w:right w:val="none" w:sz="0" w:space="0" w:color="auto"/>
              </w:divBdr>
            </w:div>
          </w:divsChild>
        </w:div>
        <w:div w:id="89352214">
          <w:marLeft w:val="0"/>
          <w:marRight w:val="0"/>
          <w:marTop w:val="0"/>
          <w:marBottom w:val="0"/>
          <w:divBdr>
            <w:top w:val="none" w:sz="0" w:space="0" w:color="auto"/>
            <w:left w:val="none" w:sz="0" w:space="0" w:color="auto"/>
            <w:bottom w:val="none" w:sz="0" w:space="0" w:color="auto"/>
            <w:right w:val="none" w:sz="0" w:space="0" w:color="auto"/>
          </w:divBdr>
          <w:divsChild>
            <w:div w:id="722751400">
              <w:marLeft w:val="0"/>
              <w:marRight w:val="0"/>
              <w:marTop w:val="0"/>
              <w:marBottom w:val="0"/>
              <w:divBdr>
                <w:top w:val="none" w:sz="0" w:space="0" w:color="auto"/>
                <w:left w:val="none" w:sz="0" w:space="0" w:color="auto"/>
                <w:bottom w:val="none" w:sz="0" w:space="0" w:color="auto"/>
                <w:right w:val="none" w:sz="0" w:space="0" w:color="auto"/>
              </w:divBdr>
            </w:div>
          </w:divsChild>
        </w:div>
        <w:div w:id="1978140606">
          <w:marLeft w:val="0"/>
          <w:marRight w:val="0"/>
          <w:marTop w:val="0"/>
          <w:marBottom w:val="0"/>
          <w:divBdr>
            <w:top w:val="none" w:sz="0" w:space="0" w:color="auto"/>
            <w:left w:val="none" w:sz="0" w:space="0" w:color="auto"/>
            <w:bottom w:val="none" w:sz="0" w:space="0" w:color="auto"/>
            <w:right w:val="none" w:sz="0" w:space="0" w:color="auto"/>
          </w:divBdr>
          <w:divsChild>
            <w:div w:id="1283800986">
              <w:marLeft w:val="0"/>
              <w:marRight w:val="0"/>
              <w:marTop w:val="0"/>
              <w:marBottom w:val="0"/>
              <w:divBdr>
                <w:top w:val="none" w:sz="0" w:space="0" w:color="auto"/>
                <w:left w:val="none" w:sz="0" w:space="0" w:color="auto"/>
                <w:bottom w:val="none" w:sz="0" w:space="0" w:color="auto"/>
                <w:right w:val="none" w:sz="0" w:space="0" w:color="auto"/>
              </w:divBdr>
            </w:div>
            <w:div w:id="348215243">
              <w:marLeft w:val="0"/>
              <w:marRight w:val="0"/>
              <w:marTop w:val="0"/>
              <w:marBottom w:val="0"/>
              <w:divBdr>
                <w:top w:val="none" w:sz="0" w:space="0" w:color="auto"/>
                <w:left w:val="none" w:sz="0" w:space="0" w:color="auto"/>
                <w:bottom w:val="none" w:sz="0" w:space="0" w:color="auto"/>
                <w:right w:val="none" w:sz="0" w:space="0" w:color="auto"/>
              </w:divBdr>
            </w:div>
            <w:div w:id="722749878">
              <w:marLeft w:val="0"/>
              <w:marRight w:val="0"/>
              <w:marTop w:val="0"/>
              <w:marBottom w:val="0"/>
              <w:divBdr>
                <w:top w:val="none" w:sz="0" w:space="0" w:color="auto"/>
                <w:left w:val="none" w:sz="0" w:space="0" w:color="auto"/>
                <w:bottom w:val="none" w:sz="0" w:space="0" w:color="auto"/>
                <w:right w:val="none" w:sz="0" w:space="0" w:color="auto"/>
              </w:divBdr>
            </w:div>
          </w:divsChild>
        </w:div>
        <w:div w:id="1158230326">
          <w:marLeft w:val="0"/>
          <w:marRight w:val="0"/>
          <w:marTop w:val="0"/>
          <w:marBottom w:val="0"/>
          <w:divBdr>
            <w:top w:val="none" w:sz="0" w:space="0" w:color="auto"/>
            <w:left w:val="none" w:sz="0" w:space="0" w:color="auto"/>
            <w:bottom w:val="none" w:sz="0" w:space="0" w:color="auto"/>
            <w:right w:val="none" w:sz="0" w:space="0" w:color="auto"/>
          </w:divBdr>
          <w:divsChild>
            <w:div w:id="556476772">
              <w:marLeft w:val="0"/>
              <w:marRight w:val="0"/>
              <w:marTop w:val="0"/>
              <w:marBottom w:val="0"/>
              <w:divBdr>
                <w:top w:val="none" w:sz="0" w:space="0" w:color="auto"/>
                <w:left w:val="none" w:sz="0" w:space="0" w:color="auto"/>
                <w:bottom w:val="none" w:sz="0" w:space="0" w:color="auto"/>
                <w:right w:val="none" w:sz="0" w:space="0" w:color="auto"/>
              </w:divBdr>
            </w:div>
            <w:div w:id="2136365731">
              <w:marLeft w:val="0"/>
              <w:marRight w:val="0"/>
              <w:marTop w:val="0"/>
              <w:marBottom w:val="0"/>
              <w:divBdr>
                <w:top w:val="none" w:sz="0" w:space="0" w:color="auto"/>
                <w:left w:val="none" w:sz="0" w:space="0" w:color="auto"/>
                <w:bottom w:val="none" w:sz="0" w:space="0" w:color="auto"/>
                <w:right w:val="none" w:sz="0" w:space="0" w:color="auto"/>
              </w:divBdr>
            </w:div>
            <w:div w:id="831411898">
              <w:marLeft w:val="0"/>
              <w:marRight w:val="0"/>
              <w:marTop w:val="0"/>
              <w:marBottom w:val="0"/>
              <w:divBdr>
                <w:top w:val="none" w:sz="0" w:space="0" w:color="auto"/>
                <w:left w:val="none" w:sz="0" w:space="0" w:color="auto"/>
                <w:bottom w:val="none" w:sz="0" w:space="0" w:color="auto"/>
                <w:right w:val="none" w:sz="0" w:space="0" w:color="auto"/>
              </w:divBdr>
            </w:div>
          </w:divsChild>
        </w:div>
        <w:div w:id="998387698">
          <w:marLeft w:val="0"/>
          <w:marRight w:val="0"/>
          <w:marTop w:val="0"/>
          <w:marBottom w:val="0"/>
          <w:divBdr>
            <w:top w:val="none" w:sz="0" w:space="0" w:color="auto"/>
            <w:left w:val="none" w:sz="0" w:space="0" w:color="auto"/>
            <w:bottom w:val="none" w:sz="0" w:space="0" w:color="auto"/>
            <w:right w:val="none" w:sz="0" w:space="0" w:color="auto"/>
          </w:divBdr>
          <w:divsChild>
            <w:div w:id="1932741196">
              <w:marLeft w:val="0"/>
              <w:marRight w:val="0"/>
              <w:marTop w:val="0"/>
              <w:marBottom w:val="0"/>
              <w:divBdr>
                <w:top w:val="none" w:sz="0" w:space="0" w:color="auto"/>
                <w:left w:val="none" w:sz="0" w:space="0" w:color="auto"/>
                <w:bottom w:val="none" w:sz="0" w:space="0" w:color="auto"/>
                <w:right w:val="none" w:sz="0" w:space="0" w:color="auto"/>
              </w:divBdr>
            </w:div>
            <w:div w:id="1585070646">
              <w:marLeft w:val="0"/>
              <w:marRight w:val="0"/>
              <w:marTop w:val="0"/>
              <w:marBottom w:val="0"/>
              <w:divBdr>
                <w:top w:val="none" w:sz="0" w:space="0" w:color="auto"/>
                <w:left w:val="none" w:sz="0" w:space="0" w:color="auto"/>
                <w:bottom w:val="none" w:sz="0" w:space="0" w:color="auto"/>
                <w:right w:val="none" w:sz="0" w:space="0" w:color="auto"/>
              </w:divBdr>
            </w:div>
          </w:divsChild>
        </w:div>
        <w:div w:id="324095424">
          <w:marLeft w:val="0"/>
          <w:marRight w:val="0"/>
          <w:marTop w:val="0"/>
          <w:marBottom w:val="0"/>
          <w:divBdr>
            <w:top w:val="none" w:sz="0" w:space="0" w:color="auto"/>
            <w:left w:val="none" w:sz="0" w:space="0" w:color="auto"/>
            <w:bottom w:val="none" w:sz="0" w:space="0" w:color="auto"/>
            <w:right w:val="none" w:sz="0" w:space="0" w:color="auto"/>
          </w:divBdr>
          <w:divsChild>
            <w:div w:id="1839230192">
              <w:marLeft w:val="0"/>
              <w:marRight w:val="0"/>
              <w:marTop w:val="0"/>
              <w:marBottom w:val="0"/>
              <w:divBdr>
                <w:top w:val="none" w:sz="0" w:space="0" w:color="auto"/>
                <w:left w:val="none" w:sz="0" w:space="0" w:color="auto"/>
                <w:bottom w:val="none" w:sz="0" w:space="0" w:color="auto"/>
                <w:right w:val="none" w:sz="0" w:space="0" w:color="auto"/>
              </w:divBdr>
            </w:div>
            <w:div w:id="1550648394">
              <w:marLeft w:val="0"/>
              <w:marRight w:val="0"/>
              <w:marTop w:val="0"/>
              <w:marBottom w:val="0"/>
              <w:divBdr>
                <w:top w:val="none" w:sz="0" w:space="0" w:color="auto"/>
                <w:left w:val="none" w:sz="0" w:space="0" w:color="auto"/>
                <w:bottom w:val="none" w:sz="0" w:space="0" w:color="auto"/>
                <w:right w:val="none" w:sz="0" w:space="0" w:color="auto"/>
              </w:divBdr>
            </w:div>
          </w:divsChild>
        </w:div>
        <w:div w:id="565604293">
          <w:marLeft w:val="0"/>
          <w:marRight w:val="0"/>
          <w:marTop w:val="0"/>
          <w:marBottom w:val="0"/>
          <w:divBdr>
            <w:top w:val="none" w:sz="0" w:space="0" w:color="auto"/>
            <w:left w:val="none" w:sz="0" w:space="0" w:color="auto"/>
            <w:bottom w:val="none" w:sz="0" w:space="0" w:color="auto"/>
            <w:right w:val="none" w:sz="0" w:space="0" w:color="auto"/>
          </w:divBdr>
          <w:divsChild>
            <w:div w:id="1840925547">
              <w:marLeft w:val="0"/>
              <w:marRight w:val="0"/>
              <w:marTop w:val="0"/>
              <w:marBottom w:val="0"/>
              <w:divBdr>
                <w:top w:val="none" w:sz="0" w:space="0" w:color="auto"/>
                <w:left w:val="none" w:sz="0" w:space="0" w:color="auto"/>
                <w:bottom w:val="none" w:sz="0" w:space="0" w:color="auto"/>
                <w:right w:val="none" w:sz="0" w:space="0" w:color="auto"/>
              </w:divBdr>
            </w:div>
            <w:div w:id="1772436212">
              <w:marLeft w:val="0"/>
              <w:marRight w:val="0"/>
              <w:marTop w:val="0"/>
              <w:marBottom w:val="0"/>
              <w:divBdr>
                <w:top w:val="none" w:sz="0" w:space="0" w:color="auto"/>
                <w:left w:val="none" w:sz="0" w:space="0" w:color="auto"/>
                <w:bottom w:val="none" w:sz="0" w:space="0" w:color="auto"/>
                <w:right w:val="none" w:sz="0" w:space="0" w:color="auto"/>
              </w:divBdr>
            </w:div>
            <w:div w:id="1197281126">
              <w:marLeft w:val="0"/>
              <w:marRight w:val="0"/>
              <w:marTop w:val="0"/>
              <w:marBottom w:val="0"/>
              <w:divBdr>
                <w:top w:val="none" w:sz="0" w:space="0" w:color="auto"/>
                <w:left w:val="none" w:sz="0" w:space="0" w:color="auto"/>
                <w:bottom w:val="none" w:sz="0" w:space="0" w:color="auto"/>
                <w:right w:val="none" w:sz="0" w:space="0" w:color="auto"/>
              </w:divBdr>
            </w:div>
            <w:div w:id="952132219">
              <w:marLeft w:val="0"/>
              <w:marRight w:val="0"/>
              <w:marTop w:val="0"/>
              <w:marBottom w:val="0"/>
              <w:divBdr>
                <w:top w:val="none" w:sz="0" w:space="0" w:color="auto"/>
                <w:left w:val="none" w:sz="0" w:space="0" w:color="auto"/>
                <w:bottom w:val="none" w:sz="0" w:space="0" w:color="auto"/>
                <w:right w:val="none" w:sz="0" w:space="0" w:color="auto"/>
              </w:divBdr>
            </w:div>
          </w:divsChild>
        </w:div>
        <w:div w:id="388959625">
          <w:marLeft w:val="0"/>
          <w:marRight w:val="0"/>
          <w:marTop w:val="0"/>
          <w:marBottom w:val="0"/>
          <w:divBdr>
            <w:top w:val="none" w:sz="0" w:space="0" w:color="auto"/>
            <w:left w:val="none" w:sz="0" w:space="0" w:color="auto"/>
            <w:bottom w:val="none" w:sz="0" w:space="0" w:color="auto"/>
            <w:right w:val="none" w:sz="0" w:space="0" w:color="auto"/>
          </w:divBdr>
          <w:divsChild>
            <w:div w:id="2027487601">
              <w:marLeft w:val="0"/>
              <w:marRight w:val="0"/>
              <w:marTop w:val="0"/>
              <w:marBottom w:val="0"/>
              <w:divBdr>
                <w:top w:val="none" w:sz="0" w:space="0" w:color="auto"/>
                <w:left w:val="none" w:sz="0" w:space="0" w:color="auto"/>
                <w:bottom w:val="none" w:sz="0" w:space="0" w:color="auto"/>
                <w:right w:val="none" w:sz="0" w:space="0" w:color="auto"/>
              </w:divBdr>
            </w:div>
            <w:div w:id="792405574">
              <w:marLeft w:val="0"/>
              <w:marRight w:val="0"/>
              <w:marTop w:val="0"/>
              <w:marBottom w:val="0"/>
              <w:divBdr>
                <w:top w:val="none" w:sz="0" w:space="0" w:color="auto"/>
                <w:left w:val="none" w:sz="0" w:space="0" w:color="auto"/>
                <w:bottom w:val="none" w:sz="0" w:space="0" w:color="auto"/>
                <w:right w:val="none" w:sz="0" w:space="0" w:color="auto"/>
              </w:divBdr>
            </w:div>
            <w:div w:id="2020348878">
              <w:marLeft w:val="0"/>
              <w:marRight w:val="0"/>
              <w:marTop w:val="0"/>
              <w:marBottom w:val="0"/>
              <w:divBdr>
                <w:top w:val="none" w:sz="0" w:space="0" w:color="auto"/>
                <w:left w:val="none" w:sz="0" w:space="0" w:color="auto"/>
                <w:bottom w:val="none" w:sz="0" w:space="0" w:color="auto"/>
                <w:right w:val="none" w:sz="0" w:space="0" w:color="auto"/>
              </w:divBdr>
            </w:div>
            <w:div w:id="1224563902">
              <w:marLeft w:val="0"/>
              <w:marRight w:val="0"/>
              <w:marTop w:val="0"/>
              <w:marBottom w:val="0"/>
              <w:divBdr>
                <w:top w:val="none" w:sz="0" w:space="0" w:color="auto"/>
                <w:left w:val="none" w:sz="0" w:space="0" w:color="auto"/>
                <w:bottom w:val="none" w:sz="0" w:space="0" w:color="auto"/>
                <w:right w:val="none" w:sz="0" w:space="0" w:color="auto"/>
              </w:divBdr>
            </w:div>
          </w:divsChild>
        </w:div>
        <w:div w:id="1012688820">
          <w:marLeft w:val="0"/>
          <w:marRight w:val="0"/>
          <w:marTop w:val="0"/>
          <w:marBottom w:val="0"/>
          <w:divBdr>
            <w:top w:val="none" w:sz="0" w:space="0" w:color="auto"/>
            <w:left w:val="none" w:sz="0" w:space="0" w:color="auto"/>
            <w:bottom w:val="none" w:sz="0" w:space="0" w:color="auto"/>
            <w:right w:val="none" w:sz="0" w:space="0" w:color="auto"/>
          </w:divBdr>
          <w:divsChild>
            <w:div w:id="1100416564">
              <w:marLeft w:val="0"/>
              <w:marRight w:val="0"/>
              <w:marTop w:val="0"/>
              <w:marBottom w:val="0"/>
              <w:divBdr>
                <w:top w:val="none" w:sz="0" w:space="0" w:color="auto"/>
                <w:left w:val="none" w:sz="0" w:space="0" w:color="auto"/>
                <w:bottom w:val="none" w:sz="0" w:space="0" w:color="auto"/>
                <w:right w:val="none" w:sz="0" w:space="0" w:color="auto"/>
              </w:divBdr>
            </w:div>
            <w:div w:id="98718445">
              <w:marLeft w:val="0"/>
              <w:marRight w:val="0"/>
              <w:marTop w:val="0"/>
              <w:marBottom w:val="0"/>
              <w:divBdr>
                <w:top w:val="none" w:sz="0" w:space="0" w:color="auto"/>
                <w:left w:val="none" w:sz="0" w:space="0" w:color="auto"/>
                <w:bottom w:val="none" w:sz="0" w:space="0" w:color="auto"/>
                <w:right w:val="none" w:sz="0" w:space="0" w:color="auto"/>
              </w:divBdr>
            </w:div>
            <w:div w:id="1651598711">
              <w:marLeft w:val="0"/>
              <w:marRight w:val="0"/>
              <w:marTop w:val="0"/>
              <w:marBottom w:val="0"/>
              <w:divBdr>
                <w:top w:val="none" w:sz="0" w:space="0" w:color="auto"/>
                <w:left w:val="none" w:sz="0" w:space="0" w:color="auto"/>
                <w:bottom w:val="none" w:sz="0" w:space="0" w:color="auto"/>
                <w:right w:val="none" w:sz="0" w:space="0" w:color="auto"/>
              </w:divBdr>
            </w:div>
          </w:divsChild>
        </w:div>
        <w:div w:id="1446195949">
          <w:marLeft w:val="0"/>
          <w:marRight w:val="0"/>
          <w:marTop w:val="0"/>
          <w:marBottom w:val="0"/>
          <w:divBdr>
            <w:top w:val="none" w:sz="0" w:space="0" w:color="auto"/>
            <w:left w:val="none" w:sz="0" w:space="0" w:color="auto"/>
            <w:bottom w:val="none" w:sz="0" w:space="0" w:color="auto"/>
            <w:right w:val="none" w:sz="0" w:space="0" w:color="auto"/>
          </w:divBdr>
          <w:divsChild>
            <w:div w:id="491600232">
              <w:marLeft w:val="0"/>
              <w:marRight w:val="0"/>
              <w:marTop w:val="0"/>
              <w:marBottom w:val="0"/>
              <w:divBdr>
                <w:top w:val="none" w:sz="0" w:space="0" w:color="auto"/>
                <w:left w:val="none" w:sz="0" w:space="0" w:color="auto"/>
                <w:bottom w:val="none" w:sz="0" w:space="0" w:color="auto"/>
                <w:right w:val="none" w:sz="0" w:space="0" w:color="auto"/>
              </w:divBdr>
            </w:div>
          </w:divsChild>
        </w:div>
        <w:div w:id="2142847486">
          <w:marLeft w:val="0"/>
          <w:marRight w:val="0"/>
          <w:marTop w:val="0"/>
          <w:marBottom w:val="0"/>
          <w:divBdr>
            <w:top w:val="none" w:sz="0" w:space="0" w:color="auto"/>
            <w:left w:val="none" w:sz="0" w:space="0" w:color="auto"/>
            <w:bottom w:val="none" w:sz="0" w:space="0" w:color="auto"/>
            <w:right w:val="none" w:sz="0" w:space="0" w:color="auto"/>
          </w:divBdr>
          <w:divsChild>
            <w:div w:id="1481966879">
              <w:marLeft w:val="0"/>
              <w:marRight w:val="0"/>
              <w:marTop w:val="0"/>
              <w:marBottom w:val="0"/>
              <w:divBdr>
                <w:top w:val="none" w:sz="0" w:space="0" w:color="auto"/>
                <w:left w:val="none" w:sz="0" w:space="0" w:color="auto"/>
                <w:bottom w:val="none" w:sz="0" w:space="0" w:color="auto"/>
                <w:right w:val="none" w:sz="0" w:space="0" w:color="auto"/>
              </w:divBdr>
            </w:div>
            <w:div w:id="146284376">
              <w:marLeft w:val="0"/>
              <w:marRight w:val="0"/>
              <w:marTop w:val="0"/>
              <w:marBottom w:val="0"/>
              <w:divBdr>
                <w:top w:val="none" w:sz="0" w:space="0" w:color="auto"/>
                <w:left w:val="none" w:sz="0" w:space="0" w:color="auto"/>
                <w:bottom w:val="none" w:sz="0" w:space="0" w:color="auto"/>
                <w:right w:val="none" w:sz="0" w:space="0" w:color="auto"/>
              </w:divBdr>
            </w:div>
          </w:divsChild>
        </w:div>
        <w:div w:id="674117559">
          <w:marLeft w:val="0"/>
          <w:marRight w:val="0"/>
          <w:marTop w:val="0"/>
          <w:marBottom w:val="0"/>
          <w:divBdr>
            <w:top w:val="none" w:sz="0" w:space="0" w:color="auto"/>
            <w:left w:val="none" w:sz="0" w:space="0" w:color="auto"/>
            <w:bottom w:val="none" w:sz="0" w:space="0" w:color="auto"/>
            <w:right w:val="none" w:sz="0" w:space="0" w:color="auto"/>
          </w:divBdr>
          <w:divsChild>
            <w:div w:id="1466503564">
              <w:marLeft w:val="0"/>
              <w:marRight w:val="0"/>
              <w:marTop w:val="0"/>
              <w:marBottom w:val="0"/>
              <w:divBdr>
                <w:top w:val="none" w:sz="0" w:space="0" w:color="auto"/>
                <w:left w:val="none" w:sz="0" w:space="0" w:color="auto"/>
                <w:bottom w:val="none" w:sz="0" w:space="0" w:color="auto"/>
                <w:right w:val="none" w:sz="0" w:space="0" w:color="auto"/>
              </w:divBdr>
            </w:div>
            <w:div w:id="13849950">
              <w:marLeft w:val="0"/>
              <w:marRight w:val="0"/>
              <w:marTop w:val="0"/>
              <w:marBottom w:val="0"/>
              <w:divBdr>
                <w:top w:val="none" w:sz="0" w:space="0" w:color="auto"/>
                <w:left w:val="none" w:sz="0" w:space="0" w:color="auto"/>
                <w:bottom w:val="none" w:sz="0" w:space="0" w:color="auto"/>
                <w:right w:val="none" w:sz="0" w:space="0" w:color="auto"/>
              </w:divBdr>
            </w:div>
          </w:divsChild>
        </w:div>
        <w:div w:id="471541">
          <w:marLeft w:val="0"/>
          <w:marRight w:val="0"/>
          <w:marTop w:val="0"/>
          <w:marBottom w:val="0"/>
          <w:divBdr>
            <w:top w:val="none" w:sz="0" w:space="0" w:color="auto"/>
            <w:left w:val="none" w:sz="0" w:space="0" w:color="auto"/>
            <w:bottom w:val="none" w:sz="0" w:space="0" w:color="auto"/>
            <w:right w:val="none" w:sz="0" w:space="0" w:color="auto"/>
          </w:divBdr>
          <w:divsChild>
            <w:div w:id="1916091017">
              <w:marLeft w:val="0"/>
              <w:marRight w:val="0"/>
              <w:marTop w:val="0"/>
              <w:marBottom w:val="0"/>
              <w:divBdr>
                <w:top w:val="none" w:sz="0" w:space="0" w:color="auto"/>
                <w:left w:val="none" w:sz="0" w:space="0" w:color="auto"/>
                <w:bottom w:val="none" w:sz="0" w:space="0" w:color="auto"/>
                <w:right w:val="none" w:sz="0" w:space="0" w:color="auto"/>
              </w:divBdr>
            </w:div>
            <w:div w:id="791283953">
              <w:marLeft w:val="0"/>
              <w:marRight w:val="0"/>
              <w:marTop w:val="0"/>
              <w:marBottom w:val="0"/>
              <w:divBdr>
                <w:top w:val="none" w:sz="0" w:space="0" w:color="auto"/>
                <w:left w:val="none" w:sz="0" w:space="0" w:color="auto"/>
                <w:bottom w:val="none" w:sz="0" w:space="0" w:color="auto"/>
                <w:right w:val="none" w:sz="0" w:space="0" w:color="auto"/>
              </w:divBdr>
            </w:div>
          </w:divsChild>
        </w:div>
        <w:div w:id="137380525">
          <w:marLeft w:val="0"/>
          <w:marRight w:val="0"/>
          <w:marTop w:val="0"/>
          <w:marBottom w:val="0"/>
          <w:divBdr>
            <w:top w:val="none" w:sz="0" w:space="0" w:color="auto"/>
            <w:left w:val="none" w:sz="0" w:space="0" w:color="auto"/>
            <w:bottom w:val="none" w:sz="0" w:space="0" w:color="auto"/>
            <w:right w:val="none" w:sz="0" w:space="0" w:color="auto"/>
          </w:divBdr>
          <w:divsChild>
            <w:div w:id="502671023">
              <w:marLeft w:val="0"/>
              <w:marRight w:val="0"/>
              <w:marTop w:val="0"/>
              <w:marBottom w:val="0"/>
              <w:divBdr>
                <w:top w:val="none" w:sz="0" w:space="0" w:color="auto"/>
                <w:left w:val="none" w:sz="0" w:space="0" w:color="auto"/>
                <w:bottom w:val="none" w:sz="0" w:space="0" w:color="auto"/>
                <w:right w:val="none" w:sz="0" w:space="0" w:color="auto"/>
              </w:divBdr>
            </w:div>
            <w:div w:id="431778663">
              <w:marLeft w:val="0"/>
              <w:marRight w:val="0"/>
              <w:marTop w:val="0"/>
              <w:marBottom w:val="0"/>
              <w:divBdr>
                <w:top w:val="none" w:sz="0" w:space="0" w:color="auto"/>
                <w:left w:val="none" w:sz="0" w:space="0" w:color="auto"/>
                <w:bottom w:val="none" w:sz="0" w:space="0" w:color="auto"/>
                <w:right w:val="none" w:sz="0" w:space="0" w:color="auto"/>
              </w:divBdr>
            </w:div>
          </w:divsChild>
        </w:div>
        <w:div w:id="1242368463">
          <w:marLeft w:val="0"/>
          <w:marRight w:val="0"/>
          <w:marTop w:val="0"/>
          <w:marBottom w:val="0"/>
          <w:divBdr>
            <w:top w:val="none" w:sz="0" w:space="0" w:color="auto"/>
            <w:left w:val="none" w:sz="0" w:space="0" w:color="auto"/>
            <w:bottom w:val="none" w:sz="0" w:space="0" w:color="auto"/>
            <w:right w:val="none" w:sz="0" w:space="0" w:color="auto"/>
          </w:divBdr>
          <w:divsChild>
            <w:div w:id="30347884">
              <w:marLeft w:val="0"/>
              <w:marRight w:val="0"/>
              <w:marTop w:val="0"/>
              <w:marBottom w:val="0"/>
              <w:divBdr>
                <w:top w:val="none" w:sz="0" w:space="0" w:color="auto"/>
                <w:left w:val="none" w:sz="0" w:space="0" w:color="auto"/>
                <w:bottom w:val="none" w:sz="0" w:space="0" w:color="auto"/>
                <w:right w:val="none" w:sz="0" w:space="0" w:color="auto"/>
              </w:divBdr>
            </w:div>
          </w:divsChild>
        </w:div>
        <w:div w:id="264964201">
          <w:marLeft w:val="0"/>
          <w:marRight w:val="0"/>
          <w:marTop w:val="0"/>
          <w:marBottom w:val="0"/>
          <w:divBdr>
            <w:top w:val="none" w:sz="0" w:space="0" w:color="auto"/>
            <w:left w:val="none" w:sz="0" w:space="0" w:color="auto"/>
            <w:bottom w:val="none" w:sz="0" w:space="0" w:color="auto"/>
            <w:right w:val="none" w:sz="0" w:space="0" w:color="auto"/>
          </w:divBdr>
          <w:divsChild>
            <w:div w:id="1546868522">
              <w:marLeft w:val="0"/>
              <w:marRight w:val="0"/>
              <w:marTop w:val="0"/>
              <w:marBottom w:val="0"/>
              <w:divBdr>
                <w:top w:val="none" w:sz="0" w:space="0" w:color="auto"/>
                <w:left w:val="none" w:sz="0" w:space="0" w:color="auto"/>
                <w:bottom w:val="none" w:sz="0" w:space="0" w:color="auto"/>
                <w:right w:val="none" w:sz="0" w:space="0" w:color="auto"/>
              </w:divBdr>
            </w:div>
            <w:div w:id="2029787979">
              <w:marLeft w:val="0"/>
              <w:marRight w:val="0"/>
              <w:marTop w:val="0"/>
              <w:marBottom w:val="0"/>
              <w:divBdr>
                <w:top w:val="none" w:sz="0" w:space="0" w:color="auto"/>
                <w:left w:val="none" w:sz="0" w:space="0" w:color="auto"/>
                <w:bottom w:val="none" w:sz="0" w:space="0" w:color="auto"/>
                <w:right w:val="none" w:sz="0" w:space="0" w:color="auto"/>
              </w:divBdr>
            </w:div>
            <w:div w:id="535696579">
              <w:marLeft w:val="0"/>
              <w:marRight w:val="0"/>
              <w:marTop w:val="0"/>
              <w:marBottom w:val="0"/>
              <w:divBdr>
                <w:top w:val="none" w:sz="0" w:space="0" w:color="auto"/>
                <w:left w:val="none" w:sz="0" w:space="0" w:color="auto"/>
                <w:bottom w:val="none" w:sz="0" w:space="0" w:color="auto"/>
                <w:right w:val="none" w:sz="0" w:space="0" w:color="auto"/>
              </w:divBdr>
            </w:div>
          </w:divsChild>
        </w:div>
        <w:div w:id="1608586623">
          <w:marLeft w:val="0"/>
          <w:marRight w:val="0"/>
          <w:marTop w:val="0"/>
          <w:marBottom w:val="0"/>
          <w:divBdr>
            <w:top w:val="none" w:sz="0" w:space="0" w:color="auto"/>
            <w:left w:val="none" w:sz="0" w:space="0" w:color="auto"/>
            <w:bottom w:val="none" w:sz="0" w:space="0" w:color="auto"/>
            <w:right w:val="none" w:sz="0" w:space="0" w:color="auto"/>
          </w:divBdr>
          <w:divsChild>
            <w:div w:id="541331319">
              <w:marLeft w:val="0"/>
              <w:marRight w:val="0"/>
              <w:marTop w:val="0"/>
              <w:marBottom w:val="0"/>
              <w:divBdr>
                <w:top w:val="none" w:sz="0" w:space="0" w:color="auto"/>
                <w:left w:val="none" w:sz="0" w:space="0" w:color="auto"/>
                <w:bottom w:val="none" w:sz="0" w:space="0" w:color="auto"/>
                <w:right w:val="none" w:sz="0" w:space="0" w:color="auto"/>
              </w:divBdr>
            </w:div>
            <w:div w:id="912351265">
              <w:marLeft w:val="0"/>
              <w:marRight w:val="0"/>
              <w:marTop w:val="0"/>
              <w:marBottom w:val="0"/>
              <w:divBdr>
                <w:top w:val="none" w:sz="0" w:space="0" w:color="auto"/>
                <w:left w:val="none" w:sz="0" w:space="0" w:color="auto"/>
                <w:bottom w:val="none" w:sz="0" w:space="0" w:color="auto"/>
                <w:right w:val="none" w:sz="0" w:space="0" w:color="auto"/>
              </w:divBdr>
            </w:div>
            <w:div w:id="1748576825">
              <w:marLeft w:val="0"/>
              <w:marRight w:val="0"/>
              <w:marTop w:val="0"/>
              <w:marBottom w:val="0"/>
              <w:divBdr>
                <w:top w:val="none" w:sz="0" w:space="0" w:color="auto"/>
                <w:left w:val="none" w:sz="0" w:space="0" w:color="auto"/>
                <w:bottom w:val="none" w:sz="0" w:space="0" w:color="auto"/>
                <w:right w:val="none" w:sz="0" w:space="0" w:color="auto"/>
              </w:divBdr>
            </w:div>
          </w:divsChild>
        </w:div>
        <w:div w:id="1704398523">
          <w:marLeft w:val="0"/>
          <w:marRight w:val="0"/>
          <w:marTop w:val="0"/>
          <w:marBottom w:val="0"/>
          <w:divBdr>
            <w:top w:val="none" w:sz="0" w:space="0" w:color="auto"/>
            <w:left w:val="none" w:sz="0" w:space="0" w:color="auto"/>
            <w:bottom w:val="none" w:sz="0" w:space="0" w:color="auto"/>
            <w:right w:val="none" w:sz="0" w:space="0" w:color="auto"/>
          </w:divBdr>
          <w:divsChild>
            <w:div w:id="873157460">
              <w:marLeft w:val="0"/>
              <w:marRight w:val="0"/>
              <w:marTop w:val="0"/>
              <w:marBottom w:val="0"/>
              <w:divBdr>
                <w:top w:val="none" w:sz="0" w:space="0" w:color="auto"/>
                <w:left w:val="none" w:sz="0" w:space="0" w:color="auto"/>
                <w:bottom w:val="none" w:sz="0" w:space="0" w:color="auto"/>
                <w:right w:val="none" w:sz="0" w:space="0" w:color="auto"/>
              </w:divBdr>
            </w:div>
            <w:div w:id="1691297747">
              <w:marLeft w:val="0"/>
              <w:marRight w:val="0"/>
              <w:marTop w:val="0"/>
              <w:marBottom w:val="0"/>
              <w:divBdr>
                <w:top w:val="none" w:sz="0" w:space="0" w:color="auto"/>
                <w:left w:val="none" w:sz="0" w:space="0" w:color="auto"/>
                <w:bottom w:val="none" w:sz="0" w:space="0" w:color="auto"/>
                <w:right w:val="none" w:sz="0" w:space="0" w:color="auto"/>
              </w:divBdr>
            </w:div>
          </w:divsChild>
        </w:div>
        <w:div w:id="29036807">
          <w:marLeft w:val="0"/>
          <w:marRight w:val="0"/>
          <w:marTop w:val="0"/>
          <w:marBottom w:val="0"/>
          <w:divBdr>
            <w:top w:val="none" w:sz="0" w:space="0" w:color="auto"/>
            <w:left w:val="none" w:sz="0" w:space="0" w:color="auto"/>
            <w:bottom w:val="none" w:sz="0" w:space="0" w:color="auto"/>
            <w:right w:val="none" w:sz="0" w:space="0" w:color="auto"/>
          </w:divBdr>
          <w:divsChild>
            <w:div w:id="948313056">
              <w:marLeft w:val="0"/>
              <w:marRight w:val="0"/>
              <w:marTop w:val="0"/>
              <w:marBottom w:val="0"/>
              <w:divBdr>
                <w:top w:val="none" w:sz="0" w:space="0" w:color="auto"/>
                <w:left w:val="none" w:sz="0" w:space="0" w:color="auto"/>
                <w:bottom w:val="none" w:sz="0" w:space="0" w:color="auto"/>
                <w:right w:val="none" w:sz="0" w:space="0" w:color="auto"/>
              </w:divBdr>
            </w:div>
          </w:divsChild>
        </w:div>
        <w:div w:id="1483811368">
          <w:marLeft w:val="0"/>
          <w:marRight w:val="0"/>
          <w:marTop w:val="0"/>
          <w:marBottom w:val="0"/>
          <w:divBdr>
            <w:top w:val="none" w:sz="0" w:space="0" w:color="auto"/>
            <w:left w:val="none" w:sz="0" w:space="0" w:color="auto"/>
            <w:bottom w:val="none" w:sz="0" w:space="0" w:color="auto"/>
            <w:right w:val="none" w:sz="0" w:space="0" w:color="auto"/>
          </w:divBdr>
          <w:divsChild>
            <w:div w:id="936400621">
              <w:marLeft w:val="0"/>
              <w:marRight w:val="0"/>
              <w:marTop w:val="0"/>
              <w:marBottom w:val="0"/>
              <w:divBdr>
                <w:top w:val="none" w:sz="0" w:space="0" w:color="auto"/>
                <w:left w:val="none" w:sz="0" w:space="0" w:color="auto"/>
                <w:bottom w:val="none" w:sz="0" w:space="0" w:color="auto"/>
                <w:right w:val="none" w:sz="0" w:space="0" w:color="auto"/>
              </w:divBdr>
            </w:div>
          </w:divsChild>
        </w:div>
        <w:div w:id="914968931">
          <w:marLeft w:val="0"/>
          <w:marRight w:val="0"/>
          <w:marTop w:val="0"/>
          <w:marBottom w:val="0"/>
          <w:divBdr>
            <w:top w:val="none" w:sz="0" w:space="0" w:color="auto"/>
            <w:left w:val="none" w:sz="0" w:space="0" w:color="auto"/>
            <w:bottom w:val="none" w:sz="0" w:space="0" w:color="auto"/>
            <w:right w:val="none" w:sz="0" w:space="0" w:color="auto"/>
          </w:divBdr>
          <w:divsChild>
            <w:div w:id="1221210808">
              <w:marLeft w:val="0"/>
              <w:marRight w:val="0"/>
              <w:marTop w:val="0"/>
              <w:marBottom w:val="0"/>
              <w:divBdr>
                <w:top w:val="none" w:sz="0" w:space="0" w:color="auto"/>
                <w:left w:val="none" w:sz="0" w:space="0" w:color="auto"/>
                <w:bottom w:val="none" w:sz="0" w:space="0" w:color="auto"/>
                <w:right w:val="none" w:sz="0" w:space="0" w:color="auto"/>
              </w:divBdr>
            </w:div>
            <w:div w:id="1538200890">
              <w:marLeft w:val="0"/>
              <w:marRight w:val="0"/>
              <w:marTop w:val="0"/>
              <w:marBottom w:val="0"/>
              <w:divBdr>
                <w:top w:val="none" w:sz="0" w:space="0" w:color="auto"/>
                <w:left w:val="none" w:sz="0" w:space="0" w:color="auto"/>
                <w:bottom w:val="none" w:sz="0" w:space="0" w:color="auto"/>
                <w:right w:val="none" w:sz="0" w:space="0" w:color="auto"/>
              </w:divBdr>
            </w:div>
            <w:div w:id="1535192472">
              <w:marLeft w:val="0"/>
              <w:marRight w:val="0"/>
              <w:marTop w:val="0"/>
              <w:marBottom w:val="0"/>
              <w:divBdr>
                <w:top w:val="none" w:sz="0" w:space="0" w:color="auto"/>
                <w:left w:val="none" w:sz="0" w:space="0" w:color="auto"/>
                <w:bottom w:val="none" w:sz="0" w:space="0" w:color="auto"/>
                <w:right w:val="none" w:sz="0" w:space="0" w:color="auto"/>
              </w:divBdr>
            </w:div>
          </w:divsChild>
        </w:div>
        <w:div w:id="634215229">
          <w:marLeft w:val="0"/>
          <w:marRight w:val="0"/>
          <w:marTop w:val="0"/>
          <w:marBottom w:val="0"/>
          <w:divBdr>
            <w:top w:val="none" w:sz="0" w:space="0" w:color="auto"/>
            <w:left w:val="none" w:sz="0" w:space="0" w:color="auto"/>
            <w:bottom w:val="none" w:sz="0" w:space="0" w:color="auto"/>
            <w:right w:val="none" w:sz="0" w:space="0" w:color="auto"/>
          </w:divBdr>
          <w:divsChild>
            <w:div w:id="1351299167">
              <w:marLeft w:val="0"/>
              <w:marRight w:val="0"/>
              <w:marTop w:val="0"/>
              <w:marBottom w:val="0"/>
              <w:divBdr>
                <w:top w:val="none" w:sz="0" w:space="0" w:color="auto"/>
                <w:left w:val="none" w:sz="0" w:space="0" w:color="auto"/>
                <w:bottom w:val="none" w:sz="0" w:space="0" w:color="auto"/>
                <w:right w:val="none" w:sz="0" w:space="0" w:color="auto"/>
              </w:divBdr>
            </w:div>
            <w:div w:id="1039015235">
              <w:marLeft w:val="0"/>
              <w:marRight w:val="0"/>
              <w:marTop w:val="0"/>
              <w:marBottom w:val="0"/>
              <w:divBdr>
                <w:top w:val="none" w:sz="0" w:space="0" w:color="auto"/>
                <w:left w:val="none" w:sz="0" w:space="0" w:color="auto"/>
                <w:bottom w:val="none" w:sz="0" w:space="0" w:color="auto"/>
                <w:right w:val="none" w:sz="0" w:space="0" w:color="auto"/>
              </w:divBdr>
            </w:div>
            <w:div w:id="769355234">
              <w:marLeft w:val="0"/>
              <w:marRight w:val="0"/>
              <w:marTop w:val="0"/>
              <w:marBottom w:val="0"/>
              <w:divBdr>
                <w:top w:val="none" w:sz="0" w:space="0" w:color="auto"/>
                <w:left w:val="none" w:sz="0" w:space="0" w:color="auto"/>
                <w:bottom w:val="none" w:sz="0" w:space="0" w:color="auto"/>
                <w:right w:val="none" w:sz="0" w:space="0" w:color="auto"/>
              </w:divBdr>
            </w:div>
          </w:divsChild>
        </w:div>
        <w:div w:id="1187518841">
          <w:marLeft w:val="0"/>
          <w:marRight w:val="0"/>
          <w:marTop w:val="0"/>
          <w:marBottom w:val="0"/>
          <w:divBdr>
            <w:top w:val="none" w:sz="0" w:space="0" w:color="auto"/>
            <w:left w:val="none" w:sz="0" w:space="0" w:color="auto"/>
            <w:bottom w:val="none" w:sz="0" w:space="0" w:color="auto"/>
            <w:right w:val="none" w:sz="0" w:space="0" w:color="auto"/>
          </w:divBdr>
          <w:divsChild>
            <w:div w:id="1205824836">
              <w:marLeft w:val="0"/>
              <w:marRight w:val="0"/>
              <w:marTop w:val="0"/>
              <w:marBottom w:val="0"/>
              <w:divBdr>
                <w:top w:val="none" w:sz="0" w:space="0" w:color="auto"/>
                <w:left w:val="none" w:sz="0" w:space="0" w:color="auto"/>
                <w:bottom w:val="none" w:sz="0" w:space="0" w:color="auto"/>
                <w:right w:val="none" w:sz="0" w:space="0" w:color="auto"/>
              </w:divBdr>
            </w:div>
            <w:div w:id="31543557">
              <w:marLeft w:val="0"/>
              <w:marRight w:val="0"/>
              <w:marTop w:val="0"/>
              <w:marBottom w:val="0"/>
              <w:divBdr>
                <w:top w:val="none" w:sz="0" w:space="0" w:color="auto"/>
                <w:left w:val="none" w:sz="0" w:space="0" w:color="auto"/>
                <w:bottom w:val="none" w:sz="0" w:space="0" w:color="auto"/>
                <w:right w:val="none" w:sz="0" w:space="0" w:color="auto"/>
              </w:divBdr>
            </w:div>
          </w:divsChild>
        </w:div>
        <w:div w:id="1914898720">
          <w:marLeft w:val="0"/>
          <w:marRight w:val="0"/>
          <w:marTop w:val="0"/>
          <w:marBottom w:val="0"/>
          <w:divBdr>
            <w:top w:val="none" w:sz="0" w:space="0" w:color="auto"/>
            <w:left w:val="none" w:sz="0" w:space="0" w:color="auto"/>
            <w:bottom w:val="none" w:sz="0" w:space="0" w:color="auto"/>
            <w:right w:val="none" w:sz="0" w:space="0" w:color="auto"/>
          </w:divBdr>
          <w:divsChild>
            <w:div w:id="1430657906">
              <w:marLeft w:val="0"/>
              <w:marRight w:val="0"/>
              <w:marTop w:val="0"/>
              <w:marBottom w:val="0"/>
              <w:divBdr>
                <w:top w:val="none" w:sz="0" w:space="0" w:color="auto"/>
                <w:left w:val="none" w:sz="0" w:space="0" w:color="auto"/>
                <w:bottom w:val="none" w:sz="0" w:space="0" w:color="auto"/>
                <w:right w:val="none" w:sz="0" w:space="0" w:color="auto"/>
              </w:divBdr>
            </w:div>
          </w:divsChild>
        </w:div>
        <w:div w:id="40977766">
          <w:marLeft w:val="0"/>
          <w:marRight w:val="0"/>
          <w:marTop w:val="0"/>
          <w:marBottom w:val="0"/>
          <w:divBdr>
            <w:top w:val="none" w:sz="0" w:space="0" w:color="auto"/>
            <w:left w:val="none" w:sz="0" w:space="0" w:color="auto"/>
            <w:bottom w:val="none" w:sz="0" w:space="0" w:color="auto"/>
            <w:right w:val="none" w:sz="0" w:space="0" w:color="auto"/>
          </w:divBdr>
          <w:divsChild>
            <w:div w:id="628708388">
              <w:marLeft w:val="0"/>
              <w:marRight w:val="0"/>
              <w:marTop w:val="0"/>
              <w:marBottom w:val="0"/>
              <w:divBdr>
                <w:top w:val="none" w:sz="0" w:space="0" w:color="auto"/>
                <w:left w:val="none" w:sz="0" w:space="0" w:color="auto"/>
                <w:bottom w:val="none" w:sz="0" w:space="0" w:color="auto"/>
                <w:right w:val="none" w:sz="0" w:space="0" w:color="auto"/>
              </w:divBdr>
            </w:div>
            <w:div w:id="2073695697">
              <w:marLeft w:val="0"/>
              <w:marRight w:val="0"/>
              <w:marTop w:val="0"/>
              <w:marBottom w:val="0"/>
              <w:divBdr>
                <w:top w:val="none" w:sz="0" w:space="0" w:color="auto"/>
                <w:left w:val="none" w:sz="0" w:space="0" w:color="auto"/>
                <w:bottom w:val="none" w:sz="0" w:space="0" w:color="auto"/>
                <w:right w:val="none" w:sz="0" w:space="0" w:color="auto"/>
              </w:divBdr>
            </w:div>
          </w:divsChild>
        </w:div>
        <w:div w:id="1528103469">
          <w:marLeft w:val="0"/>
          <w:marRight w:val="0"/>
          <w:marTop w:val="0"/>
          <w:marBottom w:val="0"/>
          <w:divBdr>
            <w:top w:val="none" w:sz="0" w:space="0" w:color="auto"/>
            <w:left w:val="none" w:sz="0" w:space="0" w:color="auto"/>
            <w:bottom w:val="none" w:sz="0" w:space="0" w:color="auto"/>
            <w:right w:val="none" w:sz="0" w:space="0" w:color="auto"/>
          </w:divBdr>
          <w:divsChild>
            <w:div w:id="1912278047">
              <w:marLeft w:val="0"/>
              <w:marRight w:val="0"/>
              <w:marTop w:val="0"/>
              <w:marBottom w:val="0"/>
              <w:divBdr>
                <w:top w:val="none" w:sz="0" w:space="0" w:color="auto"/>
                <w:left w:val="none" w:sz="0" w:space="0" w:color="auto"/>
                <w:bottom w:val="none" w:sz="0" w:space="0" w:color="auto"/>
                <w:right w:val="none" w:sz="0" w:space="0" w:color="auto"/>
              </w:divBdr>
            </w:div>
            <w:div w:id="1005669487">
              <w:marLeft w:val="0"/>
              <w:marRight w:val="0"/>
              <w:marTop w:val="0"/>
              <w:marBottom w:val="0"/>
              <w:divBdr>
                <w:top w:val="none" w:sz="0" w:space="0" w:color="auto"/>
                <w:left w:val="none" w:sz="0" w:space="0" w:color="auto"/>
                <w:bottom w:val="none" w:sz="0" w:space="0" w:color="auto"/>
                <w:right w:val="none" w:sz="0" w:space="0" w:color="auto"/>
              </w:divBdr>
            </w:div>
            <w:div w:id="1324234067">
              <w:marLeft w:val="0"/>
              <w:marRight w:val="0"/>
              <w:marTop w:val="0"/>
              <w:marBottom w:val="0"/>
              <w:divBdr>
                <w:top w:val="none" w:sz="0" w:space="0" w:color="auto"/>
                <w:left w:val="none" w:sz="0" w:space="0" w:color="auto"/>
                <w:bottom w:val="none" w:sz="0" w:space="0" w:color="auto"/>
                <w:right w:val="none" w:sz="0" w:space="0" w:color="auto"/>
              </w:divBdr>
            </w:div>
          </w:divsChild>
        </w:div>
        <w:div w:id="2021082721">
          <w:marLeft w:val="0"/>
          <w:marRight w:val="0"/>
          <w:marTop w:val="0"/>
          <w:marBottom w:val="0"/>
          <w:divBdr>
            <w:top w:val="none" w:sz="0" w:space="0" w:color="auto"/>
            <w:left w:val="none" w:sz="0" w:space="0" w:color="auto"/>
            <w:bottom w:val="none" w:sz="0" w:space="0" w:color="auto"/>
            <w:right w:val="none" w:sz="0" w:space="0" w:color="auto"/>
          </w:divBdr>
          <w:divsChild>
            <w:div w:id="2086680636">
              <w:marLeft w:val="0"/>
              <w:marRight w:val="0"/>
              <w:marTop w:val="0"/>
              <w:marBottom w:val="0"/>
              <w:divBdr>
                <w:top w:val="none" w:sz="0" w:space="0" w:color="auto"/>
                <w:left w:val="none" w:sz="0" w:space="0" w:color="auto"/>
                <w:bottom w:val="none" w:sz="0" w:space="0" w:color="auto"/>
                <w:right w:val="none" w:sz="0" w:space="0" w:color="auto"/>
              </w:divBdr>
            </w:div>
            <w:div w:id="1681421276">
              <w:marLeft w:val="0"/>
              <w:marRight w:val="0"/>
              <w:marTop w:val="0"/>
              <w:marBottom w:val="0"/>
              <w:divBdr>
                <w:top w:val="none" w:sz="0" w:space="0" w:color="auto"/>
                <w:left w:val="none" w:sz="0" w:space="0" w:color="auto"/>
                <w:bottom w:val="none" w:sz="0" w:space="0" w:color="auto"/>
                <w:right w:val="none" w:sz="0" w:space="0" w:color="auto"/>
              </w:divBdr>
            </w:div>
          </w:divsChild>
        </w:div>
        <w:div w:id="712123173">
          <w:marLeft w:val="0"/>
          <w:marRight w:val="0"/>
          <w:marTop w:val="0"/>
          <w:marBottom w:val="0"/>
          <w:divBdr>
            <w:top w:val="none" w:sz="0" w:space="0" w:color="auto"/>
            <w:left w:val="none" w:sz="0" w:space="0" w:color="auto"/>
            <w:bottom w:val="none" w:sz="0" w:space="0" w:color="auto"/>
            <w:right w:val="none" w:sz="0" w:space="0" w:color="auto"/>
          </w:divBdr>
          <w:divsChild>
            <w:div w:id="274599114">
              <w:marLeft w:val="0"/>
              <w:marRight w:val="0"/>
              <w:marTop w:val="0"/>
              <w:marBottom w:val="0"/>
              <w:divBdr>
                <w:top w:val="none" w:sz="0" w:space="0" w:color="auto"/>
                <w:left w:val="none" w:sz="0" w:space="0" w:color="auto"/>
                <w:bottom w:val="none" w:sz="0" w:space="0" w:color="auto"/>
                <w:right w:val="none" w:sz="0" w:space="0" w:color="auto"/>
              </w:divBdr>
            </w:div>
          </w:divsChild>
        </w:div>
        <w:div w:id="2011593521">
          <w:marLeft w:val="0"/>
          <w:marRight w:val="0"/>
          <w:marTop w:val="0"/>
          <w:marBottom w:val="0"/>
          <w:divBdr>
            <w:top w:val="none" w:sz="0" w:space="0" w:color="auto"/>
            <w:left w:val="none" w:sz="0" w:space="0" w:color="auto"/>
            <w:bottom w:val="none" w:sz="0" w:space="0" w:color="auto"/>
            <w:right w:val="none" w:sz="0" w:space="0" w:color="auto"/>
          </w:divBdr>
          <w:divsChild>
            <w:div w:id="1331106303">
              <w:marLeft w:val="0"/>
              <w:marRight w:val="0"/>
              <w:marTop w:val="0"/>
              <w:marBottom w:val="0"/>
              <w:divBdr>
                <w:top w:val="none" w:sz="0" w:space="0" w:color="auto"/>
                <w:left w:val="none" w:sz="0" w:space="0" w:color="auto"/>
                <w:bottom w:val="none" w:sz="0" w:space="0" w:color="auto"/>
                <w:right w:val="none" w:sz="0" w:space="0" w:color="auto"/>
              </w:divBdr>
            </w:div>
            <w:div w:id="2137748870">
              <w:marLeft w:val="0"/>
              <w:marRight w:val="0"/>
              <w:marTop w:val="0"/>
              <w:marBottom w:val="0"/>
              <w:divBdr>
                <w:top w:val="none" w:sz="0" w:space="0" w:color="auto"/>
                <w:left w:val="none" w:sz="0" w:space="0" w:color="auto"/>
                <w:bottom w:val="none" w:sz="0" w:space="0" w:color="auto"/>
                <w:right w:val="none" w:sz="0" w:space="0" w:color="auto"/>
              </w:divBdr>
            </w:div>
            <w:div w:id="981695406">
              <w:marLeft w:val="0"/>
              <w:marRight w:val="0"/>
              <w:marTop w:val="0"/>
              <w:marBottom w:val="0"/>
              <w:divBdr>
                <w:top w:val="none" w:sz="0" w:space="0" w:color="auto"/>
                <w:left w:val="none" w:sz="0" w:space="0" w:color="auto"/>
                <w:bottom w:val="none" w:sz="0" w:space="0" w:color="auto"/>
                <w:right w:val="none" w:sz="0" w:space="0" w:color="auto"/>
              </w:divBdr>
            </w:div>
          </w:divsChild>
        </w:div>
        <w:div w:id="983267631">
          <w:marLeft w:val="0"/>
          <w:marRight w:val="0"/>
          <w:marTop w:val="0"/>
          <w:marBottom w:val="0"/>
          <w:divBdr>
            <w:top w:val="none" w:sz="0" w:space="0" w:color="auto"/>
            <w:left w:val="none" w:sz="0" w:space="0" w:color="auto"/>
            <w:bottom w:val="none" w:sz="0" w:space="0" w:color="auto"/>
            <w:right w:val="none" w:sz="0" w:space="0" w:color="auto"/>
          </w:divBdr>
          <w:divsChild>
            <w:div w:id="648635394">
              <w:marLeft w:val="0"/>
              <w:marRight w:val="0"/>
              <w:marTop w:val="0"/>
              <w:marBottom w:val="0"/>
              <w:divBdr>
                <w:top w:val="none" w:sz="0" w:space="0" w:color="auto"/>
                <w:left w:val="none" w:sz="0" w:space="0" w:color="auto"/>
                <w:bottom w:val="none" w:sz="0" w:space="0" w:color="auto"/>
                <w:right w:val="none" w:sz="0" w:space="0" w:color="auto"/>
              </w:divBdr>
            </w:div>
            <w:div w:id="1410158768">
              <w:marLeft w:val="0"/>
              <w:marRight w:val="0"/>
              <w:marTop w:val="0"/>
              <w:marBottom w:val="0"/>
              <w:divBdr>
                <w:top w:val="none" w:sz="0" w:space="0" w:color="auto"/>
                <w:left w:val="none" w:sz="0" w:space="0" w:color="auto"/>
                <w:bottom w:val="none" w:sz="0" w:space="0" w:color="auto"/>
                <w:right w:val="none" w:sz="0" w:space="0" w:color="auto"/>
              </w:divBdr>
            </w:div>
            <w:div w:id="230965494">
              <w:marLeft w:val="0"/>
              <w:marRight w:val="0"/>
              <w:marTop w:val="0"/>
              <w:marBottom w:val="0"/>
              <w:divBdr>
                <w:top w:val="none" w:sz="0" w:space="0" w:color="auto"/>
                <w:left w:val="none" w:sz="0" w:space="0" w:color="auto"/>
                <w:bottom w:val="none" w:sz="0" w:space="0" w:color="auto"/>
                <w:right w:val="none" w:sz="0" w:space="0" w:color="auto"/>
              </w:divBdr>
            </w:div>
            <w:div w:id="1067804854">
              <w:marLeft w:val="0"/>
              <w:marRight w:val="0"/>
              <w:marTop w:val="0"/>
              <w:marBottom w:val="0"/>
              <w:divBdr>
                <w:top w:val="none" w:sz="0" w:space="0" w:color="auto"/>
                <w:left w:val="none" w:sz="0" w:space="0" w:color="auto"/>
                <w:bottom w:val="none" w:sz="0" w:space="0" w:color="auto"/>
                <w:right w:val="none" w:sz="0" w:space="0" w:color="auto"/>
              </w:divBdr>
            </w:div>
          </w:divsChild>
        </w:div>
        <w:div w:id="285552413">
          <w:marLeft w:val="0"/>
          <w:marRight w:val="0"/>
          <w:marTop w:val="0"/>
          <w:marBottom w:val="0"/>
          <w:divBdr>
            <w:top w:val="none" w:sz="0" w:space="0" w:color="auto"/>
            <w:left w:val="none" w:sz="0" w:space="0" w:color="auto"/>
            <w:bottom w:val="none" w:sz="0" w:space="0" w:color="auto"/>
            <w:right w:val="none" w:sz="0" w:space="0" w:color="auto"/>
          </w:divBdr>
          <w:divsChild>
            <w:div w:id="997424419">
              <w:marLeft w:val="0"/>
              <w:marRight w:val="0"/>
              <w:marTop w:val="0"/>
              <w:marBottom w:val="0"/>
              <w:divBdr>
                <w:top w:val="none" w:sz="0" w:space="0" w:color="auto"/>
                <w:left w:val="none" w:sz="0" w:space="0" w:color="auto"/>
                <w:bottom w:val="none" w:sz="0" w:space="0" w:color="auto"/>
                <w:right w:val="none" w:sz="0" w:space="0" w:color="auto"/>
              </w:divBdr>
            </w:div>
            <w:div w:id="1112627009">
              <w:marLeft w:val="0"/>
              <w:marRight w:val="0"/>
              <w:marTop w:val="0"/>
              <w:marBottom w:val="0"/>
              <w:divBdr>
                <w:top w:val="none" w:sz="0" w:space="0" w:color="auto"/>
                <w:left w:val="none" w:sz="0" w:space="0" w:color="auto"/>
                <w:bottom w:val="none" w:sz="0" w:space="0" w:color="auto"/>
                <w:right w:val="none" w:sz="0" w:space="0" w:color="auto"/>
              </w:divBdr>
            </w:div>
            <w:div w:id="828013323">
              <w:marLeft w:val="0"/>
              <w:marRight w:val="0"/>
              <w:marTop w:val="0"/>
              <w:marBottom w:val="0"/>
              <w:divBdr>
                <w:top w:val="none" w:sz="0" w:space="0" w:color="auto"/>
                <w:left w:val="none" w:sz="0" w:space="0" w:color="auto"/>
                <w:bottom w:val="none" w:sz="0" w:space="0" w:color="auto"/>
                <w:right w:val="none" w:sz="0" w:space="0" w:color="auto"/>
              </w:divBdr>
            </w:div>
          </w:divsChild>
        </w:div>
        <w:div w:id="412892290">
          <w:marLeft w:val="0"/>
          <w:marRight w:val="0"/>
          <w:marTop w:val="0"/>
          <w:marBottom w:val="0"/>
          <w:divBdr>
            <w:top w:val="none" w:sz="0" w:space="0" w:color="auto"/>
            <w:left w:val="none" w:sz="0" w:space="0" w:color="auto"/>
            <w:bottom w:val="none" w:sz="0" w:space="0" w:color="auto"/>
            <w:right w:val="none" w:sz="0" w:space="0" w:color="auto"/>
          </w:divBdr>
          <w:divsChild>
            <w:div w:id="2078358548">
              <w:marLeft w:val="0"/>
              <w:marRight w:val="0"/>
              <w:marTop w:val="0"/>
              <w:marBottom w:val="0"/>
              <w:divBdr>
                <w:top w:val="none" w:sz="0" w:space="0" w:color="auto"/>
                <w:left w:val="none" w:sz="0" w:space="0" w:color="auto"/>
                <w:bottom w:val="none" w:sz="0" w:space="0" w:color="auto"/>
                <w:right w:val="none" w:sz="0" w:space="0" w:color="auto"/>
              </w:divBdr>
            </w:div>
            <w:div w:id="1760638963">
              <w:marLeft w:val="0"/>
              <w:marRight w:val="0"/>
              <w:marTop w:val="0"/>
              <w:marBottom w:val="0"/>
              <w:divBdr>
                <w:top w:val="none" w:sz="0" w:space="0" w:color="auto"/>
                <w:left w:val="none" w:sz="0" w:space="0" w:color="auto"/>
                <w:bottom w:val="none" w:sz="0" w:space="0" w:color="auto"/>
                <w:right w:val="none" w:sz="0" w:space="0" w:color="auto"/>
              </w:divBdr>
            </w:div>
            <w:div w:id="8024303">
              <w:marLeft w:val="0"/>
              <w:marRight w:val="0"/>
              <w:marTop w:val="0"/>
              <w:marBottom w:val="0"/>
              <w:divBdr>
                <w:top w:val="none" w:sz="0" w:space="0" w:color="auto"/>
                <w:left w:val="none" w:sz="0" w:space="0" w:color="auto"/>
                <w:bottom w:val="none" w:sz="0" w:space="0" w:color="auto"/>
                <w:right w:val="none" w:sz="0" w:space="0" w:color="auto"/>
              </w:divBdr>
            </w:div>
          </w:divsChild>
        </w:div>
        <w:div w:id="801966574">
          <w:marLeft w:val="0"/>
          <w:marRight w:val="0"/>
          <w:marTop w:val="0"/>
          <w:marBottom w:val="0"/>
          <w:divBdr>
            <w:top w:val="none" w:sz="0" w:space="0" w:color="auto"/>
            <w:left w:val="none" w:sz="0" w:space="0" w:color="auto"/>
            <w:bottom w:val="none" w:sz="0" w:space="0" w:color="auto"/>
            <w:right w:val="none" w:sz="0" w:space="0" w:color="auto"/>
          </w:divBdr>
          <w:divsChild>
            <w:div w:id="1935167151">
              <w:marLeft w:val="0"/>
              <w:marRight w:val="0"/>
              <w:marTop w:val="0"/>
              <w:marBottom w:val="0"/>
              <w:divBdr>
                <w:top w:val="none" w:sz="0" w:space="0" w:color="auto"/>
                <w:left w:val="none" w:sz="0" w:space="0" w:color="auto"/>
                <w:bottom w:val="none" w:sz="0" w:space="0" w:color="auto"/>
                <w:right w:val="none" w:sz="0" w:space="0" w:color="auto"/>
              </w:divBdr>
            </w:div>
          </w:divsChild>
        </w:div>
        <w:div w:id="1288703099">
          <w:marLeft w:val="0"/>
          <w:marRight w:val="0"/>
          <w:marTop w:val="0"/>
          <w:marBottom w:val="0"/>
          <w:divBdr>
            <w:top w:val="none" w:sz="0" w:space="0" w:color="auto"/>
            <w:left w:val="none" w:sz="0" w:space="0" w:color="auto"/>
            <w:bottom w:val="none" w:sz="0" w:space="0" w:color="auto"/>
            <w:right w:val="none" w:sz="0" w:space="0" w:color="auto"/>
          </w:divBdr>
          <w:divsChild>
            <w:div w:id="64424805">
              <w:marLeft w:val="0"/>
              <w:marRight w:val="0"/>
              <w:marTop w:val="0"/>
              <w:marBottom w:val="0"/>
              <w:divBdr>
                <w:top w:val="none" w:sz="0" w:space="0" w:color="auto"/>
                <w:left w:val="none" w:sz="0" w:space="0" w:color="auto"/>
                <w:bottom w:val="none" w:sz="0" w:space="0" w:color="auto"/>
                <w:right w:val="none" w:sz="0" w:space="0" w:color="auto"/>
              </w:divBdr>
            </w:div>
            <w:div w:id="772898790">
              <w:marLeft w:val="0"/>
              <w:marRight w:val="0"/>
              <w:marTop w:val="0"/>
              <w:marBottom w:val="0"/>
              <w:divBdr>
                <w:top w:val="none" w:sz="0" w:space="0" w:color="auto"/>
                <w:left w:val="none" w:sz="0" w:space="0" w:color="auto"/>
                <w:bottom w:val="none" w:sz="0" w:space="0" w:color="auto"/>
                <w:right w:val="none" w:sz="0" w:space="0" w:color="auto"/>
              </w:divBdr>
            </w:div>
            <w:div w:id="1457482905">
              <w:marLeft w:val="0"/>
              <w:marRight w:val="0"/>
              <w:marTop w:val="0"/>
              <w:marBottom w:val="0"/>
              <w:divBdr>
                <w:top w:val="none" w:sz="0" w:space="0" w:color="auto"/>
                <w:left w:val="none" w:sz="0" w:space="0" w:color="auto"/>
                <w:bottom w:val="none" w:sz="0" w:space="0" w:color="auto"/>
                <w:right w:val="none" w:sz="0" w:space="0" w:color="auto"/>
              </w:divBdr>
            </w:div>
          </w:divsChild>
        </w:div>
        <w:div w:id="2001540457">
          <w:marLeft w:val="0"/>
          <w:marRight w:val="0"/>
          <w:marTop w:val="0"/>
          <w:marBottom w:val="0"/>
          <w:divBdr>
            <w:top w:val="none" w:sz="0" w:space="0" w:color="auto"/>
            <w:left w:val="none" w:sz="0" w:space="0" w:color="auto"/>
            <w:bottom w:val="none" w:sz="0" w:space="0" w:color="auto"/>
            <w:right w:val="none" w:sz="0" w:space="0" w:color="auto"/>
          </w:divBdr>
          <w:divsChild>
            <w:div w:id="1462649608">
              <w:marLeft w:val="0"/>
              <w:marRight w:val="0"/>
              <w:marTop w:val="0"/>
              <w:marBottom w:val="0"/>
              <w:divBdr>
                <w:top w:val="none" w:sz="0" w:space="0" w:color="auto"/>
                <w:left w:val="none" w:sz="0" w:space="0" w:color="auto"/>
                <w:bottom w:val="none" w:sz="0" w:space="0" w:color="auto"/>
                <w:right w:val="none" w:sz="0" w:space="0" w:color="auto"/>
              </w:divBdr>
            </w:div>
            <w:div w:id="261648855">
              <w:marLeft w:val="0"/>
              <w:marRight w:val="0"/>
              <w:marTop w:val="0"/>
              <w:marBottom w:val="0"/>
              <w:divBdr>
                <w:top w:val="none" w:sz="0" w:space="0" w:color="auto"/>
                <w:left w:val="none" w:sz="0" w:space="0" w:color="auto"/>
                <w:bottom w:val="none" w:sz="0" w:space="0" w:color="auto"/>
                <w:right w:val="none" w:sz="0" w:space="0" w:color="auto"/>
              </w:divBdr>
            </w:div>
          </w:divsChild>
        </w:div>
        <w:div w:id="1089933006">
          <w:marLeft w:val="0"/>
          <w:marRight w:val="0"/>
          <w:marTop w:val="0"/>
          <w:marBottom w:val="0"/>
          <w:divBdr>
            <w:top w:val="none" w:sz="0" w:space="0" w:color="auto"/>
            <w:left w:val="none" w:sz="0" w:space="0" w:color="auto"/>
            <w:bottom w:val="none" w:sz="0" w:space="0" w:color="auto"/>
            <w:right w:val="none" w:sz="0" w:space="0" w:color="auto"/>
          </w:divBdr>
          <w:divsChild>
            <w:div w:id="2057468396">
              <w:marLeft w:val="0"/>
              <w:marRight w:val="0"/>
              <w:marTop w:val="0"/>
              <w:marBottom w:val="0"/>
              <w:divBdr>
                <w:top w:val="none" w:sz="0" w:space="0" w:color="auto"/>
                <w:left w:val="none" w:sz="0" w:space="0" w:color="auto"/>
                <w:bottom w:val="none" w:sz="0" w:space="0" w:color="auto"/>
                <w:right w:val="none" w:sz="0" w:space="0" w:color="auto"/>
              </w:divBdr>
            </w:div>
            <w:div w:id="2125994664">
              <w:marLeft w:val="0"/>
              <w:marRight w:val="0"/>
              <w:marTop w:val="0"/>
              <w:marBottom w:val="0"/>
              <w:divBdr>
                <w:top w:val="none" w:sz="0" w:space="0" w:color="auto"/>
                <w:left w:val="none" w:sz="0" w:space="0" w:color="auto"/>
                <w:bottom w:val="none" w:sz="0" w:space="0" w:color="auto"/>
                <w:right w:val="none" w:sz="0" w:space="0" w:color="auto"/>
              </w:divBdr>
            </w:div>
          </w:divsChild>
        </w:div>
        <w:div w:id="1058818352">
          <w:marLeft w:val="0"/>
          <w:marRight w:val="0"/>
          <w:marTop w:val="0"/>
          <w:marBottom w:val="0"/>
          <w:divBdr>
            <w:top w:val="none" w:sz="0" w:space="0" w:color="auto"/>
            <w:left w:val="none" w:sz="0" w:space="0" w:color="auto"/>
            <w:bottom w:val="none" w:sz="0" w:space="0" w:color="auto"/>
            <w:right w:val="none" w:sz="0" w:space="0" w:color="auto"/>
          </w:divBdr>
          <w:divsChild>
            <w:div w:id="104663896">
              <w:marLeft w:val="0"/>
              <w:marRight w:val="0"/>
              <w:marTop w:val="0"/>
              <w:marBottom w:val="0"/>
              <w:divBdr>
                <w:top w:val="none" w:sz="0" w:space="0" w:color="auto"/>
                <w:left w:val="none" w:sz="0" w:space="0" w:color="auto"/>
                <w:bottom w:val="none" w:sz="0" w:space="0" w:color="auto"/>
                <w:right w:val="none" w:sz="0" w:space="0" w:color="auto"/>
              </w:divBdr>
            </w:div>
          </w:divsChild>
        </w:div>
        <w:div w:id="426200007">
          <w:marLeft w:val="0"/>
          <w:marRight w:val="0"/>
          <w:marTop w:val="0"/>
          <w:marBottom w:val="0"/>
          <w:divBdr>
            <w:top w:val="none" w:sz="0" w:space="0" w:color="auto"/>
            <w:left w:val="none" w:sz="0" w:space="0" w:color="auto"/>
            <w:bottom w:val="none" w:sz="0" w:space="0" w:color="auto"/>
            <w:right w:val="none" w:sz="0" w:space="0" w:color="auto"/>
          </w:divBdr>
          <w:divsChild>
            <w:div w:id="1492330041">
              <w:marLeft w:val="0"/>
              <w:marRight w:val="0"/>
              <w:marTop w:val="0"/>
              <w:marBottom w:val="0"/>
              <w:divBdr>
                <w:top w:val="none" w:sz="0" w:space="0" w:color="auto"/>
                <w:left w:val="none" w:sz="0" w:space="0" w:color="auto"/>
                <w:bottom w:val="none" w:sz="0" w:space="0" w:color="auto"/>
                <w:right w:val="none" w:sz="0" w:space="0" w:color="auto"/>
              </w:divBdr>
            </w:div>
            <w:div w:id="1859587283">
              <w:marLeft w:val="0"/>
              <w:marRight w:val="0"/>
              <w:marTop w:val="0"/>
              <w:marBottom w:val="0"/>
              <w:divBdr>
                <w:top w:val="none" w:sz="0" w:space="0" w:color="auto"/>
                <w:left w:val="none" w:sz="0" w:space="0" w:color="auto"/>
                <w:bottom w:val="none" w:sz="0" w:space="0" w:color="auto"/>
                <w:right w:val="none" w:sz="0" w:space="0" w:color="auto"/>
              </w:divBdr>
            </w:div>
          </w:divsChild>
        </w:div>
        <w:div w:id="1035036755">
          <w:marLeft w:val="0"/>
          <w:marRight w:val="0"/>
          <w:marTop w:val="0"/>
          <w:marBottom w:val="0"/>
          <w:divBdr>
            <w:top w:val="none" w:sz="0" w:space="0" w:color="auto"/>
            <w:left w:val="none" w:sz="0" w:space="0" w:color="auto"/>
            <w:bottom w:val="none" w:sz="0" w:space="0" w:color="auto"/>
            <w:right w:val="none" w:sz="0" w:space="0" w:color="auto"/>
          </w:divBdr>
          <w:divsChild>
            <w:div w:id="809444872">
              <w:marLeft w:val="0"/>
              <w:marRight w:val="0"/>
              <w:marTop w:val="0"/>
              <w:marBottom w:val="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 w:id="1869945709">
              <w:marLeft w:val="0"/>
              <w:marRight w:val="0"/>
              <w:marTop w:val="0"/>
              <w:marBottom w:val="0"/>
              <w:divBdr>
                <w:top w:val="none" w:sz="0" w:space="0" w:color="auto"/>
                <w:left w:val="none" w:sz="0" w:space="0" w:color="auto"/>
                <w:bottom w:val="none" w:sz="0" w:space="0" w:color="auto"/>
                <w:right w:val="none" w:sz="0" w:space="0" w:color="auto"/>
              </w:divBdr>
            </w:div>
          </w:divsChild>
        </w:div>
        <w:div w:id="229389178">
          <w:marLeft w:val="0"/>
          <w:marRight w:val="0"/>
          <w:marTop w:val="0"/>
          <w:marBottom w:val="0"/>
          <w:divBdr>
            <w:top w:val="none" w:sz="0" w:space="0" w:color="auto"/>
            <w:left w:val="none" w:sz="0" w:space="0" w:color="auto"/>
            <w:bottom w:val="none" w:sz="0" w:space="0" w:color="auto"/>
            <w:right w:val="none" w:sz="0" w:space="0" w:color="auto"/>
          </w:divBdr>
          <w:divsChild>
            <w:div w:id="1549031344">
              <w:marLeft w:val="0"/>
              <w:marRight w:val="0"/>
              <w:marTop w:val="0"/>
              <w:marBottom w:val="0"/>
              <w:divBdr>
                <w:top w:val="none" w:sz="0" w:space="0" w:color="auto"/>
                <w:left w:val="none" w:sz="0" w:space="0" w:color="auto"/>
                <w:bottom w:val="none" w:sz="0" w:space="0" w:color="auto"/>
                <w:right w:val="none" w:sz="0" w:space="0" w:color="auto"/>
              </w:divBdr>
            </w:div>
            <w:div w:id="415789858">
              <w:marLeft w:val="0"/>
              <w:marRight w:val="0"/>
              <w:marTop w:val="0"/>
              <w:marBottom w:val="0"/>
              <w:divBdr>
                <w:top w:val="none" w:sz="0" w:space="0" w:color="auto"/>
                <w:left w:val="none" w:sz="0" w:space="0" w:color="auto"/>
                <w:bottom w:val="none" w:sz="0" w:space="0" w:color="auto"/>
                <w:right w:val="none" w:sz="0" w:space="0" w:color="auto"/>
              </w:divBdr>
            </w:div>
          </w:divsChild>
        </w:div>
        <w:div w:id="908927706">
          <w:marLeft w:val="0"/>
          <w:marRight w:val="0"/>
          <w:marTop w:val="0"/>
          <w:marBottom w:val="0"/>
          <w:divBdr>
            <w:top w:val="none" w:sz="0" w:space="0" w:color="auto"/>
            <w:left w:val="none" w:sz="0" w:space="0" w:color="auto"/>
            <w:bottom w:val="none" w:sz="0" w:space="0" w:color="auto"/>
            <w:right w:val="none" w:sz="0" w:space="0" w:color="auto"/>
          </w:divBdr>
          <w:divsChild>
            <w:div w:id="1563255966">
              <w:marLeft w:val="0"/>
              <w:marRight w:val="0"/>
              <w:marTop w:val="0"/>
              <w:marBottom w:val="0"/>
              <w:divBdr>
                <w:top w:val="none" w:sz="0" w:space="0" w:color="auto"/>
                <w:left w:val="none" w:sz="0" w:space="0" w:color="auto"/>
                <w:bottom w:val="none" w:sz="0" w:space="0" w:color="auto"/>
                <w:right w:val="none" w:sz="0" w:space="0" w:color="auto"/>
              </w:divBdr>
            </w:div>
          </w:divsChild>
        </w:div>
        <w:div w:id="1785155574">
          <w:marLeft w:val="0"/>
          <w:marRight w:val="0"/>
          <w:marTop w:val="0"/>
          <w:marBottom w:val="0"/>
          <w:divBdr>
            <w:top w:val="none" w:sz="0" w:space="0" w:color="auto"/>
            <w:left w:val="none" w:sz="0" w:space="0" w:color="auto"/>
            <w:bottom w:val="none" w:sz="0" w:space="0" w:color="auto"/>
            <w:right w:val="none" w:sz="0" w:space="0" w:color="auto"/>
          </w:divBdr>
          <w:divsChild>
            <w:div w:id="301427157">
              <w:marLeft w:val="0"/>
              <w:marRight w:val="0"/>
              <w:marTop w:val="0"/>
              <w:marBottom w:val="0"/>
              <w:divBdr>
                <w:top w:val="none" w:sz="0" w:space="0" w:color="auto"/>
                <w:left w:val="none" w:sz="0" w:space="0" w:color="auto"/>
                <w:bottom w:val="none" w:sz="0" w:space="0" w:color="auto"/>
                <w:right w:val="none" w:sz="0" w:space="0" w:color="auto"/>
              </w:divBdr>
            </w:div>
            <w:div w:id="1130629463">
              <w:marLeft w:val="0"/>
              <w:marRight w:val="0"/>
              <w:marTop w:val="0"/>
              <w:marBottom w:val="0"/>
              <w:divBdr>
                <w:top w:val="none" w:sz="0" w:space="0" w:color="auto"/>
                <w:left w:val="none" w:sz="0" w:space="0" w:color="auto"/>
                <w:bottom w:val="none" w:sz="0" w:space="0" w:color="auto"/>
                <w:right w:val="none" w:sz="0" w:space="0" w:color="auto"/>
              </w:divBdr>
            </w:div>
          </w:divsChild>
        </w:div>
        <w:div w:id="1417897065">
          <w:marLeft w:val="0"/>
          <w:marRight w:val="0"/>
          <w:marTop w:val="0"/>
          <w:marBottom w:val="0"/>
          <w:divBdr>
            <w:top w:val="none" w:sz="0" w:space="0" w:color="auto"/>
            <w:left w:val="none" w:sz="0" w:space="0" w:color="auto"/>
            <w:bottom w:val="none" w:sz="0" w:space="0" w:color="auto"/>
            <w:right w:val="none" w:sz="0" w:space="0" w:color="auto"/>
          </w:divBdr>
          <w:divsChild>
            <w:div w:id="1073503253">
              <w:marLeft w:val="0"/>
              <w:marRight w:val="0"/>
              <w:marTop w:val="0"/>
              <w:marBottom w:val="0"/>
              <w:divBdr>
                <w:top w:val="none" w:sz="0" w:space="0" w:color="auto"/>
                <w:left w:val="none" w:sz="0" w:space="0" w:color="auto"/>
                <w:bottom w:val="none" w:sz="0" w:space="0" w:color="auto"/>
                <w:right w:val="none" w:sz="0" w:space="0" w:color="auto"/>
              </w:divBdr>
            </w:div>
            <w:div w:id="1026908238">
              <w:marLeft w:val="0"/>
              <w:marRight w:val="0"/>
              <w:marTop w:val="0"/>
              <w:marBottom w:val="0"/>
              <w:divBdr>
                <w:top w:val="none" w:sz="0" w:space="0" w:color="auto"/>
                <w:left w:val="none" w:sz="0" w:space="0" w:color="auto"/>
                <w:bottom w:val="none" w:sz="0" w:space="0" w:color="auto"/>
                <w:right w:val="none" w:sz="0" w:space="0" w:color="auto"/>
              </w:divBdr>
            </w:div>
            <w:div w:id="1013730913">
              <w:marLeft w:val="0"/>
              <w:marRight w:val="0"/>
              <w:marTop w:val="0"/>
              <w:marBottom w:val="0"/>
              <w:divBdr>
                <w:top w:val="none" w:sz="0" w:space="0" w:color="auto"/>
                <w:left w:val="none" w:sz="0" w:space="0" w:color="auto"/>
                <w:bottom w:val="none" w:sz="0" w:space="0" w:color="auto"/>
                <w:right w:val="none" w:sz="0" w:space="0" w:color="auto"/>
              </w:divBdr>
            </w:div>
            <w:div w:id="200844">
              <w:marLeft w:val="0"/>
              <w:marRight w:val="0"/>
              <w:marTop w:val="0"/>
              <w:marBottom w:val="0"/>
              <w:divBdr>
                <w:top w:val="none" w:sz="0" w:space="0" w:color="auto"/>
                <w:left w:val="none" w:sz="0" w:space="0" w:color="auto"/>
                <w:bottom w:val="none" w:sz="0" w:space="0" w:color="auto"/>
                <w:right w:val="none" w:sz="0" w:space="0" w:color="auto"/>
              </w:divBdr>
            </w:div>
          </w:divsChild>
        </w:div>
        <w:div w:id="897478579">
          <w:marLeft w:val="0"/>
          <w:marRight w:val="0"/>
          <w:marTop w:val="0"/>
          <w:marBottom w:val="0"/>
          <w:divBdr>
            <w:top w:val="none" w:sz="0" w:space="0" w:color="auto"/>
            <w:left w:val="none" w:sz="0" w:space="0" w:color="auto"/>
            <w:bottom w:val="none" w:sz="0" w:space="0" w:color="auto"/>
            <w:right w:val="none" w:sz="0" w:space="0" w:color="auto"/>
          </w:divBdr>
          <w:divsChild>
            <w:div w:id="734814864">
              <w:marLeft w:val="0"/>
              <w:marRight w:val="0"/>
              <w:marTop w:val="0"/>
              <w:marBottom w:val="0"/>
              <w:divBdr>
                <w:top w:val="none" w:sz="0" w:space="0" w:color="auto"/>
                <w:left w:val="none" w:sz="0" w:space="0" w:color="auto"/>
                <w:bottom w:val="none" w:sz="0" w:space="0" w:color="auto"/>
                <w:right w:val="none" w:sz="0" w:space="0" w:color="auto"/>
              </w:divBdr>
            </w:div>
            <w:div w:id="1344477377">
              <w:marLeft w:val="0"/>
              <w:marRight w:val="0"/>
              <w:marTop w:val="0"/>
              <w:marBottom w:val="0"/>
              <w:divBdr>
                <w:top w:val="none" w:sz="0" w:space="0" w:color="auto"/>
                <w:left w:val="none" w:sz="0" w:space="0" w:color="auto"/>
                <w:bottom w:val="none" w:sz="0" w:space="0" w:color="auto"/>
                <w:right w:val="none" w:sz="0" w:space="0" w:color="auto"/>
              </w:divBdr>
            </w:div>
          </w:divsChild>
        </w:div>
        <w:div w:id="1178158401">
          <w:marLeft w:val="0"/>
          <w:marRight w:val="0"/>
          <w:marTop w:val="0"/>
          <w:marBottom w:val="0"/>
          <w:divBdr>
            <w:top w:val="none" w:sz="0" w:space="0" w:color="auto"/>
            <w:left w:val="none" w:sz="0" w:space="0" w:color="auto"/>
            <w:bottom w:val="none" w:sz="0" w:space="0" w:color="auto"/>
            <w:right w:val="none" w:sz="0" w:space="0" w:color="auto"/>
          </w:divBdr>
          <w:divsChild>
            <w:div w:id="1611938792">
              <w:marLeft w:val="0"/>
              <w:marRight w:val="0"/>
              <w:marTop w:val="0"/>
              <w:marBottom w:val="0"/>
              <w:divBdr>
                <w:top w:val="none" w:sz="0" w:space="0" w:color="auto"/>
                <w:left w:val="none" w:sz="0" w:space="0" w:color="auto"/>
                <w:bottom w:val="none" w:sz="0" w:space="0" w:color="auto"/>
                <w:right w:val="none" w:sz="0" w:space="0" w:color="auto"/>
              </w:divBdr>
            </w:div>
          </w:divsChild>
        </w:div>
        <w:div w:id="1894584861">
          <w:marLeft w:val="0"/>
          <w:marRight w:val="0"/>
          <w:marTop w:val="0"/>
          <w:marBottom w:val="0"/>
          <w:divBdr>
            <w:top w:val="none" w:sz="0" w:space="0" w:color="auto"/>
            <w:left w:val="none" w:sz="0" w:space="0" w:color="auto"/>
            <w:bottom w:val="none" w:sz="0" w:space="0" w:color="auto"/>
            <w:right w:val="none" w:sz="0" w:space="0" w:color="auto"/>
          </w:divBdr>
          <w:divsChild>
            <w:div w:id="1565024601">
              <w:marLeft w:val="0"/>
              <w:marRight w:val="0"/>
              <w:marTop w:val="0"/>
              <w:marBottom w:val="0"/>
              <w:divBdr>
                <w:top w:val="none" w:sz="0" w:space="0" w:color="auto"/>
                <w:left w:val="none" w:sz="0" w:space="0" w:color="auto"/>
                <w:bottom w:val="none" w:sz="0" w:space="0" w:color="auto"/>
                <w:right w:val="none" w:sz="0" w:space="0" w:color="auto"/>
              </w:divBdr>
            </w:div>
            <w:div w:id="1159226822">
              <w:marLeft w:val="0"/>
              <w:marRight w:val="0"/>
              <w:marTop w:val="0"/>
              <w:marBottom w:val="0"/>
              <w:divBdr>
                <w:top w:val="none" w:sz="0" w:space="0" w:color="auto"/>
                <w:left w:val="none" w:sz="0" w:space="0" w:color="auto"/>
                <w:bottom w:val="none" w:sz="0" w:space="0" w:color="auto"/>
                <w:right w:val="none" w:sz="0" w:space="0" w:color="auto"/>
              </w:divBdr>
            </w:div>
          </w:divsChild>
        </w:div>
        <w:div w:id="25109266">
          <w:marLeft w:val="0"/>
          <w:marRight w:val="0"/>
          <w:marTop w:val="0"/>
          <w:marBottom w:val="0"/>
          <w:divBdr>
            <w:top w:val="none" w:sz="0" w:space="0" w:color="auto"/>
            <w:left w:val="none" w:sz="0" w:space="0" w:color="auto"/>
            <w:bottom w:val="none" w:sz="0" w:space="0" w:color="auto"/>
            <w:right w:val="none" w:sz="0" w:space="0" w:color="auto"/>
          </w:divBdr>
          <w:divsChild>
            <w:div w:id="38433336">
              <w:marLeft w:val="0"/>
              <w:marRight w:val="0"/>
              <w:marTop w:val="0"/>
              <w:marBottom w:val="0"/>
              <w:divBdr>
                <w:top w:val="none" w:sz="0" w:space="0" w:color="auto"/>
                <w:left w:val="none" w:sz="0" w:space="0" w:color="auto"/>
                <w:bottom w:val="none" w:sz="0" w:space="0" w:color="auto"/>
                <w:right w:val="none" w:sz="0" w:space="0" w:color="auto"/>
              </w:divBdr>
            </w:div>
            <w:div w:id="56628723">
              <w:marLeft w:val="0"/>
              <w:marRight w:val="0"/>
              <w:marTop w:val="0"/>
              <w:marBottom w:val="0"/>
              <w:divBdr>
                <w:top w:val="none" w:sz="0" w:space="0" w:color="auto"/>
                <w:left w:val="none" w:sz="0" w:space="0" w:color="auto"/>
                <w:bottom w:val="none" w:sz="0" w:space="0" w:color="auto"/>
                <w:right w:val="none" w:sz="0" w:space="0" w:color="auto"/>
              </w:divBdr>
            </w:div>
            <w:div w:id="1249343227">
              <w:marLeft w:val="0"/>
              <w:marRight w:val="0"/>
              <w:marTop w:val="0"/>
              <w:marBottom w:val="0"/>
              <w:divBdr>
                <w:top w:val="none" w:sz="0" w:space="0" w:color="auto"/>
                <w:left w:val="none" w:sz="0" w:space="0" w:color="auto"/>
                <w:bottom w:val="none" w:sz="0" w:space="0" w:color="auto"/>
                <w:right w:val="none" w:sz="0" w:space="0" w:color="auto"/>
              </w:divBdr>
            </w:div>
            <w:div w:id="1257792405">
              <w:marLeft w:val="0"/>
              <w:marRight w:val="0"/>
              <w:marTop w:val="0"/>
              <w:marBottom w:val="0"/>
              <w:divBdr>
                <w:top w:val="none" w:sz="0" w:space="0" w:color="auto"/>
                <w:left w:val="none" w:sz="0" w:space="0" w:color="auto"/>
                <w:bottom w:val="none" w:sz="0" w:space="0" w:color="auto"/>
                <w:right w:val="none" w:sz="0" w:space="0" w:color="auto"/>
              </w:divBdr>
            </w:div>
          </w:divsChild>
        </w:div>
        <w:div w:id="647369205">
          <w:marLeft w:val="0"/>
          <w:marRight w:val="0"/>
          <w:marTop w:val="0"/>
          <w:marBottom w:val="0"/>
          <w:divBdr>
            <w:top w:val="none" w:sz="0" w:space="0" w:color="auto"/>
            <w:left w:val="none" w:sz="0" w:space="0" w:color="auto"/>
            <w:bottom w:val="none" w:sz="0" w:space="0" w:color="auto"/>
            <w:right w:val="none" w:sz="0" w:space="0" w:color="auto"/>
          </w:divBdr>
          <w:divsChild>
            <w:div w:id="1843621147">
              <w:marLeft w:val="0"/>
              <w:marRight w:val="0"/>
              <w:marTop w:val="0"/>
              <w:marBottom w:val="0"/>
              <w:divBdr>
                <w:top w:val="none" w:sz="0" w:space="0" w:color="auto"/>
                <w:left w:val="none" w:sz="0" w:space="0" w:color="auto"/>
                <w:bottom w:val="none" w:sz="0" w:space="0" w:color="auto"/>
                <w:right w:val="none" w:sz="0" w:space="0" w:color="auto"/>
              </w:divBdr>
            </w:div>
            <w:div w:id="1571038001">
              <w:marLeft w:val="0"/>
              <w:marRight w:val="0"/>
              <w:marTop w:val="0"/>
              <w:marBottom w:val="0"/>
              <w:divBdr>
                <w:top w:val="none" w:sz="0" w:space="0" w:color="auto"/>
                <w:left w:val="none" w:sz="0" w:space="0" w:color="auto"/>
                <w:bottom w:val="none" w:sz="0" w:space="0" w:color="auto"/>
                <w:right w:val="none" w:sz="0" w:space="0" w:color="auto"/>
              </w:divBdr>
            </w:div>
          </w:divsChild>
        </w:div>
        <w:div w:id="1930772883">
          <w:marLeft w:val="0"/>
          <w:marRight w:val="0"/>
          <w:marTop w:val="0"/>
          <w:marBottom w:val="0"/>
          <w:divBdr>
            <w:top w:val="none" w:sz="0" w:space="0" w:color="auto"/>
            <w:left w:val="none" w:sz="0" w:space="0" w:color="auto"/>
            <w:bottom w:val="none" w:sz="0" w:space="0" w:color="auto"/>
            <w:right w:val="none" w:sz="0" w:space="0" w:color="auto"/>
          </w:divBdr>
          <w:divsChild>
            <w:div w:id="2023312349">
              <w:marLeft w:val="0"/>
              <w:marRight w:val="0"/>
              <w:marTop w:val="0"/>
              <w:marBottom w:val="0"/>
              <w:divBdr>
                <w:top w:val="none" w:sz="0" w:space="0" w:color="auto"/>
                <w:left w:val="none" w:sz="0" w:space="0" w:color="auto"/>
                <w:bottom w:val="none" w:sz="0" w:space="0" w:color="auto"/>
                <w:right w:val="none" w:sz="0" w:space="0" w:color="auto"/>
              </w:divBdr>
            </w:div>
          </w:divsChild>
        </w:div>
        <w:div w:id="1266039790">
          <w:marLeft w:val="0"/>
          <w:marRight w:val="0"/>
          <w:marTop w:val="0"/>
          <w:marBottom w:val="0"/>
          <w:divBdr>
            <w:top w:val="none" w:sz="0" w:space="0" w:color="auto"/>
            <w:left w:val="none" w:sz="0" w:space="0" w:color="auto"/>
            <w:bottom w:val="none" w:sz="0" w:space="0" w:color="auto"/>
            <w:right w:val="none" w:sz="0" w:space="0" w:color="auto"/>
          </w:divBdr>
          <w:divsChild>
            <w:div w:id="1207327623">
              <w:marLeft w:val="0"/>
              <w:marRight w:val="0"/>
              <w:marTop w:val="0"/>
              <w:marBottom w:val="0"/>
              <w:divBdr>
                <w:top w:val="none" w:sz="0" w:space="0" w:color="auto"/>
                <w:left w:val="none" w:sz="0" w:space="0" w:color="auto"/>
                <w:bottom w:val="none" w:sz="0" w:space="0" w:color="auto"/>
                <w:right w:val="none" w:sz="0" w:space="0" w:color="auto"/>
              </w:divBdr>
            </w:div>
            <w:div w:id="1574003931">
              <w:marLeft w:val="0"/>
              <w:marRight w:val="0"/>
              <w:marTop w:val="0"/>
              <w:marBottom w:val="0"/>
              <w:divBdr>
                <w:top w:val="none" w:sz="0" w:space="0" w:color="auto"/>
                <w:left w:val="none" w:sz="0" w:space="0" w:color="auto"/>
                <w:bottom w:val="none" w:sz="0" w:space="0" w:color="auto"/>
                <w:right w:val="none" w:sz="0" w:space="0" w:color="auto"/>
              </w:divBdr>
            </w:div>
          </w:divsChild>
        </w:div>
        <w:div w:id="2025552085">
          <w:marLeft w:val="0"/>
          <w:marRight w:val="0"/>
          <w:marTop w:val="0"/>
          <w:marBottom w:val="0"/>
          <w:divBdr>
            <w:top w:val="none" w:sz="0" w:space="0" w:color="auto"/>
            <w:left w:val="none" w:sz="0" w:space="0" w:color="auto"/>
            <w:bottom w:val="none" w:sz="0" w:space="0" w:color="auto"/>
            <w:right w:val="none" w:sz="0" w:space="0" w:color="auto"/>
          </w:divBdr>
          <w:divsChild>
            <w:div w:id="561058686">
              <w:marLeft w:val="0"/>
              <w:marRight w:val="0"/>
              <w:marTop w:val="0"/>
              <w:marBottom w:val="0"/>
              <w:divBdr>
                <w:top w:val="none" w:sz="0" w:space="0" w:color="auto"/>
                <w:left w:val="none" w:sz="0" w:space="0" w:color="auto"/>
                <w:bottom w:val="none" w:sz="0" w:space="0" w:color="auto"/>
                <w:right w:val="none" w:sz="0" w:space="0" w:color="auto"/>
              </w:divBdr>
            </w:div>
            <w:div w:id="385448361">
              <w:marLeft w:val="0"/>
              <w:marRight w:val="0"/>
              <w:marTop w:val="0"/>
              <w:marBottom w:val="0"/>
              <w:divBdr>
                <w:top w:val="none" w:sz="0" w:space="0" w:color="auto"/>
                <w:left w:val="none" w:sz="0" w:space="0" w:color="auto"/>
                <w:bottom w:val="none" w:sz="0" w:space="0" w:color="auto"/>
                <w:right w:val="none" w:sz="0" w:space="0" w:color="auto"/>
              </w:divBdr>
            </w:div>
          </w:divsChild>
        </w:div>
        <w:div w:id="1225412240">
          <w:marLeft w:val="0"/>
          <w:marRight w:val="0"/>
          <w:marTop w:val="0"/>
          <w:marBottom w:val="0"/>
          <w:divBdr>
            <w:top w:val="none" w:sz="0" w:space="0" w:color="auto"/>
            <w:left w:val="none" w:sz="0" w:space="0" w:color="auto"/>
            <w:bottom w:val="none" w:sz="0" w:space="0" w:color="auto"/>
            <w:right w:val="none" w:sz="0" w:space="0" w:color="auto"/>
          </w:divBdr>
          <w:divsChild>
            <w:div w:id="779108372">
              <w:marLeft w:val="0"/>
              <w:marRight w:val="0"/>
              <w:marTop w:val="0"/>
              <w:marBottom w:val="0"/>
              <w:divBdr>
                <w:top w:val="none" w:sz="0" w:space="0" w:color="auto"/>
                <w:left w:val="none" w:sz="0" w:space="0" w:color="auto"/>
                <w:bottom w:val="none" w:sz="0" w:space="0" w:color="auto"/>
                <w:right w:val="none" w:sz="0" w:space="0" w:color="auto"/>
              </w:divBdr>
            </w:div>
            <w:div w:id="1360426484">
              <w:marLeft w:val="0"/>
              <w:marRight w:val="0"/>
              <w:marTop w:val="0"/>
              <w:marBottom w:val="0"/>
              <w:divBdr>
                <w:top w:val="none" w:sz="0" w:space="0" w:color="auto"/>
                <w:left w:val="none" w:sz="0" w:space="0" w:color="auto"/>
                <w:bottom w:val="none" w:sz="0" w:space="0" w:color="auto"/>
                <w:right w:val="none" w:sz="0" w:space="0" w:color="auto"/>
              </w:divBdr>
            </w:div>
          </w:divsChild>
        </w:div>
        <w:div w:id="845755026">
          <w:marLeft w:val="0"/>
          <w:marRight w:val="0"/>
          <w:marTop w:val="0"/>
          <w:marBottom w:val="0"/>
          <w:divBdr>
            <w:top w:val="none" w:sz="0" w:space="0" w:color="auto"/>
            <w:left w:val="none" w:sz="0" w:space="0" w:color="auto"/>
            <w:bottom w:val="none" w:sz="0" w:space="0" w:color="auto"/>
            <w:right w:val="none" w:sz="0" w:space="0" w:color="auto"/>
          </w:divBdr>
          <w:divsChild>
            <w:div w:id="2128499989">
              <w:marLeft w:val="0"/>
              <w:marRight w:val="0"/>
              <w:marTop w:val="0"/>
              <w:marBottom w:val="0"/>
              <w:divBdr>
                <w:top w:val="none" w:sz="0" w:space="0" w:color="auto"/>
                <w:left w:val="none" w:sz="0" w:space="0" w:color="auto"/>
                <w:bottom w:val="none" w:sz="0" w:space="0" w:color="auto"/>
                <w:right w:val="none" w:sz="0" w:space="0" w:color="auto"/>
              </w:divBdr>
            </w:div>
          </w:divsChild>
        </w:div>
        <w:div w:id="590697378">
          <w:marLeft w:val="0"/>
          <w:marRight w:val="0"/>
          <w:marTop w:val="0"/>
          <w:marBottom w:val="0"/>
          <w:divBdr>
            <w:top w:val="none" w:sz="0" w:space="0" w:color="auto"/>
            <w:left w:val="none" w:sz="0" w:space="0" w:color="auto"/>
            <w:bottom w:val="none" w:sz="0" w:space="0" w:color="auto"/>
            <w:right w:val="none" w:sz="0" w:space="0" w:color="auto"/>
          </w:divBdr>
          <w:divsChild>
            <w:div w:id="770005649">
              <w:marLeft w:val="0"/>
              <w:marRight w:val="0"/>
              <w:marTop w:val="0"/>
              <w:marBottom w:val="0"/>
              <w:divBdr>
                <w:top w:val="none" w:sz="0" w:space="0" w:color="auto"/>
                <w:left w:val="none" w:sz="0" w:space="0" w:color="auto"/>
                <w:bottom w:val="none" w:sz="0" w:space="0" w:color="auto"/>
                <w:right w:val="none" w:sz="0" w:space="0" w:color="auto"/>
              </w:divBdr>
            </w:div>
            <w:div w:id="203491566">
              <w:marLeft w:val="0"/>
              <w:marRight w:val="0"/>
              <w:marTop w:val="0"/>
              <w:marBottom w:val="0"/>
              <w:divBdr>
                <w:top w:val="none" w:sz="0" w:space="0" w:color="auto"/>
                <w:left w:val="none" w:sz="0" w:space="0" w:color="auto"/>
                <w:bottom w:val="none" w:sz="0" w:space="0" w:color="auto"/>
                <w:right w:val="none" w:sz="0" w:space="0" w:color="auto"/>
              </w:divBdr>
            </w:div>
          </w:divsChild>
        </w:div>
        <w:div w:id="1801343606">
          <w:marLeft w:val="0"/>
          <w:marRight w:val="0"/>
          <w:marTop w:val="0"/>
          <w:marBottom w:val="0"/>
          <w:divBdr>
            <w:top w:val="none" w:sz="0" w:space="0" w:color="auto"/>
            <w:left w:val="none" w:sz="0" w:space="0" w:color="auto"/>
            <w:bottom w:val="none" w:sz="0" w:space="0" w:color="auto"/>
            <w:right w:val="none" w:sz="0" w:space="0" w:color="auto"/>
          </w:divBdr>
          <w:divsChild>
            <w:div w:id="505755525">
              <w:marLeft w:val="0"/>
              <w:marRight w:val="0"/>
              <w:marTop w:val="0"/>
              <w:marBottom w:val="0"/>
              <w:divBdr>
                <w:top w:val="none" w:sz="0" w:space="0" w:color="auto"/>
                <w:left w:val="none" w:sz="0" w:space="0" w:color="auto"/>
                <w:bottom w:val="none" w:sz="0" w:space="0" w:color="auto"/>
                <w:right w:val="none" w:sz="0" w:space="0" w:color="auto"/>
              </w:divBdr>
            </w:div>
            <w:div w:id="800000861">
              <w:marLeft w:val="0"/>
              <w:marRight w:val="0"/>
              <w:marTop w:val="0"/>
              <w:marBottom w:val="0"/>
              <w:divBdr>
                <w:top w:val="none" w:sz="0" w:space="0" w:color="auto"/>
                <w:left w:val="none" w:sz="0" w:space="0" w:color="auto"/>
                <w:bottom w:val="none" w:sz="0" w:space="0" w:color="auto"/>
                <w:right w:val="none" w:sz="0" w:space="0" w:color="auto"/>
              </w:divBdr>
            </w:div>
          </w:divsChild>
        </w:div>
        <w:div w:id="2013026347">
          <w:marLeft w:val="0"/>
          <w:marRight w:val="0"/>
          <w:marTop w:val="0"/>
          <w:marBottom w:val="0"/>
          <w:divBdr>
            <w:top w:val="none" w:sz="0" w:space="0" w:color="auto"/>
            <w:left w:val="none" w:sz="0" w:space="0" w:color="auto"/>
            <w:bottom w:val="none" w:sz="0" w:space="0" w:color="auto"/>
            <w:right w:val="none" w:sz="0" w:space="0" w:color="auto"/>
          </w:divBdr>
          <w:divsChild>
            <w:div w:id="588463630">
              <w:marLeft w:val="0"/>
              <w:marRight w:val="0"/>
              <w:marTop w:val="0"/>
              <w:marBottom w:val="0"/>
              <w:divBdr>
                <w:top w:val="none" w:sz="0" w:space="0" w:color="auto"/>
                <w:left w:val="none" w:sz="0" w:space="0" w:color="auto"/>
                <w:bottom w:val="none" w:sz="0" w:space="0" w:color="auto"/>
                <w:right w:val="none" w:sz="0" w:space="0" w:color="auto"/>
              </w:divBdr>
            </w:div>
            <w:div w:id="1227375317">
              <w:marLeft w:val="0"/>
              <w:marRight w:val="0"/>
              <w:marTop w:val="0"/>
              <w:marBottom w:val="0"/>
              <w:divBdr>
                <w:top w:val="none" w:sz="0" w:space="0" w:color="auto"/>
                <w:left w:val="none" w:sz="0" w:space="0" w:color="auto"/>
                <w:bottom w:val="none" w:sz="0" w:space="0" w:color="auto"/>
                <w:right w:val="none" w:sz="0" w:space="0" w:color="auto"/>
              </w:divBdr>
            </w:div>
          </w:divsChild>
        </w:div>
        <w:div w:id="327174910">
          <w:marLeft w:val="0"/>
          <w:marRight w:val="0"/>
          <w:marTop w:val="0"/>
          <w:marBottom w:val="0"/>
          <w:divBdr>
            <w:top w:val="none" w:sz="0" w:space="0" w:color="auto"/>
            <w:left w:val="none" w:sz="0" w:space="0" w:color="auto"/>
            <w:bottom w:val="none" w:sz="0" w:space="0" w:color="auto"/>
            <w:right w:val="none" w:sz="0" w:space="0" w:color="auto"/>
          </w:divBdr>
          <w:divsChild>
            <w:div w:id="335574111">
              <w:marLeft w:val="0"/>
              <w:marRight w:val="0"/>
              <w:marTop w:val="0"/>
              <w:marBottom w:val="0"/>
              <w:divBdr>
                <w:top w:val="none" w:sz="0" w:space="0" w:color="auto"/>
                <w:left w:val="none" w:sz="0" w:space="0" w:color="auto"/>
                <w:bottom w:val="none" w:sz="0" w:space="0" w:color="auto"/>
                <w:right w:val="none" w:sz="0" w:space="0" w:color="auto"/>
              </w:divBdr>
            </w:div>
            <w:div w:id="149489361">
              <w:marLeft w:val="0"/>
              <w:marRight w:val="0"/>
              <w:marTop w:val="0"/>
              <w:marBottom w:val="0"/>
              <w:divBdr>
                <w:top w:val="none" w:sz="0" w:space="0" w:color="auto"/>
                <w:left w:val="none" w:sz="0" w:space="0" w:color="auto"/>
                <w:bottom w:val="none" w:sz="0" w:space="0" w:color="auto"/>
                <w:right w:val="none" w:sz="0" w:space="0" w:color="auto"/>
              </w:divBdr>
            </w:div>
            <w:div w:id="457066188">
              <w:marLeft w:val="0"/>
              <w:marRight w:val="0"/>
              <w:marTop w:val="0"/>
              <w:marBottom w:val="0"/>
              <w:divBdr>
                <w:top w:val="none" w:sz="0" w:space="0" w:color="auto"/>
                <w:left w:val="none" w:sz="0" w:space="0" w:color="auto"/>
                <w:bottom w:val="none" w:sz="0" w:space="0" w:color="auto"/>
                <w:right w:val="none" w:sz="0" w:space="0" w:color="auto"/>
              </w:divBdr>
            </w:div>
          </w:divsChild>
        </w:div>
        <w:div w:id="189414678">
          <w:marLeft w:val="0"/>
          <w:marRight w:val="0"/>
          <w:marTop w:val="0"/>
          <w:marBottom w:val="0"/>
          <w:divBdr>
            <w:top w:val="none" w:sz="0" w:space="0" w:color="auto"/>
            <w:left w:val="none" w:sz="0" w:space="0" w:color="auto"/>
            <w:bottom w:val="none" w:sz="0" w:space="0" w:color="auto"/>
            <w:right w:val="none" w:sz="0" w:space="0" w:color="auto"/>
          </w:divBdr>
          <w:divsChild>
            <w:div w:id="368409393">
              <w:marLeft w:val="0"/>
              <w:marRight w:val="0"/>
              <w:marTop w:val="0"/>
              <w:marBottom w:val="0"/>
              <w:divBdr>
                <w:top w:val="none" w:sz="0" w:space="0" w:color="auto"/>
                <w:left w:val="none" w:sz="0" w:space="0" w:color="auto"/>
                <w:bottom w:val="none" w:sz="0" w:space="0" w:color="auto"/>
                <w:right w:val="none" w:sz="0" w:space="0" w:color="auto"/>
              </w:divBdr>
            </w:div>
            <w:div w:id="1000429761">
              <w:marLeft w:val="0"/>
              <w:marRight w:val="0"/>
              <w:marTop w:val="0"/>
              <w:marBottom w:val="0"/>
              <w:divBdr>
                <w:top w:val="none" w:sz="0" w:space="0" w:color="auto"/>
                <w:left w:val="none" w:sz="0" w:space="0" w:color="auto"/>
                <w:bottom w:val="none" w:sz="0" w:space="0" w:color="auto"/>
                <w:right w:val="none" w:sz="0" w:space="0" w:color="auto"/>
              </w:divBdr>
            </w:div>
          </w:divsChild>
        </w:div>
        <w:div w:id="1117721569">
          <w:marLeft w:val="0"/>
          <w:marRight w:val="0"/>
          <w:marTop w:val="0"/>
          <w:marBottom w:val="0"/>
          <w:divBdr>
            <w:top w:val="none" w:sz="0" w:space="0" w:color="auto"/>
            <w:left w:val="none" w:sz="0" w:space="0" w:color="auto"/>
            <w:bottom w:val="none" w:sz="0" w:space="0" w:color="auto"/>
            <w:right w:val="none" w:sz="0" w:space="0" w:color="auto"/>
          </w:divBdr>
          <w:divsChild>
            <w:div w:id="77142929">
              <w:marLeft w:val="0"/>
              <w:marRight w:val="0"/>
              <w:marTop w:val="0"/>
              <w:marBottom w:val="0"/>
              <w:divBdr>
                <w:top w:val="none" w:sz="0" w:space="0" w:color="auto"/>
                <w:left w:val="none" w:sz="0" w:space="0" w:color="auto"/>
                <w:bottom w:val="none" w:sz="0" w:space="0" w:color="auto"/>
                <w:right w:val="none" w:sz="0" w:space="0" w:color="auto"/>
              </w:divBdr>
            </w:div>
            <w:div w:id="141508949">
              <w:marLeft w:val="0"/>
              <w:marRight w:val="0"/>
              <w:marTop w:val="0"/>
              <w:marBottom w:val="0"/>
              <w:divBdr>
                <w:top w:val="none" w:sz="0" w:space="0" w:color="auto"/>
                <w:left w:val="none" w:sz="0" w:space="0" w:color="auto"/>
                <w:bottom w:val="none" w:sz="0" w:space="0" w:color="auto"/>
                <w:right w:val="none" w:sz="0" w:space="0" w:color="auto"/>
              </w:divBdr>
            </w:div>
            <w:div w:id="1644505285">
              <w:marLeft w:val="0"/>
              <w:marRight w:val="0"/>
              <w:marTop w:val="0"/>
              <w:marBottom w:val="0"/>
              <w:divBdr>
                <w:top w:val="none" w:sz="0" w:space="0" w:color="auto"/>
                <w:left w:val="none" w:sz="0" w:space="0" w:color="auto"/>
                <w:bottom w:val="none" w:sz="0" w:space="0" w:color="auto"/>
                <w:right w:val="none" w:sz="0" w:space="0" w:color="auto"/>
              </w:divBdr>
            </w:div>
            <w:div w:id="352734785">
              <w:marLeft w:val="0"/>
              <w:marRight w:val="0"/>
              <w:marTop w:val="0"/>
              <w:marBottom w:val="0"/>
              <w:divBdr>
                <w:top w:val="none" w:sz="0" w:space="0" w:color="auto"/>
                <w:left w:val="none" w:sz="0" w:space="0" w:color="auto"/>
                <w:bottom w:val="none" w:sz="0" w:space="0" w:color="auto"/>
                <w:right w:val="none" w:sz="0" w:space="0" w:color="auto"/>
              </w:divBdr>
            </w:div>
          </w:divsChild>
        </w:div>
        <w:div w:id="1220480970">
          <w:marLeft w:val="0"/>
          <w:marRight w:val="0"/>
          <w:marTop w:val="0"/>
          <w:marBottom w:val="0"/>
          <w:divBdr>
            <w:top w:val="none" w:sz="0" w:space="0" w:color="auto"/>
            <w:left w:val="none" w:sz="0" w:space="0" w:color="auto"/>
            <w:bottom w:val="none" w:sz="0" w:space="0" w:color="auto"/>
            <w:right w:val="none" w:sz="0" w:space="0" w:color="auto"/>
          </w:divBdr>
          <w:divsChild>
            <w:div w:id="1011487271">
              <w:marLeft w:val="0"/>
              <w:marRight w:val="0"/>
              <w:marTop w:val="0"/>
              <w:marBottom w:val="0"/>
              <w:divBdr>
                <w:top w:val="none" w:sz="0" w:space="0" w:color="auto"/>
                <w:left w:val="none" w:sz="0" w:space="0" w:color="auto"/>
                <w:bottom w:val="none" w:sz="0" w:space="0" w:color="auto"/>
                <w:right w:val="none" w:sz="0" w:space="0" w:color="auto"/>
              </w:divBdr>
            </w:div>
            <w:div w:id="1660764699">
              <w:marLeft w:val="0"/>
              <w:marRight w:val="0"/>
              <w:marTop w:val="0"/>
              <w:marBottom w:val="0"/>
              <w:divBdr>
                <w:top w:val="none" w:sz="0" w:space="0" w:color="auto"/>
                <w:left w:val="none" w:sz="0" w:space="0" w:color="auto"/>
                <w:bottom w:val="none" w:sz="0" w:space="0" w:color="auto"/>
                <w:right w:val="none" w:sz="0" w:space="0" w:color="auto"/>
              </w:divBdr>
            </w:div>
            <w:div w:id="609354864">
              <w:marLeft w:val="0"/>
              <w:marRight w:val="0"/>
              <w:marTop w:val="0"/>
              <w:marBottom w:val="0"/>
              <w:divBdr>
                <w:top w:val="none" w:sz="0" w:space="0" w:color="auto"/>
                <w:left w:val="none" w:sz="0" w:space="0" w:color="auto"/>
                <w:bottom w:val="none" w:sz="0" w:space="0" w:color="auto"/>
                <w:right w:val="none" w:sz="0" w:space="0" w:color="auto"/>
              </w:divBdr>
            </w:div>
          </w:divsChild>
        </w:div>
        <w:div w:id="644315147">
          <w:marLeft w:val="0"/>
          <w:marRight w:val="0"/>
          <w:marTop w:val="0"/>
          <w:marBottom w:val="0"/>
          <w:divBdr>
            <w:top w:val="none" w:sz="0" w:space="0" w:color="auto"/>
            <w:left w:val="none" w:sz="0" w:space="0" w:color="auto"/>
            <w:bottom w:val="none" w:sz="0" w:space="0" w:color="auto"/>
            <w:right w:val="none" w:sz="0" w:space="0" w:color="auto"/>
          </w:divBdr>
          <w:divsChild>
            <w:div w:id="1040977849">
              <w:marLeft w:val="0"/>
              <w:marRight w:val="0"/>
              <w:marTop w:val="0"/>
              <w:marBottom w:val="0"/>
              <w:divBdr>
                <w:top w:val="none" w:sz="0" w:space="0" w:color="auto"/>
                <w:left w:val="none" w:sz="0" w:space="0" w:color="auto"/>
                <w:bottom w:val="none" w:sz="0" w:space="0" w:color="auto"/>
                <w:right w:val="none" w:sz="0" w:space="0" w:color="auto"/>
              </w:divBdr>
            </w:div>
          </w:divsChild>
        </w:div>
        <w:div w:id="1785227000">
          <w:marLeft w:val="0"/>
          <w:marRight w:val="0"/>
          <w:marTop w:val="0"/>
          <w:marBottom w:val="0"/>
          <w:divBdr>
            <w:top w:val="none" w:sz="0" w:space="0" w:color="auto"/>
            <w:left w:val="none" w:sz="0" w:space="0" w:color="auto"/>
            <w:bottom w:val="none" w:sz="0" w:space="0" w:color="auto"/>
            <w:right w:val="none" w:sz="0" w:space="0" w:color="auto"/>
          </w:divBdr>
          <w:divsChild>
            <w:div w:id="1840728642">
              <w:marLeft w:val="0"/>
              <w:marRight w:val="0"/>
              <w:marTop w:val="0"/>
              <w:marBottom w:val="0"/>
              <w:divBdr>
                <w:top w:val="none" w:sz="0" w:space="0" w:color="auto"/>
                <w:left w:val="none" w:sz="0" w:space="0" w:color="auto"/>
                <w:bottom w:val="none" w:sz="0" w:space="0" w:color="auto"/>
                <w:right w:val="none" w:sz="0" w:space="0" w:color="auto"/>
              </w:divBdr>
            </w:div>
          </w:divsChild>
        </w:div>
        <w:div w:id="983777647">
          <w:marLeft w:val="0"/>
          <w:marRight w:val="0"/>
          <w:marTop w:val="0"/>
          <w:marBottom w:val="0"/>
          <w:divBdr>
            <w:top w:val="none" w:sz="0" w:space="0" w:color="auto"/>
            <w:left w:val="none" w:sz="0" w:space="0" w:color="auto"/>
            <w:bottom w:val="none" w:sz="0" w:space="0" w:color="auto"/>
            <w:right w:val="none" w:sz="0" w:space="0" w:color="auto"/>
          </w:divBdr>
          <w:divsChild>
            <w:div w:id="1332103386">
              <w:marLeft w:val="0"/>
              <w:marRight w:val="0"/>
              <w:marTop w:val="0"/>
              <w:marBottom w:val="0"/>
              <w:divBdr>
                <w:top w:val="none" w:sz="0" w:space="0" w:color="auto"/>
                <w:left w:val="none" w:sz="0" w:space="0" w:color="auto"/>
                <w:bottom w:val="none" w:sz="0" w:space="0" w:color="auto"/>
                <w:right w:val="none" w:sz="0" w:space="0" w:color="auto"/>
              </w:divBdr>
            </w:div>
            <w:div w:id="1916696122">
              <w:marLeft w:val="0"/>
              <w:marRight w:val="0"/>
              <w:marTop w:val="0"/>
              <w:marBottom w:val="0"/>
              <w:divBdr>
                <w:top w:val="none" w:sz="0" w:space="0" w:color="auto"/>
                <w:left w:val="none" w:sz="0" w:space="0" w:color="auto"/>
                <w:bottom w:val="none" w:sz="0" w:space="0" w:color="auto"/>
                <w:right w:val="none" w:sz="0" w:space="0" w:color="auto"/>
              </w:divBdr>
            </w:div>
          </w:divsChild>
        </w:div>
        <w:div w:id="387995204">
          <w:marLeft w:val="0"/>
          <w:marRight w:val="0"/>
          <w:marTop w:val="0"/>
          <w:marBottom w:val="0"/>
          <w:divBdr>
            <w:top w:val="none" w:sz="0" w:space="0" w:color="auto"/>
            <w:left w:val="none" w:sz="0" w:space="0" w:color="auto"/>
            <w:bottom w:val="none" w:sz="0" w:space="0" w:color="auto"/>
            <w:right w:val="none" w:sz="0" w:space="0" w:color="auto"/>
          </w:divBdr>
          <w:divsChild>
            <w:div w:id="1736776048">
              <w:marLeft w:val="0"/>
              <w:marRight w:val="0"/>
              <w:marTop w:val="0"/>
              <w:marBottom w:val="0"/>
              <w:divBdr>
                <w:top w:val="none" w:sz="0" w:space="0" w:color="auto"/>
                <w:left w:val="none" w:sz="0" w:space="0" w:color="auto"/>
                <w:bottom w:val="none" w:sz="0" w:space="0" w:color="auto"/>
                <w:right w:val="none" w:sz="0" w:space="0" w:color="auto"/>
              </w:divBdr>
            </w:div>
            <w:div w:id="461579631">
              <w:marLeft w:val="0"/>
              <w:marRight w:val="0"/>
              <w:marTop w:val="0"/>
              <w:marBottom w:val="0"/>
              <w:divBdr>
                <w:top w:val="none" w:sz="0" w:space="0" w:color="auto"/>
                <w:left w:val="none" w:sz="0" w:space="0" w:color="auto"/>
                <w:bottom w:val="none" w:sz="0" w:space="0" w:color="auto"/>
                <w:right w:val="none" w:sz="0" w:space="0" w:color="auto"/>
              </w:divBdr>
            </w:div>
          </w:divsChild>
        </w:div>
        <w:div w:id="12730155">
          <w:marLeft w:val="0"/>
          <w:marRight w:val="0"/>
          <w:marTop w:val="0"/>
          <w:marBottom w:val="0"/>
          <w:divBdr>
            <w:top w:val="none" w:sz="0" w:space="0" w:color="auto"/>
            <w:left w:val="none" w:sz="0" w:space="0" w:color="auto"/>
            <w:bottom w:val="none" w:sz="0" w:space="0" w:color="auto"/>
            <w:right w:val="none" w:sz="0" w:space="0" w:color="auto"/>
          </w:divBdr>
          <w:divsChild>
            <w:div w:id="524438912">
              <w:marLeft w:val="0"/>
              <w:marRight w:val="0"/>
              <w:marTop w:val="0"/>
              <w:marBottom w:val="0"/>
              <w:divBdr>
                <w:top w:val="none" w:sz="0" w:space="0" w:color="auto"/>
                <w:left w:val="none" w:sz="0" w:space="0" w:color="auto"/>
                <w:bottom w:val="none" w:sz="0" w:space="0" w:color="auto"/>
                <w:right w:val="none" w:sz="0" w:space="0" w:color="auto"/>
              </w:divBdr>
            </w:div>
            <w:div w:id="1111634604">
              <w:marLeft w:val="0"/>
              <w:marRight w:val="0"/>
              <w:marTop w:val="0"/>
              <w:marBottom w:val="0"/>
              <w:divBdr>
                <w:top w:val="none" w:sz="0" w:space="0" w:color="auto"/>
                <w:left w:val="none" w:sz="0" w:space="0" w:color="auto"/>
                <w:bottom w:val="none" w:sz="0" w:space="0" w:color="auto"/>
                <w:right w:val="none" w:sz="0" w:space="0" w:color="auto"/>
              </w:divBdr>
            </w:div>
          </w:divsChild>
        </w:div>
        <w:div w:id="1475218010">
          <w:marLeft w:val="0"/>
          <w:marRight w:val="0"/>
          <w:marTop w:val="0"/>
          <w:marBottom w:val="0"/>
          <w:divBdr>
            <w:top w:val="none" w:sz="0" w:space="0" w:color="auto"/>
            <w:left w:val="none" w:sz="0" w:space="0" w:color="auto"/>
            <w:bottom w:val="none" w:sz="0" w:space="0" w:color="auto"/>
            <w:right w:val="none" w:sz="0" w:space="0" w:color="auto"/>
          </w:divBdr>
          <w:divsChild>
            <w:div w:id="1770731466">
              <w:marLeft w:val="0"/>
              <w:marRight w:val="0"/>
              <w:marTop w:val="0"/>
              <w:marBottom w:val="0"/>
              <w:divBdr>
                <w:top w:val="none" w:sz="0" w:space="0" w:color="auto"/>
                <w:left w:val="none" w:sz="0" w:space="0" w:color="auto"/>
                <w:bottom w:val="none" w:sz="0" w:space="0" w:color="auto"/>
                <w:right w:val="none" w:sz="0" w:space="0" w:color="auto"/>
              </w:divBdr>
            </w:div>
          </w:divsChild>
        </w:div>
        <w:div w:id="1560171443">
          <w:marLeft w:val="0"/>
          <w:marRight w:val="0"/>
          <w:marTop w:val="0"/>
          <w:marBottom w:val="0"/>
          <w:divBdr>
            <w:top w:val="none" w:sz="0" w:space="0" w:color="auto"/>
            <w:left w:val="none" w:sz="0" w:space="0" w:color="auto"/>
            <w:bottom w:val="none" w:sz="0" w:space="0" w:color="auto"/>
            <w:right w:val="none" w:sz="0" w:space="0" w:color="auto"/>
          </w:divBdr>
          <w:divsChild>
            <w:div w:id="855074504">
              <w:marLeft w:val="0"/>
              <w:marRight w:val="0"/>
              <w:marTop w:val="0"/>
              <w:marBottom w:val="0"/>
              <w:divBdr>
                <w:top w:val="none" w:sz="0" w:space="0" w:color="auto"/>
                <w:left w:val="none" w:sz="0" w:space="0" w:color="auto"/>
                <w:bottom w:val="none" w:sz="0" w:space="0" w:color="auto"/>
                <w:right w:val="none" w:sz="0" w:space="0" w:color="auto"/>
              </w:divBdr>
            </w:div>
            <w:div w:id="704519578">
              <w:marLeft w:val="0"/>
              <w:marRight w:val="0"/>
              <w:marTop w:val="0"/>
              <w:marBottom w:val="0"/>
              <w:divBdr>
                <w:top w:val="none" w:sz="0" w:space="0" w:color="auto"/>
                <w:left w:val="none" w:sz="0" w:space="0" w:color="auto"/>
                <w:bottom w:val="none" w:sz="0" w:space="0" w:color="auto"/>
                <w:right w:val="none" w:sz="0" w:space="0" w:color="auto"/>
              </w:divBdr>
            </w:div>
            <w:div w:id="652686826">
              <w:marLeft w:val="0"/>
              <w:marRight w:val="0"/>
              <w:marTop w:val="0"/>
              <w:marBottom w:val="0"/>
              <w:divBdr>
                <w:top w:val="none" w:sz="0" w:space="0" w:color="auto"/>
                <w:left w:val="none" w:sz="0" w:space="0" w:color="auto"/>
                <w:bottom w:val="none" w:sz="0" w:space="0" w:color="auto"/>
                <w:right w:val="none" w:sz="0" w:space="0" w:color="auto"/>
              </w:divBdr>
            </w:div>
          </w:divsChild>
        </w:div>
        <w:div w:id="1821459304">
          <w:marLeft w:val="0"/>
          <w:marRight w:val="0"/>
          <w:marTop w:val="0"/>
          <w:marBottom w:val="0"/>
          <w:divBdr>
            <w:top w:val="none" w:sz="0" w:space="0" w:color="auto"/>
            <w:left w:val="none" w:sz="0" w:space="0" w:color="auto"/>
            <w:bottom w:val="none" w:sz="0" w:space="0" w:color="auto"/>
            <w:right w:val="none" w:sz="0" w:space="0" w:color="auto"/>
          </w:divBdr>
          <w:divsChild>
            <w:div w:id="218639611">
              <w:marLeft w:val="0"/>
              <w:marRight w:val="0"/>
              <w:marTop w:val="0"/>
              <w:marBottom w:val="0"/>
              <w:divBdr>
                <w:top w:val="none" w:sz="0" w:space="0" w:color="auto"/>
                <w:left w:val="none" w:sz="0" w:space="0" w:color="auto"/>
                <w:bottom w:val="none" w:sz="0" w:space="0" w:color="auto"/>
                <w:right w:val="none" w:sz="0" w:space="0" w:color="auto"/>
              </w:divBdr>
            </w:div>
            <w:div w:id="1389458331">
              <w:marLeft w:val="0"/>
              <w:marRight w:val="0"/>
              <w:marTop w:val="0"/>
              <w:marBottom w:val="0"/>
              <w:divBdr>
                <w:top w:val="none" w:sz="0" w:space="0" w:color="auto"/>
                <w:left w:val="none" w:sz="0" w:space="0" w:color="auto"/>
                <w:bottom w:val="none" w:sz="0" w:space="0" w:color="auto"/>
                <w:right w:val="none" w:sz="0" w:space="0" w:color="auto"/>
              </w:divBdr>
            </w:div>
            <w:div w:id="1021122552">
              <w:marLeft w:val="0"/>
              <w:marRight w:val="0"/>
              <w:marTop w:val="0"/>
              <w:marBottom w:val="0"/>
              <w:divBdr>
                <w:top w:val="none" w:sz="0" w:space="0" w:color="auto"/>
                <w:left w:val="none" w:sz="0" w:space="0" w:color="auto"/>
                <w:bottom w:val="none" w:sz="0" w:space="0" w:color="auto"/>
                <w:right w:val="none" w:sz="0" w:space="0" w:color="auto"/>
              </w:divBdr>
            </w:div>
            <w:div w:id="544752664">
              <w:marLeft w:val="0"/>
              <w:marRight w:val="0"/>
              <w:marTop w:val="0"/>
              <w:marBottom w:val="0"/>
              <w:divBdr>
                <w:top w:val="none" w:sz="0" w:space="0" w:color="auto"/>
                <w:left w:val="none" w:sz="0" w:space="0" w:color="auto"/>
                <w:bottom w:val="none" w:sz="0" w:space="0" w:color="auto"/>
                <w:right w:val="none" w:sz="0" w:space="0" w:color="auto"/>
              </w:divBdr>
            </w:div>
          </w:divsChild>
        </w:div>
        <w:div w:id="1694843865">
          <w:marLeft w:val="0"/>
          <w:marRight w:val="0"/>
          <w:marTop w:val="0"/>
          <w:marBottom w:val="0"/>
          <w:divBdr>
            <w:top w:val="none" w:sz="0" w:space="0" w:color="auto"/>
            <w:left w:val="none" w:sz="0" w:space="0" w:color="auto"/>
            <w:bottom w:val="none" w:sz="0" w:space="0" w:color="auto"/>
            <w:right w:val="none" w:sz="0" w:space="0" w:color="auto"/>
          </w:divBdr>
          <w:divsChild>
            <w:div w:id="118842902">
              <w:marLeft w:val="0"/>
              <w:marRight w:val="0"/>
              <w:marTop w:val="0"/>
              <w:marBottom w:val="0"/>
              <w:divBdr>
                <w:top w:val="none" w:sz="0" w:space="0" w:color="auto"/>
                <w:left w:val="none" w:sz="0" w:space="0" w:color="auto"/>
                <w:bottom w:val="none" w:sz="0" w:space="0" w:color="auto"/>
                <w:right w:val="none" w:sz="0" w:space="0" w:color="auto"/>
              </w:divBdr>
            </w:div>
            <w:div w:id="180358568">
              <w:marLeft w:val="0"/>
              <w:marRight w:val="0"/>
              <w:marTop w:val="0"/>
              <w:marBottom w:val="0"/>
              <w:divBdr>
                <w:top w:val="none" w:sz="0" w:space="0" w:color="auto"/>
                <w:left w:val="none" w:sz="0" w:space="0" w:color="auto"/>
                <w:bottom w:val="none" w:sz="0" w:space="0" w:color="auto"/>
                <w:right w:val="none" w:sz="0" w:space="0" w:color="auto"/>
              </w:divBdr>
            </w:div>
          </w:divsChild>
        </w:div>
        <w:div w:id="1478913596">
          <w:marLeft w:val="0"/>
          <w:marRight w:val="0"/>
          <w:marTop w:val="0"/>
          <w:marBottom w:val="0"/>
          <w:divBdr>
            <w:top w:val="none" w:sz="0" w:space="0" w:color="auto"/>
            <w:left w:val="none" w:sz="0" w:space="0" w:color="auto"/>
            <w:bottom w:val="none" w:sz="0" w:space="0" w:color="auto"/>
            <w:right w:val="none" w:sz="0" w:space="0" w:color="auto"/>
          </w:divBdr>
          <w:divsChild>
            <w:div w:id="1926647215">
              <w:marLeft w:val="0"/>
              <w:marRight w:val="0"/>
              <w:marTop w:val="0"/>
              <w:marBottom w:val="0"/>
              <w:divBdr>
                <w:top w:val="none" w:sz="0" w:space="0" w:color="auto"/>
                <w:left w:val="none" w:sz="0" w:space="0" w:color="auto"/>
                <w:bottom w:val="none" w:sz="0" w:space="0" w:color="auto"/>
                <w:right w:val="none" w:sz="0" w:space="0" w:color="auto"/>
              </w:divBdr>
            </w:div>
          </w:divsChild>
        </w:div>
        <w:div w:id="1624732670">
          <w:marLeft w:val="0"/>
          <w:marRight w:val="0"/>
          <w:marTop w:val="0"/>
          <w:marBottom w:val="0"/>
          <w:divBdr>
            <w:top w:val="none" w:sz="0" w:space="0" w:color="auto"/>
            <w:left w:val="none" w:sz="0" w:space="0" w:color="auto"/>
            <w:bottom w:val="none" w:sz="0" w:space="0" w:color="auto"/>
            <w:right w:val="none" w:sz="0" w:space="0" w:color="auto"/>
          </w:divBdr>
          <w:divsChild>
            <w:div w:id="519241789">
              <w:marLeft w:val="0"/>
              <w:marRight w:val="0"/>
              <w:marTop w:val="0"/>
              <w:marBottom w:val="0"/>
              <w:divBdr>
                <w:top w:val="none" w:sz="0" w:space="0" w:color="auto"/>
                <w:left w:val="none" w:sz="0" w:space="0" w:color="auto"/>
                <w:bottom w:val="none" w:sz="0" w:space="0" w:color="auto"/>
                <w:right w:val="none" w:sz="0" w:space="0" w:color="auto"/>
              </w:divBdr>
            </w:div>
            <w:div w:id="654845671">
              <w:marLeft w:val="0"/>
              <w:marRight w:val="0"/>
              <w:marTop w:val="0"/>
              <w:marBottom w:val="0"/>
              <w:divBdr>
                <w:top w:val="none" w:sz="0" w:space="0" w:color="auto"/>
                <w:left w:val="none" w:sz="0" w:space="0" w:color="auto"/>
                <w:bottom w:val="none" w:sz="0" w:space="0" w:color="auto"/>
                <w:right w:val="none" w:sz="0" w:space="0" w:color="auto"/>
              </w:divBdr>
            </w:div>
            <w:div w:id="8679067">
              <w:marLeft w:val="0"/>
              <w:marRight w:val="0"/>
              <w:marTop w:val="0"/>
              <w:marBottom w:val="0"/>
              <w:divBdr>
                <w:top w:val="none" w:sz="0" w:space="0" w:color="auto"/>
                <w:left w:val="none" w:sz="0" w:space="0" w:color="auto"/>
                <w:bottom w:val="none" w:sz="0" w:space="0" w:color="auto"/>
                <w:right w:val="none" w:sz="0" w:space="0" w:color="auto"/>
              </w:divBdr>
            </w:div>
          </w:divsChild>
        </w:div>
        <w:div w:id="1070151700">
          <w:marLeft w:val="0"/>
          <w:marRight w:val="0"/>
          <w:marTop w:val="0"/>
          <w:marBottom w:val="0"/>
          <w:divBdr>
            <w:top w:val="none" w:sz="0" w:space="0" w:color="auto"/>
            <w:left w:val="none" w:sz="0" w:space="0" w:color="auto"/>
            <w:bottom w:val="none" w:sz="0" w:space="0" w:color="auto"/>
            <w:right w:val="none" w:sz="0" w:space="0" w:color="auto"/>
          </w:divBdr>
          <w:divsChild>
            <w:div w:id="7145957">
              <w:marLeft w:val="0"/>
              <w:marRight w:val="0"/>
              <w:marTop w:val="0"/>
              <w:marBottom w:val="0"/>
              <w:divBdr>
                <w:top w:val="none" w:sz="0" w:space="0" w:color="auto"/>
                <w:left w:val="none" w:sz="0" w:space="0" w:color="auto"/>
                <w:bottom w:val="none" w:sz="0" w:space="0" w:color="auto"/>
                <w:right w:val="none" w:sz="0" w:space="0" w:color="auto"/>
              </w:divBdr>
            </w:div>
            <w:div w:id="844708056">
              <w:marLeft w:val="0"/>
              <w:marRight w:val="0"/>
              <w:marTop w:val="0"/>
              <w:marBottom w:val="0"/>
              <w:divBdr>
                <w:top w:val="none" w:sz="0" w:space="0" w:color="auto"/>
                <w:left w:val="none" w:sz="0" w:space="0" w:color="auto"/>
                <w:bottom w:val="none" w:sz="0" w:space="0" w:color="auto"/>
                <w:right w:val="none" w:sz="0" w:space="0" w:color="auto"/>
              </w:divBdr>
            </w:div>
          </w:divsChild>
        </w:div>
        <w:div w:id="357199796">
          <w:marLeft w:val="0"/>
          <w:marRight w:val="0"/>
          <w:marTop w:val="0"/>
          <w:marBottom w:val="0"/>
          <w:divBdr>
            <w:top w:val="none" w:sz="0" w:space="0" w:color="auto"/>
            <w:left w:val="none" w:sz="0" w:space="0" w:color="auto"/>
            <w:bottom w:val="none" w:sz="0" w:space="0" w:color="auto"/>
            <w:right w:val="none" w:sz="0" w:space="0" w:color="auto"/>
          </w:divBdr>
          <w:divsChild>
            <w:div w:id="1783719060">
              <w:marLeft w:val="0"/>
              <w:marRight w:val="0"/>
              <w:marTop w:val="0"/>
              <w:marBottom w:val="0"/>
              <w:divBdr>
                <w:top w:val="none" w:sz="0" w:space="0" w:color="auto"/>
                <w:left w:val="none" w:sz="0" w:space="0" w:color="auto"/>
                <w:bottom w:val="none" w:sz="0" w:space="0" w:color="auto"/>
                <w:right w:val="none" w:sz="0" w:space="0" w:color="auto"/>
              </w:divBdr>
            </w:div>
            <w:div w:id="4525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0419">
      <w:bodyDiv w:val="1"/>
      <w:marLeft w:val="0"/>
      <w:marRight w:val="0"/>
      <w:marTop w:val="0"/>
      <w:marBottom w:val="0"/>
      <w:divBdr>
        <w:top w:val="none" w:sz="0" w:space="0" w:color="auto"/>
        <w:left w:val="none" w:sz="0" w:space="0" w:color="auto"/>
        <w:bottom w:val="none" w:sz="0" w:space="0" w:color="auto"/>
        <w:right w:val="none" w:sz="0" w:space="0" w:color="auto"/>
      </w:divBdr>
    </w:div>
    <w:div w:id="1246190467">
      <w:bodyDiv w:val="1"/>
      <w:marLeft w:val="0"/>
      <w:marRight w:val="0"/>
      <w:marTop w:val="0"/>
      <w:marBottom w:val="0"/>
      <w:divBdr>
        <w:top w:val="none" w:sz="0" w:space="0" w:color="auto"/>
        <w:left w:val="none" w:sz="0" w:space="0" w:color="auto"/>
        <w:bottom w:val="none" w:sz="0" w:space="0" w:color="auto"/>
        <w:right w:val="none" w:sz="0" w:space="0" w:color="auto"/>
      </w:divBdr>
    </w:div>
    <w:div w:id="1340500729">
      <w:bodyDiv w:val="1"/>
      <w:marLeft w:val="0"/>
      <w:marRight w:val="0"/>
      <w:marTop w:val="0"/>
      <w:marBottom w:val="0"/>
      <w:divBdr>
        <w:top w:val="none" w:sz="0" w:space="0" w:color="auto"/>
        <w:left w:val="none" w:sz="0" w:space="0" w:color="auto"/>
        <w:bottom w:val="none" w:sz="0" w:space="0" w:color="auto"/>
        <w:right w:val="none" w:sz="0" w:space="0" w:color="auto"/>
      </w:divBdr>
      <w:divsChild>
        <w:div w:id="1788817112">
          <w:marLeft w:val="0"/>
          <w:marRight w:val="0"/>
          <w:marTop w:val="0"/>
          <w:marBottom w:val="0"/>
          <w:divBdr>
            <w:top w:val="none" w:sz="0" w:space="0" w:color="auto"/>
            <w:left w:val="none" w:sz="0" w:space="0" w:color="auto"/>
            <w:bottom w:val="none" w:sz="0" w:space="0" w:color="auto"/>
            <w:right w:val="none" w:sz="0" w:space="0" w:color="auto"/>
          </w:divBdr>
          <w:divsChild>
            <w:div w:id="74792663">
              <w:marLeft w:val="0"/>
              <w:marRight w:val="0"/>
              <w:marTop w:val="0"/>
              <w:marBottom w:val="0"/>
              <w:divBdr>
                <w:top w:val="none" w:sz="0" w:space="0" w:color="auto"/>
                <w:left w:val="none" w:sz="0" w:space="0" w:color="auto"/>
                <w:bottom w:val="none" w:sz="0" w:space="0" w:color="auto"/>
                <w:right w:val="none" w:sz="0" w:space="0" w:color="auto"/>
              </w:divBdr>
            </w:div>
          </w:divsChild>
        </w:div>
        <w:div w:id="1782989719">
          <w:marLeft w:val="0"/>
          <w:marRight w:val="0"/>
          <w:marTop w:val="0"/>
          <w:marBottom w:val="0"/>
          <w:divBdr>
            <w:top w:val="none" w:sz="0" w:space="0" w:color="auto"/>
            <w:left w:val="none" w:sz="0" w:space="0" w:color="auto"/>
            <w:bottom w:val="none" w:sz="0" w:space="0" w:color="auto"/>
            <w:right w:val="none" w:sz="0" w:space="0" w:color="auto"/>
          </w:divBdr>
          <w:divsChild>
            <w:div w:id="891841286">
              <w:marLeft w:val="0"/>
              <w:marRight w:val="0"/>
              <w:marTop w:val="0"/>
              <w:marBottom w:val="0"/>
              <w:divBdr>
                <w:top w:val="none" w:sz="0" w:space="0" w:color="auto"/>
                <w:left w:val="none" w:sz="0" w:space="0" w:color="auto"/>
                <w:bottom w:val="none" w:sz="0" w:space="0" w:color="auto"/>
                <w:right w:val="none" w:sz="0" w:space="0" w:color="auto"/>
              </w:divBdr>
            </w:div>
          </w:divsChild>
        </w:div>
        <w:div w:id="1283536374">
          <w:marLeft w:val="0"/>
          <w:marRight w:val="0"/>
          <w:marTop w:val="0"/>
          <w:marBottom w:val="0"/>
          <w:divBdr>
            <w:top w:val="none" w:sz="0" w:space="0" w:color="auto"/>
            <w:left w:val="none" w:sz="0" w:space="0" w:color="auto"/>
            <w:bottom w:val="none" w:sz="0" w:space="0" w:color="auto"/>
            <w:right w:val="none" w:sz="0" w:space="0" w:color="auto"/>
          </w:divBdr>
          <w:divsChild>
            <w:div w:id="304088256">
              <w:marLeft w:val="0"/>
              <w:marRight w:val="0"/>
              <w:marTop w:val="0"/>
              <w:marBottom w:val="0"/>
              <w:divBdr>
                <w:top w:val="none" w:sz="0" w:space="0" w:color="auto"/>
                <w:left w:val="none" w:sz="0" w:space="0" w:color="auto"/>
                <w:bottom w:val="none" w:sz="0" w:space="0" w:color="auto"/>
                <w:right w:val="none" w:sz="0" w:space="0" w:color="auto"/>
              </w:divBdr>
            </w:div>
          </w:divsChild>
        </w:div>
        <w:div w:id="2138141707">
          <w:marLeft w:val="0"/>
          <w:marRight w:val="0"/>
          <w:marTop w:val="0"/>
          <w:marBottom w:val="0"/>
          <w:divBdr>
            <w:top w:val="none" w:sz="0" w:space="0" w:color="auto"/>
            <w:left w:val="none" w:sz="0" w:space="0" w:color="auto"/>
            <w:bottom w:val="none" w:sz="0" w:space="0" w:color="auto"/>
            <w:right w:val="none" w:sz="0" w:space="0" w:color="auto"/>
          </w:divBdr>
          <w:divsChild>
            <w:div w:id="1195075775">
              <w:marLeft w:val="0"/>
              <w:marRight w:val="0"/>
              <w:marTop w:val="0"/>
              <w:marBottom w:val="0"/>
              <w:divBdr>
                <w:top w:val="none" w:sz="0" w:space="0" w:color="auto"/>
                <w:left w:val="none" w:sz="0" w:space="0" w:color="auto"/>
                <w:bottom w:val="none" w:sz="0" w:space="0" w:color="auto"/>
                <w:right w:val="none" w:sz="0" w:space="0" w:color="auto"/>
              </w:divBdr>
            </w:div>
          </w:divsChild>
        </w:div>
        <w:div w:id="2046521639">
          <w:marLeft w:val="0"/>
          <w:marRight w:val="0"/>
          <w:marTop w:val="0"/>
          <w:marBottom w:val="0"/>
          <w:divBdr>
            <w:top w:val="none" w:sz="0" w:space="0" w:color="auto"/>
            <w:left w:val="none" w:sz="0" w:space="0" w:color="auto"/>
            <w:bottom w:val="none" w:sz="0" w:space="0" w:color="auto"/>
            <w:right w:val="none" w:sz="0" w:space="0" w:color="auto"/>
          </w:divBdr>
          <w:divsChild>
            <w:div w:id="1942684532">
              <w:marLeft w:val="0"/>
              <w:marRight w:val="0"/>
              <w:marTop w:val="0"/>
              <w:marBottom w:val="0"/>
              <w:divBdr>
                <w:top w:val="none" w:sz="0" w:space="0" w:color="auto"/>
                <w:left w:val="none" w:sz="0" w:space="0" w:color="auto"/>
                <w:bottom w:val="none" w:sz="0" w:space="0" w:color="auto"/>
                <w:right w:val="none" w:sz="0" w:space="0" w:color="auto"/>
              </w:divBdr>
            </w:div>
          </w:divsChild>
        </w:div>
        <w:div w:id="470246540">
          <w:marLeft w:val="0"/>
          <w:marRight w:val="0"/>
          <w:marTop w:val="0"/>
          <w:marBottom w:val="0"/>
          <w:divBdr>
            <w:top w:val="none" w:sz="0" w:space="0" w:color="auto"/>
            <w:left w:val="none" w:sz="0" w:space="0" w:color="auto"/>
            <w:bottom w:val="none" w:sz="0" w:space="0" w:color="auto"/>
            <w:right w:val="none" w:sz="0" w:space="0" w:color="auto"/>
          </w:divBdr>
          <w:divsChild>
            <w:div w:id="477114335">
              <w:marLeft w:val="0"/>
              <w:marRight w:val="0"/>
              <w:marTop w:val="0"/>
              <w:marBottom w:val="0"/>
              <w:divBdr>
                <w:top w:val="none" w:sz="0" w:space="0" w:color="auto"/>
                <w:left w:val="none" w:sz="0" w:space="0" w:color="auto"/>
                <w:bottom w:val="none" w:sz="0" w:space="0" w:color="auto"/>
                <w:right w:val="none" w:sz="0" w:space="0" w:color="auto"/>
              </w:divBdr>
            </w:div>
          </w:divsChild>
        </w:div>
        <w:div w:id="1209957020">
          <w:marLeft w:val="0"/>
          <w:marRight w:val="0"/>
          <w:marTop w:val="0"/>
          <w:marBottom w:val="0"/>
          <w:divBdr>
            <w:top w:val="none" w:sz="0" w:space="0" w:color="auto"/>
            <w:left w:val="none" w:sz="0" w:space="0" w:color="auto"/>
            <w:bottom w:val="none" w:sz="0" w:space="0" w:color="auto"/>
            <w:right w:val="none" w:sz="0" w:space="0" w:color="auto"/>
          </w:divBdr>
          <w:divsChild>
            <w:div w:id="2062945931">
              <w:marLeft w:val="0"/>
              <w:marRight w:val="0"/>
              <w:marTop w:val="0"/>
              <w:marBottom w:val="0"/>
              <w:divBdr>
                <w:top w:val="none" w:sz="0" w:space="0" w:color="auto"/>
                <w:left w:val="none" w:sz="0" w:space="0" w:color="auto"/>
                <w:bottom w:val="none" w:sz="0" w:space="0" w:color="auto"/>
                <w:right w:val="none" w:sz="0" w:space="0" w:color="auto"/>
              </w:divBdr>
            </w:div>
            <w:div w:id="62996022">
              <w:marLeft w:val="0"/>
              <w:marRight w:val="0"/>
              <w:marTop w:val="0"/>
              <w:marBottom w:val="0"/>
              <w:divBdr>
                <w:top w:val="none" w:sz="0" w:space="0" w:color="auto"/>
                <w:left w:val="none" w:sz="0" w:space="0" w:color="auto"/>
                <w:bottom w:val="none" w:sz="0" w:space="0" w:color="auto"/>
                <w:right w:val="none" w:sz="0" w:space="0" w:color="auto"/>
              </w:divBdr>
            </w:div>
          </w:divsChild>
        </w:div>
        <w:div w:id="137192298">
          <w:marLeft w:val="0"/>
          <w:marRight w:val="0"/>
          <w:marTop w:val="0"/>
          <w:marBottom w:val="0"/>
          <w:divBdr>
            <w:top w:val="none" w:sz="0" w:space="0" w:color="auto"/>
            <w:left w:val="none" w:sz="0" w:space="0" w:color="auto"/>
            <w:bottom w:val="none" w:sz="0" w:space="0" w:color="auto"/>
            <w:right w:val="none" w:sz="0" w:space="0" w:color="auto"/>
          </w:divBdr>
          <w:divsChild>
            <w:div w:id="1627083788">
              <w:marLeft w:val="0"/>
              <w:marRight w:val="0"/>
              <w:marTop w:val="0"/>
              <w:marBottom w:val="0"/>
              <w:divBdr>
                <w:top w:val="none" w:sz="0" w:space="0" w:color="auto"/>
                <w:left w:val="none" w:sz="0" w:space="0" w:color="auto"/>
                <w:bottom w:val="none" w:sz="0" w:space="0" w:color="auto"/>
                <w:right w:val="none" w:sz="0" w:space="0" w:color="auto"/>
              </w:divBdr>
            </w:div>
            <w:div w:id="1972636571">
              <w:marLeft w:val="0"/>
              <w:marRight w:val="0"/>
              <w:marTop w:val="0"/>
              <w:marBottom w:val="0"/>
              <w:divBdr>
                <w:top w:val="none" w:sz="0" w:space="0" w:color="auto"/>
                <w:left w:val="none" w:sz="0" w:space="0" w:color="auto"/>
                <w:bottom w:val="none" w:sz="0" w:space="0" w:color="auto"/>
                <w:right w:val="none" w:sz="0" w:space="0" w:color="auto"/>
              </w:divBdr>
            </w:div>
            <w:div w:id="1101338636">
              <w:marLeft w:val="0"/>
              <w:marRight w:val="0"/>
              <w:marTop w:val="0"/>
              <w:marBottom w:val="0"/>
              <w:divBdr>
                <w:top w:val="none" w:sz="0" w:space="0" w:color="auto"/>
                <w:left w:val="none" w:sz="0" w:space="0" w:color="auto"/>
                <w:bottom w:val="none" w:sz="0" w:space="0" w:color="auto"/>
                <w:right w:val="none" w:sz="0" w:space="0" w:color="auto"/>
              </w:divBdr>
            </w:div>
          </w:divsChild>
        </w:div>
        <w:div w:id="1858040739">
          <w:marLeft w:val="0"/>
          <w:marRight w:val="0"/>
          <w:marTop w:val="0"/>
          <w:marBottom w:val="0"/>
          <w:divBdr>
            <w:top w:val="none" w:sz="0" w:space="0" w:color="auto"/>
            <w:left w:val="none" w:sz="0" w:space="0" w:color="auto"/>
            <w:bottom w:val="none" w:sz="0" w:space="0" w:color="auto"/>
            <w:right w:val="none" w:sz="0" w:space="0" w:color="auto"/>
          </w:divBdr>
          <w:divsChild>
            <w:div w:id="2753286">
              <w:marLeft w:val="0"/>
              <w:marRight w:val="0"/>
              <w:marTop w:val="0"/>
              <w:marBottom w:val="0"/>
              <w:divBdr>
                <w:top w:val="none" w:sz="0" w:space="0" w:color="auto"/>
                <w:left w:val="none" w:sz="0" w:space="0" w:color="auto"/>
                <w:bottom w:val="none" w:sz="0" w:space="0" w:color="auto"/>
                <w:right w:val="none" w:sz="0" w:space="0" w:color="auto"/>
              </w:divBdr>
            </w:div>
            <w:div w:id="432559463">
              <w:marLeft w:val="0"/>
              <w:marRight w:val="0"/>
              <w:marTop w:val="0"/>
              <w:marBottom w:val="0"/>
              <w:divBdr>
                <w:top w:val="none" w:sz="0" w:space="0" w:color="auto"/>
                <w:left w:val="none" w:sz="0" w:space="0" w:color="auto"/>
                <w:bottom w:val="none" w:sz="0" w:space="0" w:color="auto"/>
                <w:right w:val="none" w:sz="0" w:space="0" w:color="auto"/>
              </w:divBdr>
            </w:div>
          </w:divsChild>
        </w:div>
        <w:div w:id="1793354258">
          <w:marLeft w:val="0"/>
          <w:marRight w:val="0"/>
          <w:marTop w:val="0"/>
          <w:marBottom w:val="0"/>
          <w:divBdr>
            <w:top w:val="none" w:sz="0" w:space="0" w:color="auto"/>
            <w:left w:val="none" w:sz="0" w:space="0" w:color="auto"/>
            <w:bottom w:val="none" w:sz="0" w:space="0" w:color="auto"/>
            <w:right w:val="none" w:sz="0" w:space="0" w:color="auto"/>
          </w:divBdr>
          <w:divsChild>
            <w:div w:id="1799252048">
              <w:marLeft w:val="0"/>
              <w:marRight w:val="0"/>
              <w:marTop w:val="0"/>
              <w:marBottom w:val="0"/>
              <w:divBdr>
                <w:top w:val="none" w:sz="0" w:space="0" w:color="auto"/>
                <w:left w:val="none" w:sz="0" w:space="0" w:color="auto"/>
                <w:bottom w:val="none" w:sz="0" w:space="0" w:color="auto"/>
                <w:right w:val="none" w:sz="0" w:space="0" w:color="auto"/>
              </w:divBdr>
            </w:div>
            <w:div w:id="1887136131">
              <w:marLeft w:val="0"/>
              <w:marRight w:val="0"/>
              <w:marTop w:val="0"/>
              <w:marBottom w:val="0"/>
              <w:divBdr>
                <w:top w:val="none" w:sz="0" w:space="0" w:color="auto"/>
                <w:left w:val="none" w:sz="0" w:space="0" w:color="auto"/>
                <w:bottom w:val="none" w:sz="0" w:space="0" w:color="auto"/>
                <w:right w:val="none" w:sz="0" w:space="0" w:color="auto"/>
              </w:divBdr>
            </w:div>
            <w:div w:id="1987471186">
              <w:marLeft w:val="0"/>
              <w:marRight w:val="0"/>
              <w:marTop w:val="0"/>
              <w:marBottom w:val="0"/>
              <w:divBdr>
                <w:top w:val="none" w:sz="0" w:space="0" w:color="auto"/>
                <w:left w:val="none" w:sz="0" w:space="0" w:color="auto"/>
                <w:bottom w:val="none" w:sz="0" w:space="0" w:color="auto"/>
                <w:right w:val="none" w:sz="0" w:space="0" w:color="auto"/>
              </w:divBdr>
            </w:div>
          </w:divsChild>
        </w:div>
        <w:div w:id="2130586081">
          <w:marLeft w:val="0"/>
          <w:marRight w:val="0"/>
          <w:marTop w:val="0"/>
          <w:marBottom w:val="0"/>
          <w:divBdr>
            <w:top w:val="none" w:sz="0" w:space="0" w:color="auto"/>
            <w:left w:val="none" w:sz="0" w:space="0" w:color="auto"/>
            <w:bottom w:val="none" w:sz="0" w:space="0" w:color="auto"/>
            <w:right w:val="none" w:sz="0" w:space="0" w:color="auto"/>
          </w:divBdr>
          <w:divsChild>
            <w:div w:id="1693653057">
              <w:marLeft w:val="0"/>
              <w:marRight w:val="0"/>
              <w:marTop w:val="0"/>
              <w:marBottom w:val="0"/>
              <w:divBdr>
                <w:top w:val="none" w:sz="0" w:space="0" w:color="auto"/>
                <w:left w:val="none" w:sz="0" w:space="0" w:color="auto"/>
                <w:bottom w:val="none" w:sz="0" w:space="0" w:color="auto"/>
                <w:right w:val="none" w:sz="0" w:space="0" w:color="auto"/>
              </w:divBdr>
            </w:div>
          </w:divsChild>
        </w:div>
        <w:div w:id="879904040">
          <w:marLeft w:val="0"/>
          <w:marRight w:val="0"/>
          <w:marTop w:val="0"/>
          <w:marBottom w:val="0"/>
          <w:divBdr>
            <w:top w:val="none" w:sz="0" w:space="0" w:color="auto"/>
            <w:left w:val="none" w:sz="0" w:space="0" w:color="auto"/>
            <w:bottom w:val="none" w:sz="0" w:space="0" w:color="auto"/>
            <w:right w:val="none" w:sz="0" w:space="0" w:color="auto"/>
          </w:divBdr>
          <w:divsChild>
            <w:div w:id="756560760">
              <w:marLeft w:val="0"/>
              <w:marRight w:val="0"/>
              <w:marTop w:val="0"/>
              <w:marBottom w:val="0"/>
              <w:divBdr>
                <w:top w:val="none" w:sz="0" w:space="0" w:color="auto"/>
                <w:left w:val="none" w:sz="0" w:space="0" w:color="auto"/>
                <w:bottom w:val="none" w:sz="0" w:space="0" w:color="auto"/>
                <w:right w:val="none" w:sz="0" w:space="0" w:color="auto"/>
              </w:divBdr>
            </w:div>
            <w:div w:id="270164040">
              <w:marLeft w:val="0"/>
              <w:marRight w:val="0"/>
              <w:marTop w:val="0"/>
              <w:marBottom w:val="0"/>
              <w:divBdr>
                <w:top w:val="none" w:sz="0" w:space="0" w:color="auto"/>
                <w:left w:val="none" w:sz="0" w:space="0" w:color="auto"/>
                <w:bottom w:val="none" w:sz="0" w:space="0" w:color="auto"/>
                <w:right w:val="none" w:sz="0" w:space="0" w:color="auto"/>
              </w:divBdr>
            </w:div>
            <w:div w:id="1597667371">
              <w:marLeft w:val="0"/>
              <w:marRight w:val="0"/>
              <w:marTop w:val="0"/>
              <w:marBottom w:val="0"/>
              <w:divBdr>
                <w:top w:val="none" w:sz="0" w:space="0" w:color="auto"/>
                <w:left w:val="none" w:sz="0" w:space="0" w:color="auto"/>
                <w:bottom w:val="none" w:sz="0" w:space="0" w:color="auto"/>
                <w:right w:val="none" w:sz="0" w:space="0" w:color="auto"/>
              </w:divBdr>
            </w:div>
          </w:divsChild>
        </w:div>
        <w:div w:id="273828328">
          <w:marLeft w:val="0"/>
          <w:marRight w:val="0"/>
          <w:marTop w:val="0"/>
          <w:marBottom w:val="0"/>
          <w:divBdr>
            <w:top w:val="none" w:sz="0" w:space="0" w:color="auto"/>
            <w:left w:val="none" w:sz="0" w:space="0" w:color="auto"/>
            <w:bottom w:val="none" w:sz="0" w:space="0" w:color="auto"/>
            <w:right w:val="none" w:sz="0" w:space="0" w:color="auto"/>
          </w:divBdr>
          <w:divsChild>
            <w:div w:id="780952820">
              <w:marLeft w:val="0"/>
              <w:marRight w:val="0"/>
              <w:marTop w:val="0"/>
              <w:marBottom w:val="0"/>
              <w:divBdr>
                <w:top w:val="none" w:sz="0" w:space="0" w:color="auto"/>
                <w:left w:val="none" w:sz="0" w:space="0" w:color="auto"/>
                <w:bottom w:val="none" w:sz="0" w:space="0" w:color="auto"/>
                <w:right w:val="none" w:sz="0" w:space="0" w:color="auto"/>
              </w:divBdr>
            </w:div>
            <w:div w:id="1697003229">
              <w:marLeft w:val="0"/>
              <w:marRight w:val="0"/>
              <w:marTop w:val="0"/>
              <w:marBottom w:val="0"/>
              <w:divBdr>
                <w:top w:val="none" w:sz="0" w:space="0" w:color="auto"/>
                <w:left w:val="none" w:sz="0" w:space="0" w:color="auto"/>
                <w:bottom w:val="none" w:sz="0" w:space="0" w:color="auto"/>
                <w:right w:val="none" w:sz="0" w:space="0" w:color="auto"/>
              </w:divBdr>
            </w:div>
            <w:div w:id="1696156691">
              <w:marLeft w:val="0"/>
              <w:marRight w:val="0"/>
              <w:marTop w:val="0"/>
              <w:marBottom w:val="0"/>
              <w:divBdr>
                <w:top w:val="none" w:sz="0" w:space="0" w:color="auto"/>
                <w:left w:val="none" w:sz="0" w:space="0" w:color="auto"/>
                <w:bottom w:val="none" w:sz="0" w:space="0" w:color="auto"/>
                <w:right w:val="none" w:sz="0" w:space="0" w:color="auto"/>
              </w:divBdr>
            </w:div>
          </w:divsChild>
        </w:div>
        <w:div w:id="1754205119">
          <w:marLeft w:val="0"/>
          <w:marRight w:val="0"/>
          <w:marTop w:val="0"/>
          <w:marBottom w:val="0"/>
          <w:divBdr>
            <w:top w:val="none" w:sz="0" w:space="0" w:color="auto"/>
            <w:left w:val="none" w:sz="0" w:space="0" w:color="auto"/>
            <w:bottom w:val="none" w:sz="0" w:space="0" w:color="auto"/>
            <w:right w:val="none" w:sz="0" w:space="0" w:color="auto"/>
          </w:divBdr>
          <w:divsChild>
            <w:div w:id="1793595138">
              <w:marLeft w:val="0"/>
              <w:marRight w:val="0"/>
              <w:marTop w:val="0"/>
              <w:marBottom w:val="0"/>
              <w:divBdr>
                <w:top w:val="none" w:sz="0" w:space="0" w:color="auto"/>
                <w:left w:val="none" w:sz="0" w:space="0" w:color="auto"/>
                <w:bottom w:val="none" w:sz="0" w:space="0" w:color="auto"/>
                <w:right w:val="none" w:sz="0" w:space="0" w:color="auto"/>
              </w:divBdr>
            </w:div>
            <w:div w:id="1022363755">
              <w:marLeft w:val="0"/>
              <w:marRight w:val="0"/>
              <w:marTop w:val="0"/>
              <w:marBottom w:val="0"/>
              <w:divBdr>
                <w:top w:val="none" w:sz="0" w:space="0" w:color="auto"/>
                <w:left w:val="none" w:sz="0" w:space="0" w:color="auto"/>
                <w:bottom w:val="none" w:sz="0" w:space="0" w:color="auto"/>
                <w:right w:val="none" w:sz="0" w:space="0" w:color="auto"/>
              </w:divBdr>
            </w:div>
          </w:divsChild>
        </w:div>
        <w:div w:id="693967481">
          <w:marLeft w:val="0"/>
          <w:marRight w:val="0"/>
          <w:marTop w:val="0"/>
          <w:marBottom w:val="0"/>
          <w:divBdr>
            <w:top w:val="none" w:sz="0" w:space="0" w:color="auto"/>
            <w:left w:val="none" w:sz="0" w:space="0" w:color="auto"/>
            <w:bottom w:val="none" w:sz="0" w:space="0" w:color="auto"/>
            <w:right w:val="none" w:sz="0" w:space="0" w:color="auto"/>
          </w:divBdr>
          <w:divsChild>
            <w:div w:id="420175305">
              <w:marLeft w:val="0"/>
              <w:marRight w:val="0"/>
              <w:marTop w:val="0"/>
              <w:marBottom w:val="0"/>
              <w:divBdr>
                <w:top w:val="none" w:sz="0" w:space="0" w:color="auto"/>
                <w:left w:val="none" w:sz="0" w:space="0" w:color="auto"/>
                <w:bottom w:val="none" w:sz="0" w:space="0" w:color="auto"/>
                <w:right w:val="none" w:sz="0" w:space="0" w:color="auto"/>
              </w:divBdr>
            </w:div>
            <w:div w:id="337122690">
              <w:marLeft w:val="0"/>
              <w:marRight w:val="0"/>
              <w:marTop w:val="0"/>
              <w:marBottom w:val="0"/>
              <w:divBdr>
                <w:top w:val="none" w:sz="0" w:space="0" w:color="auto"/>
                <w:left w:val="none" w:sz="0" w:space="0" w:color="auto"/>
                <w:bottom w:val="none" w:sz="0" w:space="0" w:color="auto"/>
                <w:right w:val="none" w:sz="0" w:space="0" w:color="auto"/>
              </w:divBdr>
            </w:div>
          </w:divsChild>
        </w:div>
        <w:div w:id="1521118265">
          <w:marLeft w:val="0"/>
          <w:marRight w:val="0"/>
          <w:marTop w:val="0"/>
          <w:marBottom w:val="0"/>
          <w:divBdr>
            <w:top w:val="none" w:sz="0" w:space="0" w:color="auto"/>
            <w:left w:val="none" w:sz="0" w:space="0" w:color="auto"/>
            <w:bottom w:val="none" w:sz="0" w:space="0" w:color="auto"/>
            <w:right w:val="none" w:sz="0" w:space="0" w:color="auto"/>
          </w:divBdr>
          <w:divsChild>
            <w:div w:id="589119251">
              <w:marLeft w:val="0"/>
              <w:marRight w:val="0"/>
              <w:marTop w:val="0"/>
              <w:marBottom w:val="0"/>
              <w:divBdr>
                <w:top w:val="none" w:sz="0" w:space="0" w:color="auto"/>
                <w:left w:val="none" w:sz="0" w:space="0" w:color="auto"/>
                <w:bottom w:val="none" w:sz="0" w:space="0" w:color="auto"/>
                <w:right w:val="none" w:sz="0" w:space="0" w:color="auto"/>
              </w:divBdr>
            </w:div>
          </w:divsChild>
        </w:div>
        <w:div w:id="1759015156">
          <w:marLeft w:val="0"/>
          <w:marRight w:val="0"/>
          <w:marTop w:val="0"/>
          <w:marBottom w:val="0"/>
          <w:divBdr>
            <w:top w:val="none" w:sz="0" w:space="0" w:color="auto"/>
            <w:left w:val="none" w:sz="0" w:space="0" w:color="auto"/>
            <w:bottom w:val="none" w:sz="0" w:space="0" w:color="auto"/>
            <w:right w:val="none" w:sz="0" w:space="0" w:color="auto"/>
          </w:divBdr>
          <w:divsChild>
            <w:div w:id="2112360643">
              <w:marLeft w:val="0"/>
              <w:marRight w:val="0"/>
              <w:marTop w:val="0"/>
              <w:marBottom w:val="0"/>
              <w:divBdr>
                <w:top w:val="none" w:sz="0" w:space="0" w:color="auto"/>
                <w:left w:val="none" w:sz="0" w:space="0" w:color="auto"/>
                <w:bottom w:val="none" w:sz="0" w:space="0" w:color="auto"/>
                <w:right w:val="none" w:sz="0" w:space="0" w:color="auto"/>
              </w:divBdr>
            </w:div>
            <w:div w:id="655035227">
              <w:marLeft w:val="0"/>
              <w:marRight w:val="0"/>
              <w:marTop w:val="0"/>
              <w:marBottom w:val="0"/>
              <w:divBdr>
                <w:top w:val="none" w:sz="0" w:space="0" w:color="auto"/>
                <w:left w:val="none" w:sz="0" w:space="0" w:color="auto"/>
                <w:bottom w:val="none" w:sz="0" w:space="0" w:color="auto"/>
                <w:right w:val="none" w:sz="0" w:space="0" w:color="auto"/>
              </w:divBdr>
            </w:div>
            <w:div w:id="752429558">
              <w:marLeft w:val="0"/>
              <w:marRight w:val="0"/>
              <w:marTop w:val="0"/>
              <w:marBottom w:val="0"/>
              <w:divBdr>
                <w:top w:val="none" w:sz="0" w:space="0" w:color="auto"/>
                <w:left w:val="none" w:sz="0" w:space="0" w:color="auto"/>
                <w:bottom w:val="none" w:sz="0" w:space="0" w:color="auto"/>
                <w:right w:val="none" w:sz="0" w:space="0" w:color="auto"/>
              </w:divBdr>
            </w:div>
          </w:divsChild>
        </w:div>
        <w:div w:id="648831290">
          <w:marLeft w:val="0"/>
          <w:marRight w:val="0"/>
          <w:marTop w:val="0"/>
          <w:marBottom w:val="0"/>
          <w:divBdr>
            <w:top w:val="none" w:sz="0" w:space="0" w:color="auto"/>
            <w:left w:val="none" w:sz="0" w:space="0" w:color="auto"/>
            <w:bottom w:val="none" w:sz="0" w:space="0" w:color="auto"/>
            <w:right w:val="none" w:sz="0" w:space="0" w:color="auto"/>
          </w:divBdr>
          <w:divsChild>
            <w:div w:id="1983920097">
              <w:marLeft w:val="0"/>
              <w:marRight w:val="0"/>
              <w:marTop w:val="0"/>
              <w:marBottom w:val="0"/>
              <w:divBdr>
                <w:top w:val="none" w:sz="0" w:space="0" w:color="auto"/>
                <w:left w:val="none" w:sz="0" w:space="0" w:color="auto"/>
                <w:bottom w:val="none" w:sz="0" w:space="0" w:color="auto"/>
                <w:right w:val="none" w:sz="0" w:space="0" w:color="auto"/>
              </w:divBdr>
            </w:div>
            <w:div w:id="416251787">
              <w:marLeft w:val="0"/>
              <w:marRight w:val="0"/>
              <w:marTop w:val="0"/>
              <w:marBottom w:val="0"/>
              <w:divBdr>
                <w:top w:val="none" w:sz="0" w:space="0" w:color="auto"/>
                <w:left w:val="none" w:sz="0" w:space="0" w:color="auto"/>
                <w:bottom w:val="none" w:sz="0" w:space="0" w:color="auto"/>
                <w:right w:val="none" w:sz="0" w:space="0" w:color="auto"/>
              </w:divBdr>
            </w:div>
          </w:divsChild>
        </w:div>
        <w:div w:id="302466835">
          <w:marLeft w:val="0"/>
          <w:marRight w:val="0"/>
          <w:marTop w:val="0"/>
          <w:marBottom w:val="0"/>
          <w:divBdr>
            <w:top w:val="none" w:sz="0" w:space="0" w:color="auto"/>
            <w:left w:val="none" w:sz="0" w:space="0" w:color="auto"/>
            <w:bottom w:val="none" w:sz="0" w:space="0" w:color="auto"/>
            <w:right w:val="none" w:sz="0" w:space="0" w:color="auto"/>
          </w:divBdr>
          <w:divsChild>
            <w:div w:id="506746522">
              <w:marLeft w:val="0"/>
              <w:marRight w:val="0"/>
              <w:marTop w:val="0"/>
              <w:marBottom w:val="0"/>
              <w:divBdr>
                <w:top w:val="none" w:sz="0" w:space="0" w:color="auto"/>
                <w:left w:val="none" w:sz="0" w:space="0" w:color="auto"/>
                <w:bottom w:val="none" w:sz="0" w:space="0" w:color="auto"/>
                <w:right w:val="none" w:sz="0" w:space="0" w:color="auto"/>
              </w:divBdr>
            </w:div>
            <w:div w:id="42558124">
              <w:marLeft w:val="0"/>
              <w:marRight w:val="0"/>
              <w:marTop w:val="0"/>
              <w:marBottom w:val="0"/>
              <w:divBdr>
                <w:top w:val="none" w:sz="0" w:space="0" w:color="auto"/>
                <w:left w:val="none" w:sz="0" w:space="0" w:color="auto"/>
                <w:bottom w:val="none" w:sz="0" w:space="0" w:color="auto"/>
                <w:right w:val="none" w:sz="0" w:space="0" w:color="auto"/>
              </w:divBdr>
            </w:div>
          </w:divsChild>
        </w:div>
        <w:div w:id="906113018">
          <w:marLeft w:val="0"/>
          <w:marRight w:val="0"/>
          <w:marTop w:val="0"/>
          <w:marBottom w:val="0"/>
          <w:divBdr>
            <w:top w:val="none" w:sz="0" w:space="0" w:color="auto"/>
            <w:left w:val="none" w:sz="0" w:space="0" w:color="auto"/>
            <w:bottom w:val="none" w:sz="0" w:space="0" w:color="auto"/>
            <w:right w:val="none" w:sz="0" w:space="0" w:color="auto"/>
          </w:divBdr>
          <w:divsChild>
            <w:div w:id="786047290">
              <w:marLeft w:val="0"/>
              <w:marRight w:val="0"/>
              <w:marTop w:val="0"/>
              <w:marBottom w:val="0"/>
              <w:divBdr>
                <w:top w:val="none" w:sz="0" w:space="0" w:color="auto"/>
                <w:left w:val="none" w:sz="0" w:space="0" w:color="auto"/>
                <w:bottom w:val="none" w:sz="0" w:space="0" w:color="auto"/>
                <w:right w:val="none" w:sz="0" w:space="0" w:color="auto"/>
              </w:divBdr>
            </w:div>
          </w:divsChild>
        </w:div>
        <w:div w:id="1616256333">
          <w:marLeft w:val="0"/>
          <w:marRight w:val="0"/>
          <w:marTop w:val="0"/>
          <w:marBottom w:val="0"/>
          <w:divBdr>
            <w:top w:val="none" w:sz="0" w:space="0" w:color="auto"/>
            <w:left w:val="none" w:sz="0" w:space="0" w:color="auto"/>
            <w:bottom w:val="none" w:sz="0" w:space="0" w:color="auto"/>
            <w:right w:val="none" w:sz="0" w:space="0" w:color="auto"/>
          </w:divBdr>
          <w:divsChild>
            <w:div w:id="463736801">
              <w:marLeft w:val="0"/>
              <w:marRight w:val="0"/>
              <w:marTop w:val="0"/>
              <w:marBottom w:val="0"/>
              <w:divBdr>
                <w:top w:val="none" w:sz="0" w:space="0" w:color="auto"/>
                <w:left w:val="none" w:sz="0" w:space="0" w:color="auto"/>
                <w:bottom w:val="none" w:sz="0" w:space="0" w:color="auto"/>
                <w:right w:val="none" w:sz="0" w:space="0" w:color="auto"/>
              </w:divBdr>
            </w:div>
            <w:div w:id="1054161533">
              <w:marLeft w:val="0"/>
              <w:marRight w:val="0"/>
              <w:marTop w:val="0"/>
              <w:marBottom w:val="0"/>
              <w:divBdr>
                <w:top w:val="none" w:sz="0" w:space="0" w:color="auto"/>
                <w:left w:val="none" w:sz="0" w:space="0" w:color="auto"/>
                <w:bottom w:val="none" w:sz="0" w:space="0" w:color="auto"/>
                <w:right w:val="none" w:sz="0" w:space="0" w:color="auto"/>
              </w:divBdr>
            </w:div>
          </w:divsChild>
        </w:div>
        <w:div w:id="87429615">
          <w:marLeft w:val="0"/>
          <w:marRight w:val="0"/>
          <w:marTop w:val="0"/>
          <w:marBottom w:val="0"/>
          <w:divBdr>
            <w:top w:val="none" w:sz="0" w:space="0" w:color="auto"/>
            <w:left w:val="none" w:sz="0" w:space="0" w:color="auto"/>
            <w:bottom w:val="none" w:sz="0" w:space="0" w:color="auto"/>
            <w:right w:val="none" w:sz="0" w:space="0" w:color="auto"/>
          </w:divBdr>
          <w:divsChild>
            <w:div w:id="674503626">
              <w:marLeft w:val="0"/>
              <w:marRight w:val="0"/>
              <w:marTop w:val="0"/>
              <w:marBottom w:val="0"/>
              <w:divBdr>
                <w:top w:val="none" w:sz="0" w:space="0" w:color="auto"/>
                <w:left w:val="none" w:sz="0" w:space="0" w:color="auto"/>
                <w:bottom w:val="none" w:sz="0" w:space="0" w:color="auto"/>
                <w:right w:val="none" w:sz="0" w:space="0" w:color="auto"/>
              </w:divBdr>
            </w:div>
            <w:div w:id="566233668">
              <w:marLeft w:val="0"/>
              <w:marRight w:val="0"/>
              <w:marTop w:val="0"/>
              <w:marBottom w:val="0"/>
              <w:divBdr>
                <w:top w:val="none" w:sz="0" w:space="0" w:color="auto"/>
                <w:left w:val="none" w:sz="0" w:space="0" w:color="auto"/>
                <w:bottom w:val="none" w:sz="0" w:space="0" w:color="auto"/>
                <w:right w:val="none" w:sz="0" w:space="0" w:color="auto"/>
              </w:divBdr>
            </w:div>
            <w:div w:id="1593708675">
              <w:marLeft w:val="0"/>
              <w:marRight w:val="0"/>
              <w:marTop w:val="0"/>
              <w:marBottom w:val="0"/>
              <w:divBdr>
                <w:top w:val="none" w:sz="0" w:space="0" w:color="auto"/>
                <w:left w:val="none" w:sz="0" w:space="0" w:color="auto"/>
                <w:bottom w:val="none" w:sz="0" w:space="0" w:color="auto"/>
                <w:right w:val="none" w:sz="0" w:space="0" w:color="auto"/>
              </w:divBdr>
            </w:div>
          </w:divsChild>
        </w:div>
        <w:div w:id="550461031">
          <w:marLeft w:val="0"/>
          <w:marRight w:val="0"/>
          <w:marTop w:val="0"/>
          <w:marBottom w:val="0"/>
          <w:divBdr>
            <w:top w:val="none" w:sz="0" w:space="0" w:color="auto"/>
            <w:left w:val="none" w:sz="0" w:space="0" w:color="auto"/>
            <w:bottom w:val="none" w:sz="0" w:space="0" w:color="auto"/>
            <w:right w:val="none" w:sz="0" w:space="0" w:color="auto"/>
          </w:divBdr>
          <w:divsChild>
            <w:div w:id="458575594">
              <w:marLeft w:val="0"/>
              <w:marRight w:val="0"/>
              <w:marTop w:val="0"/>
              <w:marBottom w:val="0"/>
              <w:divBdr>
                <w:top w:val="none" w:sz="0" w:space="0" w:color="auto"/>
                <w:left w:val="none" w:sz="0" w:space="0" w:color="auto"/>
                <w:bottom w:val="none" w:sz="0" w:space="0" w:color="auto"/>
                <w:right w:val="none" w:sz="0" w:space="0" w:color="auto"/>
              </w:divBdr>
            </w:div>
            <w:div w:id="139349258">
              <w:marLeft w:val="0"/>
              <w:marRight w:val="0"/>
              <w:marTop w:val="0"/>
              <w:marBottom w:val="0"/>
              <w:divBdr>
                <w:top w:val="none" w:sz="0" w:space="0" w:color="auto"/>
                <w:left w:val="none" w:sz="0" w:space="0" w:color="auto"/>
                <w:bottom w:val="none" w:sz="0" w:space="0" w:color="auto"/>
                <w:right w:val="none" w:sz="0" w:space="0" w:color="auto"/>
              </w:divBdr>
            </w:div>
          </w:divsChild>
        </w:div>
        <w:div w:id="62873368">
          <w:marLeft w:val="0"/>
          <w:marRight w:val="0"/>
          <w:marTop w:val="0"/>
          <w:marBottom w:val="0"/>
          <w:divBdr>
            <w:top w:val="none" w:sz="0" w:space="0" w:color="auto"/>
            <w:left w:val="none" w:sz="0" w:space="0" w:color="auto"/>
            <w:bottom w:val="none" w:sz="0" w:space="0" w:color="auto"/>
            <w:right w:val="none" w:sz="0" w:space="0" w:color="auto"/>
          </w:divBdr>
          <w:divsChild>
            <w:div w:id="1078287136">
              <w:marLeft w:val="0"/>
              <w:marRight w:val="0"/>
              <w:marTop w:val="0"/>
              <w:marBottom w:val="0"/>
              <w:divBdr>
                <w:top w:val="none" w:sz="0" w:space="0" w:color="auto"/>
                <w:left w:val="none" w:sz="0" w:space="0" w:color="auto"/>
                <w:bottom w:val="none" w:sz="0" w:space="0" w:color="auto"/>
                <w:right w:val="none" w:sz="0" w:space="0" w:color="auto"/>
              </w:divBdr>
            </w:div>
          </w:divsChild>
        </w:div>
        <w:div w:id="690187011">
          <w:marLeft w:val="0"/>
          <w:marRight w:val="0"/>
          <w:marTop w:val="0"/>
          <w:marBottom w:val="0"/>
          <w:divBdr>
            <w:top w:val="none" w:sz="0" w:space="0" w:color="auto"/>
            <w:left w:val="none" w:sz="0" w:space="0" w:color="auto"/>
            <w:bottom w:val="none" w:sz="0" w:space="0" w:color="auto"/>
            <w:right w:val="none" w:sz="0" w:space="0" w:color="auto"/>
          </w:divBdr>
          <w:divsChild>
            <w:div w:id="895243349">
              <w:marLeft w:val="0"/>
              <w:marRight w:val="0"/>
              <w:marTop w:val="0"/>
              <w:marBottom w:val="0"/>
              <w:divBdr>
                <w:top w:val="none" w:sz="0" w:space="0" w:color="auto"/>
                <w:left w:val="none" w:sz="0" w:space="0" w:color="auto"/>
                <w:bottom w:val="none" w:sz="0" w:space="0" w:color="auto"/>
                <w:right w:val="none" w:sz="0" w:space="0" w:color="auto"/>
              </w:divBdr>
            </w:div>
            <w:div w:id="1760369522">
              <w:marLeft w:val="0"/>
              <w:marRight w:val="0"/>
              <w:marTop w:val="0"/>
              <w:marBottom w:val="0"/>
              <w:divBdr>
                <w:top w:val="none" w:sz="0" w:space="0" w:color="auto"/>
                <w:left w:val="none" w:sz="0" w:space="0" w:color="auto"/>
                <w:bottom w:val="none" w:sz="0" w:space="0" w:color="auto"/>
                <w:right w:val="none" w:sz="0" w:space="0" w:color="auto"/>
              </w:divBdr>
            </w:div>
            <w:div w:id="1735349802">
              <w:marLeft w:val="0"/>
              <w:marRight w:val="0"/>
              <w:marTop w:val="0"/>
              <w:marBottom w:val="0"/>
              <w:divBdr>
                <w:top w:val="none" w:sz="0" w:space="0" w:color="auto"/>
                <w:left w:val="none" w:sz="0" w:space="0" w:color="auto"/>
                <w:bottom w:val="none" w:sz="0" w:space="0" w:color="auto"/>
                <w:right w:val="none" w:sz="0" w:space="0" w:color="auto"/>
              </w:divBdr>
            </w:div>
          </w:divsChild>
        </w:div>
        <w:div w:id="1435859119">
          <w:marLeft w:val="0"/>
          <w:marRight w:val="0"/>
          <w:marTop w:val="0"/>
          <w:marBottom w:val="0"/>
          <w:divBdr>
            <w:top w:val="none" w:sz="0" w:space="0" w:color="auto"/>
            <w:left w:val="none" w:sz="0" w:space="0" w:color="auto"/>
            <w:bottom w:val="none" w:sz="0" w:space="0" w:color="auto"/>
            <w:right w:val="none" w:sz="0" w:space="0" w:color="auto"/>
          </w:divBdr>
          <w:divsChild>
            <w:div w:id="2018921325">
              <w:marLeft w:val="0"/>
              <w:marRight w:val="0"/>
              <w:marTop w:val="0"/>
              <w:marBottom w:val="0"/>
              <w:divBdr>
                <w:top w:val="none" w:sz="0" w:space="0" w:color="auto"/>
                <w:left w:val="none" w:sz="0" w:space="0" w:color="auto"/>
                <w:bottom w:val="none" w:sz="0" w:space="0" w:color="auto"/>
                <w:right w:val="none" w:sz="0" w:space="0" w:color="auto"/>
              </w:divBdr>
            </w:div>
            <w:div w:id="90125342">
              <w:marLeft w:val="0"/>
              <w:marRight w:val="0"/>
              <w:marTop w:val="0"/>
              <w:marBottom w:val="0"/>
              <w:divBdr>
                <w:top w:val="none" w:sz="0" w:space="0" w:color="auto"/>
                <w:left w:val="none" w:sz="0" w:space="0" w:color="auto"/>
                <w:bottom w:val="none" w:sz="0" w:space="0" w:color="auto"/>
                <w:right w:val="none" w:sz="0" w:space="0" w:color="auto"/>
              </w:divBdr>
            </w:div>
            <w:div w:id="1814979526">
              <w:marLeft w:val="0"/>
              <w:marRight w:val="0"/>
              <w:marTop w:val="0"/>
              <w:marBottom w:val="0"/>
              <w:divBdr>
                <w:top w:val="none" w:sz="0" w:space="0" w:color="auto"/>
                <w:left w:val="none" w:sz="0" w:space="0" w:color="auto"/>
                <w:bottom w:val="none" w:sz="0" w:space="0" w:color="auto"/>
                <w:right w:val="none" w:sz="0" w:space="0" w:color="auto"/>
              </w:divBdr>
            </w:div>
          </w:divsChild>
        </w:div>
        <w:div w:id="249848490">
          <w:marLeft w:val="0"/>
          <w:marRight w:val="0"/>
          <w:marTop w:val="0"/>
          <w:marBottom w:val="0"/>
          <w:divBdr>
            <w:top w:val="none" w:sz="0" w:space="0" w:color="auto"/>
            <w:left w:val="none" w:sz="0" w:space="0" w:color="auto"/>
            <w:bottom w:val="none" w:sz="0" w:space="0" w:color="auto"/>
            <w:right w:val="none" w:sz="0" w:space="0" w:color="auto"/>
          </w:divBdr>
          <w:divsChild>
            <w:div w:id="2032686265">
              <w:marLeft w:val="0"/>
              <w:marRight w:val="0"/>
              <w:marTop w:val="0"/>
              <w:marBottom w:val="0"/>
              <w:divBdr>
                <w:top w:val="none" w:sz="0" w:space="0" w:color="auto"/>
                <w:left w:val="none" w:sz="0" w:space="0" w:color="auto"/>
                <w:bottom w:val="none" w:sz="0" w:space="0" w:color="auto"/>
                <w:right w:val="none" w:sz="0" w:space="0" w:color="auto"/>
              </w:divBdr>
            </w:div>
            <w:div w:id="1618682903">
              <w:marLeft w:val="0"/>
              <w:marRight w:val="0"/>
              <w:marTop w:val="0"/>
              <w:marBottom w:val="0"/>
              <w:divBdr>
                <w:top w:val="none" w:sz="0" w:space="0" w:color="auto"/>
                <w:left w:val="none" w:sz="0" w:space="0" w:color="auto"/>
                <w:bottom w:val="none" w:sz="0" w:space="0" w:color="auto"/>
                <w:right w:val="none" w:sz="0" w:space="0" w:color="auto"/>
              </w:divBdr>
            </w:div>
          </w:divsChild>
        </w:div>
        <w:div w:id="697507779">
          <w:marLeft w:val="0"/>
          <w:marRight w:val="0"/>
          <w:marTop w:val="0"/>
          <w:marBottom w:val="0"/>
          <w:divBdr>
            <w:top w:val="none" w:sz="0" w:space="0" w:color="auto"/>
            <w:left w:val="none" w:sz="0" w:space="0" w:color="auto"/>
            <w:bottom w:val="none" w:sz="0" w:space="0" w:color="auto"/>
            <w:right w:val="none" w:sz="0" w:space="0" w:color="auto"/>
          </w:divBdr>
          <w:divsChild>
            <w:div w:id="801652548">
              <w:marLeft w:val="0"/>
              <w:marRight w:val="0"/>
              <w:marTop w:val="0"/>
              <w:marBottom w:val="0"/>
              <w:divBdr>
                <w:top w:val="none" w:sz="0" w:space="0" w:color="auto"/>
                <w:left w:val="none" w:sz="0" w:space="0" w:color="auto"/>
                <w:bottom w:val="none" w:sz="0" w:space="0" w:color="auto"/>
                <w:right w:val="none" w:sz="0" w:space="0" w:color="auto"/>
              </w:divBdr>
            </w:div>
            <w:div w:id="774791953">
              <w:marLeft w:val="0"/>
              <w:marRight w:val="0"/>
              <w:marTop w:val="0"/>
              <w:marBottom w:val="0"/>
              <w:divBdr>
                <w:top w:val="none" w:sz="0" w:space="0" w:color="auto"/>
                <w:left w:val="none" w:sz="0" w:space="0" w:color="auto"/>
                <w:bottom w:val="none" w:sz="0" w:space="0" w:color="auto"/>
                <w:right w:val="none" w:sz="0" w:space="0" w:color="auto"/>
              </w:divBdr>
            </w:div>
          </w:divsChild>
        </w:div>
        <w:div w:id="2029679048">
          <w:marLeft w:val="0"/>
          <w:marRight w:val="0"/>
          <w:marTop w:val="0"/>
          <w:marBottom w:val="0"/>
          <w:divBdr>
            <w:top w:val="none" w:sz="0" w:space="0" w:color="auto"/>
            <w:left w:val="none" w:sz="0" w:space="0" w:color="auto"/>
            <w:bottom w:val="none" w:sz="0" w:space="0" w:color="auto"/>
            <w:right w:val="none" w:sz="0" w:space="0" w:color="auto"/>
          </w:divBdr>
          <w:divsChild>
            <w:div w:id="2050642983">
              <w:marLeft w:val="0"/>
              <w:marRight w:val="0"/>
              <w:marTop w:val="0"/>
              <w:marBottom w:val="0"/>
              <w:divBdr>
                <w:top w:val="none" w:sz="0" w:space="0" w:color="auto"/>
                <w:left w:val="none" w:sz="0" w:space="0" w:color="auto"/>
                <w:bottom w:val="none" w:sz="0" w:space="0" w:color="auto"/>
                <w:right w:val="none" w:sz="0" w:space="0" w:color="auto"/>
              </w:divBdr>
            </w:div>
            <w:div w:id="2022974057">
              <w:marLeft w:val="0"/>
              <w:marRight w:val="0"/>
              <w:marTop w:val="0"/>
              <w:marBottom w:val="0"/>
              <w:divBdr>
                <w:top w:val="none" w:sz="0" w:space="0" w:color="auto"/>
                <w:left w:val="none" w:sz="0" w:space="0" w:color="auto"/>
                <w:bottom w:val="none" w:sz="0" w:space="0" w:color="auto"/>
                <w:right w:val="none" w:sz="0" w:space="0" w:color="auto"/>
              </w:divBdr>
            </w:div>
            <w:div w:id="835195526">
              <w:marLeft w:val="0"/>
              <w:marRight w:val="0"/>
              <w:marTop w:val="0"/>
              <w:marBottom w:val="0"/>
              <w:divBdr>
                <w:top w:val="none" w:sz="0" w:space="0" w:color="auto"/>
                <w:left w:val="none" w:sz="0" w:space="0" w:color="auto"/>
                <w:bottom w:val="none" w:sz="0" w:space="0" w:color="auto"/>
                <w:right w:val="none" w:sz="0" w:space="0" w:color="auto"/>
              </w:divBdr>
            </w:div>
            <w:div w:id="950671768">
              <w:marLeft w:val="0"/>
              <w:marRight w:val="0"/>
              <w:marTop w:val="0"/>
              <w:marBottom w:val="0"/>
              <w:divBdr>
                <w:top w:val="none" w:sz="0" w:space="0" w:color="auto"/>
                <w:left w:val="none" w:sz="0" w:space="0" w:color="auto"/>
                <w:bottom w:val="none" w:sz="0" w:space="0" w:color="auto"/>
                <w:right w:val="none" w:sz="0" w:space="0" w:color="auto"/>
              </w:divBdr>
            </w:div>
          </w:divsChild>
        </w:div>
        <w:div w:id="355277555">
          <w:marLeft w:val="0"/>
          <w:marRight w:val="0"/>
          <w:marTop w:val="0"/>
          <w:marBottom w:val="0"/>
          <w:divBdr>
            <w:top w:val="none" w:sz="0" w:space="0" w:color="auto"/>
            <w:left w:val="none" w:sz="0" w:space="0" w:color="auto"/>
            <w:bottom w:val="none" w:sz="0" w:space="0" w:color="auto"/>
            <w:right w:val="none" w:sz="0" w:space="0" w:color="auto"/>
          </w:divBdr>
          <w:divsChild>
            <w:div w:id="624392088">
              <w:marLeft w:val="0"/>
              <w:marRight w:val="0"/>
              <w:marTop w:val="0"/>
              <w:marBottom w:val="0"/>
              <w:divBdr>
                <w:top w:val="none" w:sz="0" w:space="0" w:color="auto"/>
                <w:left w:val="none" w:sz="0" w:space="0" w:color="auto"/>
                <w:bottom w:val="none" w:sz="0" w:space="0" w:color="auto"/>
                <w:right w:val="none" w:sz="0" w:space="0" w:color="auto"/>
              </w:divBdr>
            </w:div>
            <w:div w:id="1020623524">
              <w:marLeft w:val="0"/>
              <w:marRight w:val="0"/>
              <w:marTop w:val="0"/>
              <w:marBottom w:val="0"/>
              <w:divBdr>
                <w:top w:val="none" w:sz="0" w:space="0" w:color="auto"/>
                <w:left w:val="none" w:sz="0" w:space="0" w:color="auto"/>
                <w:bottom w:val="none" w:sz="0" w:space="0" w:color="auto"/>
                <w:right w:val="none" w:sz="0" w:space="0" w:color="auto"/>
              </w:divBdr>
            </w:div>
            <w:div w:id="1205752965">
              <w:marLeft w:val="0"/>
              <w:marRight w:val="0"/>
              <w:marTop w:val="0"/>
              <w:marBottom w:val="0"/>
              <w:divBdr>
                <w:top w:val="none" w:sz="0" w:space="0" w:color="auto"/>
                <w:left w:val="none" w:sz="0" w:space="0" w:color="auto"/>
                <w:bottom w:val="none" w:sz="0" w:space="0" w:color="auto"/>
                <w:right w:val="none" w:sz="0" w:space="0" w:color="auto"/>
              </w:divBdr>
            </w:div>
            <w:div w:id="579214865">
              <w:marLeft w:val="0"/>
              <w:marRight w:val="0"/>
              <w:marTop w:val="0"/>
              <w:marBottom w:val="0"/>
              <w:divBdr>
                <w:top w:val="none" w:sz="0" w:space="0" w:color="auto"/>
                <w:left w:val="none" w:sz="0" w:space="0" w:color="auto"/>
                <w:bottom w:val="none" w:sz="0" w:space="0" w:color="auto"/>
                <w:right w:val="none" w:sz="0" w:space="0" w:color="auto"/>
              </w:divBdr>
            </w:div>
          </w:divsChild>
        </w:div>
        <w:div w:id="561209037">
          <w:marLeft w:val="0"/>
          <w:marRight w:val="0"/>
          <w:marTop w:val="0"/>
          <w:marBottom w:val="0"/>
          <w:divBdr>
            <w:top w:val="none" w:sz="0" w:space="0" w:color="auto"/>
            <w:left w:val="none" w:sz="0" w:space="0" w:color="auto"/>
            <w:bottom w:val="none" w:sz="0" w:space="0" w:color="auto"/>
            <w:right w:val="none" w:sz="0" w:space="0" w:color="auto"/>
          </w:divBdr>
          <w:divsChild>
            <w:div w:id="2000577682">
              <w:marLeft w:val="0"/>
              <w:marRight w:val="0"/>
              <w:marTop w:val="0"/>
              <w:marBottom w:val="0"/>
              <w:divBdr>
                <w:top w:val="none" w:sz="0" w:space="0" w:color="auto"/>
                <w:left w:val="none" w:sz="0" w:space="0" w:color="auto"/>
                <w:bottom w:val="none" w:sz="0" w:space="0" w:color="auto"/>
                <w:right w:val="none" w:sz="0" w:space="0" w:color="auto"/>
              </w:divBdr>
            </w:div>
            <w:div w:id="1681851304">
              <w:marLeft w:val="0"/>
              <w:marRight w:val="0"/>
              <w:marTop w:val="0"/>
              <w:marBottom w:val="0"/>
              <w:divBdr>
                <w:top w:val="none" w:sz="0" w:space="0" w:color="auto"/>
                <w:left w:val="none" w:sz="0" w:space="0" w:color="auto"/>
                <w:bottom w:val="none" w:sz="0" w:space="0" w:color="auto"/>
                <w:right w:val="none" w:sz="0" w:space="0" w:color="auto"/>
              </w:divBdr>
            </w:div>
            <w:div w:id="1189760216">
              <w:marLeft w:val="0"/>
              <w:marRight w:val="0"/>
              <w:marTop w:val="0"/>
              <w:marBottom w:val="0"/>
              <w:divBdr>
                <w:top w:val="none" w:sz="0" w:space="0" w:color="auto"/>
                <w:left w:val="none" w:sz="0" w:space="0" w:color="auto"/>
                <w:bottom w:val="none" w:sz="0" w:space="0" w:color="auto"/>
                <w:right w:val="none" w:sz="0" w:space="0" w:color="auto"/>
              </w:divBdr>
            </w:div>
          </w:divsChild>
        </w:div>
        <w:div w:id="396170792">
          <w:marLeft w:val="0"/>
          <w:marRight w:val="0"/>
          <w:marTop w:val="0"/>
          <w:marBottom w:val="0"/>
          <w:divBdr>
            <w:top w:val="none" w:sz="0" w:space="0" w:color="auto"/>
            <w:left w:val="none" w:sz="0" w:space="0" w:color="auto"/>
            <w:bottom w:val="none" w:sz="0" w:space="0" w:color="auto"/>
            <w:right w:val="none" w:sz="0" w:space="0" w:color="auto"/>
          </w:divBdr>
          <w:divsChild>
            <w:div w:id="1993437906">
              <w:marLeft w:val="0"/>
              <w:marRight w:val="0"/>
              <w:marTop w:val="0"/>
              <w:marBottom w:val="0"/>
              <w:divBdr>
                <w:top w:val="none" w:sz="0" w:space="0" w:color="auto"/>
                <w:left w:val="none" w:sz="0" w:space="0" w:color="auto"/>
                <w:bottom w:val="none" w:sz="0" w:space="0" w:color="auto"/>
                <w:right w:val="none" w:sz="0" w:space="0" w:color="auto"/>
              </w:divBdr>
            </w:div>
          </w:divsChild>
        </w:div>
        <w:div w:id="216597354">
          <w:marLeft w:val="0"/>
          <w:marRight w:val="0"/>
          <w:marTop w:val="0"/>
          <w:marBottom w:val="0"/>
          <w:divBdr>
            <w:top w:val="none" w:sz="0" w:space="0" w:color="auto"/>
            <w:left w:val="none" w:sz="0" w:space="0" w:color="auto"/>
            <w:bottom w:val="none" w:sz="0" w:space="0" w:color="auto"/>
            <w:right w:val="none" w:sz="0" w:space="0" w:color="auto"/>
          </w:divBdr>
          <w:divsChild>
            <w:div w:id="357506403">
              <w:marLeft w:val="0"/>
              <w:marRight w:val="0"/>
              <w:marTop w:val="0"/>
              <w:marBottom w:val="0"/>
              <w:divBdr>
                <w:top w:val="none" w:sz="0" w:space="0" w:color="auto"/>
                <w:left w:val="none" w:sz="0" w:space="0" w:color="auto"/>
                <w:bottom w:val="none" w:sz="0" w:space="0" w:color="auto"/>
                <w:right w:val="none" w:sz="0" w:space="0" w:color="auto"/>
              </w:divBdr>
            </w:div>
            <w:div w:id="1589197742">
              <w:marLeft w:val="0"/>
              <w:marRight w:val="0"/>
              <w:marTop w:val="0"/>
              <w:marBottom w:val="0"/>
              <w:divBdr>
                <w:top w:val="none" w:sz="0" w:space="0" w:color="auto"/>
                <w:left w:val="none" w:sz="0" w:space="0" w:color="auto"/>
                <w:bottom w:val="none" w:sz="0" w:space="0" w:color="auto"/>
                <w:right w:val="none" w:sz="0" w:space="0" w:color="auto"/>
              </w:divBdr>
            </w:div>
          </w:divsChild>
        </w:div>
        <w:div w:id="555237500">
          <w:marLeft w:val="0"/>
          <w:marRight w:val="0"/>
          <w:marTop w:val="0"/>
          <w:marBottom w:val="0"/>
          <w:divBdr>
            <w:top w:val="none" w:sz="0" w:space="0" w:color="auto"/>
            <w:left w:val="none" w:sz="0" w:space="0" w:color="auto"/>
            <w:bottom w:val="none" w:sz="0" w:space="0" w:color="auto"/>
            <w:right w:val="none" w:sz="0" w:space="0" w:color="auto"/>
          </w:divBdr>
          <w:divsChild>
            <w:div w:id="2001497828">
              <w:marLeft w:val="0"/>
              <w:marRight w:val="0"/>
              <w:marTop w:val="0"/>
              <w:marBottom w:val="0"/>
              <w:divBdr>
                <w:top w:val="none" w:sz="0" w:space="0" w:color="auto"/>
                <w:left w:val="none" w:sz="0" w:space="0" w:color="auto"/>
                <w:bottom w:val="none" w:sz="0" w:space="0" w:color="auto"/>
                <w:right w:val="none" w:sz="0" w:space="0" w:color="auto"/>
              </w:divBdr>
            </w:div>
            <w:div w:id="1798141140">
              <w:marLeft w:val="0"/>
              <w:marRight w:val="0"/>
              <w:marTop w:val="0"/>
              <w:marBottom w:val="0"/>
              <w:divBdr>
                <w:top w:val="none" w:sz="0" w:space="0" w:color="auto"/>
                <w:left w:val="none" w:sz="0" w:space="0" w:color="auto"/>
                <w:bottom w:val="none" w:sz="0" w:space="0" w:color="auto"/>
                <w:right w:val="none" w:sz="0" w:space="0" w:color="auto"/>
              </w:divBdr>
            </w:div>
          </w:divsChild>
        </w:div>
        <w:div w:id="99029044">
          <w:marLeft w:val="0"/>
          <w:marRight w:val="0"/>
          <w:marTop w:val="0"/>
          <w:marBottom w:val="0"/>
          <w:divBdr>
            <w:top w:val="none" w:sz="0" w:space="0" w:color="auto"/>
            <w:left w:val="none" w:sz="0" w:space="0" w:color="auto"/>
            <w:bottom w:val="none" w:sz="0" w:space="0" w:color="auto"/>
            <w:right w:val="none" w:sz="0" w:space="0" w:color="auto"/>
          </w:divBdr>
          <w:divsChild>
            <w:div w:id="1742217259">
              <w:marLeft w:val="0"/>
              <w:marRight w:val="0"/>
              <w:marTop w:val="0"/>
              <w:marBottom w:val="0"/>
              <w:divBdr>
                <w:top w:val="none" w:sz="0" w:space="0" w:color="auto"/>
                <w:left w:val="none" w:sz="0" w:space="0" w:color="auto"/>
                <w:bottom w:val="none" w:sz="0" w:space="0" w:color="auto"/>
                <w:right w:val="none" w:sz="0" w:space="0" w:color="auto"/>
              </w:divBdr>
            </w:div>
            <w:div w:id="641544652">
              <w:marLeft w:val="0"/>
              <w:marRight w:val="0"/>
              <w:marTop w:val="0"/>
              <w:marBottom w:val="0"/>
              <w:divBdr>
                <w:top w:val="none" w:sz="0" w:space="0" w:color="auto"/>
                <w:left w:val="none" w:sz="0" w:space="0" w:color="auto"/>
                <w:bottom w:val="none" w:sz="0" w:space="0" w:color="auto"/>
                <w:right w:val="none" w:sz="0" w:space="0" w:color="auto"/>
              </w:divBdr>
            </w:div>
          </w:divsChild>
        </w:div>
        <w:div w:id="1761482701">
          <w:marLeft w:val="0"/>
          <w:marRight w:val="0"/>
          <w:marTop w:val="0"/>
          <w:marBottom w:val="0"/>
          <w:divBdr>
            <w:top w:val="none" w:sz="0" w:space="0" w:color="auto"/>
            <w:left w:val="none" w:sz="0" w:space="0" w:color="auto"/>
            <w:bottom w:val="none" w:sz="0" w:space="0" w:color="auto"/>
            <w:right w:val="none" w:sz="0" w:space="0" w:color="auto"/>
          </w:divBdr>
          <w:divsChild>
            <w:div w:id="496651243">
              <w:marLeft w:val="0"/>
              <w:marRight w:val="0"/>
              <w:marTop w:val="0"/>
              <w:marBottom w:val="0"/>
              <w:divBdr>
                <w:top w:val="none" w:sz="0" w:space="0" w:color="auto"/>
                <w:left w:val="none" w:sz="0" w:space="0" w:color="auto"/>
                <w:bottom w:val="none" w:sz="0" w:space="0" w:color="auto"/>
                <w:right w:val="none" w:sz="0" w:space="0" w:color="auto"/>
              </w:divBdr>
            </w:div>
            <w:div w:id="625888110">
              <w:marLeft w:val="0"/>
              <w:marRight w:val="0"/>
              <w:marTop w:val="0"/>
              <w:marBottom w:val="0"/>
              <w:divBdr>
                <w:top w:val="none" w:sz="0" w:space="0" w:color="auto"/>
                <w:left w:val="none" w:sz="0" w:space="0" w:color="auto"/>
                <w:bottom w:val="none" w:sz="0" w:space="0" w:color="auto"/>
                <w:right w:val="none" w:sz="0" w:space="0" w:color="auto"/>
              </w:divBdr>
            </w:div>
          </w:divsChild>
        </w:div>
        <w:div w:id="807472030">
          <w:marLeft w:val="0"/>
          <w:marRight w:val="0"/>
          <w:marTop w:val="0"/>
          <w:marBottom w:val="0"/>
          <w:divBdr>
            <w:top w:val="none" w:sz="0" w:space="0" w:color="auto"/>
            <w:left w:val="none" w:sz="0" w:space="0" w:color="auto"/>
            <w:bottom w:val="none" w:sz="0" w:space="0" w:color="auto"/>
            <w:right w:val="none" w:sz="0" w:space="0" w:color="auto"/>
          </w:divBdr>
          <w:divsChild>
            <w:div w:id="771170257">
              <w:marLeft w:val="0"/>
              <w:marRight w:val="0"/>
              <w:marTop w:val="0"/>
              <w:marBottom w:val="0"/>
              <w:divBdr>
                <w:top w:val="none" w:sz="0" w:space="0" w:color="auto"/>
                <w:left w:val="none" w:sz="0" w:space="0" w:color="auto"/>
                <w:bottom w:val="none" w:sz="0" w:space="0" w:color="auto"/>
                <w:right w:val="none" w:sz="0" w:space="0" w:color="auto"/>
              </w:divBdr>
            </w:div>
          </w:divsChild>
        </w:div>
        <w:div w:id="1978799605">
          <w:marLeft w:val="0"/>
          <w:marRight w:val="0"/>
          <w:marTop w:val="0"/>
          <w:marBottom w:val="0"/>
          <w:divBdr>
            <w:top w:val="none" w:sz="0" w:space="0" w:color="auto"/>
            <w:left w:val="none" w:sz="0" w:space="0" w:color="auto"/>
            <w:bottom w:val="none" w:sz="0" w:space="0" w:color="auto"/>
            <w:right w:val="none" w:sz="0" w:space="0" w:color="auto"/>
          </w:divBdr>
          <w:divsChild>
            <w:div w:id="1049495856">
              <w:marLeft w:val="0"/>
              <w:marRight w:val="0"/>
              <w:marTop w:val="0"/>
              <w:marBottom w:val="0"/>
              <w:divBdr>
                <w:top w:val="none" w:sz="0" w:space="0" w:color="auto"/>
                <w:left w:val="none" w:sz="0" w:space="0" w:color="auto"/>
                <w:bottom w:val="none" w:sz="0" w:space="0" w:color="auto"/>
                <w:right w:val="none" w:sz="0" w:space="0" w:color="auto"/>
              </w:divBdr>
            </w:div>
            <w:div w:id="1871142817">
              <w:marLeft w:val="0"/>
              <w:marRight w:val="0"/>
              <w:marTop w:val="0"/>
              <w:marBottom w:val="0"/>
              <w:divBdr>
                <w:top w:val="none" w:sz="0" w:space="0" w:color="auto"/>
                <w:left w:val="none" w:sz="0" w:space="0" w:color="auto"/>
                <w:bottom w:val="none" w:sz="0" w:space="0" w:color="auto"/>
                <w:right w:val="none" w:sz="0" w:space="0" w:color="auto"/>
              </w:divBdr>
            </w:div>
            <w:div w:id="1427337447">
              <w:marLeft w:val="0"/>
              <w:marRight w:val="0"/>
              <w:marTop w:val="0"/>
              <w:marBottom w:val="0"/>
              <w:divBdr>
                <w:top w:val="none" w:sz="0" w:space="0" w:color="auto"/>
                <w:left w:val="none" w:sz="0" w:space="0" w:color="auto"/>
                <w:bottom w:val="none" w:sz="0" w:space="0" w:color="auto"/>
                <w:right w:val="none" w:sz="0" w:space="0" w:color="auto"/>
              </w:divBdr>
            </w:div>
          </w:divsChild>
        </w:div>
        <w:div w:id="1056969359">
          <w:marLeft w:val="0"/>
          <w:marRight w:val="0"/>
          <w:marTop w:val="0"/>
          <w:marBottom w:val="0"/>
          <w:divBdr>
            <w:top w:val="none" w:sz="0" w:space="0" w:color="auto"/>
            <w:left w:val="none" w:sz="0" w:space="0" w:color="auto"/>
            <w:bottom w:val="none" w:sz="0" w:space="0" w:color="auto"/>
            <w:right w:val="none" w:sz="0" w:space="0" w:color="auto"/>
          </w:divBdr>
          <w:divsChild>
            <w:div w:id="1561866813">
              <w:marLeft w:val="0"/>
              <w:marRight w:val="0"/>
              <w:marTop w:val="0"/>
              <w:marBottom w:val="0"/>
              <w:divBdr>
                <w:top w:val="none" w:sz="0" w:space="0" w:color="auto"/>
                <w:left w:val="none" w:sz="0" w:space="0" w:color="auto"/>
                <w:bottom w:val="none" w:sz="0" w:space="0" w:color="auto"/>
                <w:right w:val="none" w:sz="0" w:space="0" w:color="auto"/>
              </w:divBdr>
            </w:div>
            <w:div w:id="1448311981">
              <w:marLeft w:val="0"/>
              <w:marRight w:val="0"/>
              <w:marTop w:val="0"/>
              <w:marBottom w:val="0"/>
              <w:divBdr>
                <w:top w:val="none" w:sz="0" w:space="0" w:color="auto"/>
                <w:left w:val="none" w:sz="0" w:space="0" w:color="auto"/>
                <w:bottom w:val="none" w:sz="0" w:space="0" w:color="auto"/>
                <w:right w:val="none" w:sz="0" w:space="0" w:color="auto"/>
              </w:divBdr>
            </w:div>
            <w:div w:id="585268798">
              <w:marLeft w:val="0"/>
              <w:marRight w:val="0"/>
              <w:marTop w:val="0"/>
              <w:marBottom w:val="0"/>
              <w:divBdr>
                <w:top w:val="none" w:sz="0" w:space="0" w:color="auto"/>
                <w:left w:val="none" w:sz="0" w:space="0" w:color="auto"/>
                <w:bottom w:val="none" w:sz="0" w:space="0" w:color="auto"/>
                <w:right w:val="none" w:sz="0" w:space="0" w:color="auto"/>
              </w:divBdr>
            </w:div>
          </w:divsChild>
        </w:div>
        <w:div w:id="1773352379">
          <w:marLeft w:val="0"/>
          <w:marRight w:val="0"/>
          <w:marTop w:val="0"/>
          <w:marBottom w:val="0"/>
          <w:divBdr>
            <w:top w:val="none" w:sz="0" w:space="0" w:color="auto"/>
            <w:left w:val="none" w:sz="0" w:space="0" w:color="auto"/>
            <w:bottom w:val="none" w:sz="0" w:space="0" w:color="auto"/>
            <w:right w:val="none" w:sz="0" w:space="0" w:color="auto"/>
          </w:divBdr>
          <w:divsChild>
            <w:div w:id="1945264340">
              <w:marLeft w:val="0"/>
              <w:marRight w:val="0"/>
              <w:marTop w:val="0"/>
              <w:marBottom w:val="0"/>
              <w:divBdr>
                <w:top w:val="none" w:sz="0" w:space="0" w:color="auto"/>
                <w:left w:val="none" w:sz="0" w:space="0" w:color="auto"/>
                <w:bottom w:val="none" w:sz="0" w:space="0" w:color="auto"/>
                <w:right w:val="none" w:sz="0" w:space="0" w:color="auto"/>
              </w:divBdr>
            </w:div>
            <w:div w:id="1237203908">
              <w:marLeft w:val="0"/>
              <w:marRight w:val="0"/>
              <w:marTop w:val="0"/>
              <w:marBottom w:val="0"/>
              <w:divBdr>
                <w:top w:val="none" w:sz="0" w:space="0" w:color="auto"/>
                <w:left w:val="none" w:sz="0" w:space="0" w:color="auto"/>
                <w:bottom w:val="none" w:sz="0" w:space="0" w:color="auto"/>
                <w:right w:val="none" w:sz="0" w:space="0" w:color="auto"/>
              </w:divBdr>
            </w:div>
          </w:divsChild>
        </w:div>
        <w:div w:id="806777808">
          <w:marLeft w:val="0"/>
          <w:marRight w:val="0"/>
          <w:marTop w:val="0"/>
          <w:marBottom w:val="0"/>
          <w:divBdr>
            <w:top w:val="none" w:sz="0" w:space="0" w:color="auto"/>
            <w:left w:val="none" w:sz="0" w:space="0" w:color="auto"/>
            <w:bottom w:val="none" w:sz="0" w:space="0" w:color="auto"/>
            <w:right w:val="none" w:sz="0" w:space="0" w:color="auto"/>
          </w:divBdr>
          <w:divsChild>
            <w:div w:id="1830709733">
              <w:marLeft w:val="0"/>
              <w:marRight w:val="0"/>
              <w:marTop w:val="0"/>
              <w:marBottom w:val="0"/>
              <w:divBdr>
                <w:top w:val="none" w:sz="0" w:space="0" w:color="auto"/>
                <w:left w:val="none" w:sz="0" w:space="0" w:color="auto"/>
                <w:bottom w:val="none" w:sz="0" w:space="0" w:color="auto"/>
                <w:right w:val="none" w:sz="0" w:space="0" w:color="auto"/>
              </w:divBdr>
            </w:div>
          </w:divsChild>
        </w:div>
        <w:div w:id="1354267607">
          <w:marLeft w:val="0"/>
          <w:marRight w:val="0"/>
          <w:marTop w:val="0"/>
          <w:marBottom w:val="0"/>
          <w:divBdr>
            <w:top w:val="none" w:sz="0" w:space="0" w:color="auto"/>
            <w:left w:val="none" w:sz="0" w:space="0" w:color="auto"/>
            <w:bottom w:val="none" w:sz="0" w:space="0" w:color="auto"/>
            <w:right w:val="none" w:sz="0" w:space="0" w:color="auto"/>
          </w:divBdr>
          <w:divsChild>
            <w:div w:id="459693999">
              <w:marLeft w:val="0"/>
              <w:marRight w:val="0"/>
              <w:marTop w:val="0"/>
              <w:marBottom w:val="0"/>
              <w:divBdr>
                <w:top w:val="none" w:sz="0" w:space="0" w:color="auto"/>
                <w:left w:val="none" w:sz="0" w:space="0" w:color="auto"/>
                <w:bottom w:val="none" w:sz="0" w:space="0" w:color="auto"/>
                <w:right w:val="none" w:sz="0" w:space="0" w:color="auto"/>
              </w:divBdr>
            </w:div>
          </w:divsChild>
        </w:div>
        <w:div w:id="751898526">
          <w:marLeft w:val="0"/>
          <w:marRight w:val="0"/>
          <w:marTop w:val="0"/>
          <w:marBottom w:val="0"/>
          <w:divBdr>
            <w:top w:val="none" w:sz="0" w:space="0" w:color="auto"/>
            <w:left w:val="none" w:sz="0" w:space="0" w:color="auto"/>
            <w:bottom w:val="none" w:sz="0" w:space="0" w:color="auto"/>
            <w:right w:val="none" w:sz="0" w:space="0" w:color="auto"/>
          </w:divBdr>
          <w:divsChild>
            <w:div w:id="525605286">
              <w:marLeft w:val="0"/>
              <w:marRight w:val="0"/>
              <w:marTop w:val="0"/>
              <w:marBottom w:val="0"/>
              <w:divBdr>
                <w:top w:val="none" w:sz="0" w:space="0" w:color="auto"/>
                <w:left w:val="none" w:sz="0" w:space="0" w:color="auto"/>
                <w:bottom w:val="none" w:sz="0" w:space="0" w:color="auto"/>
                <w:right w:val="none" w:sz="0" w:space="0" w:color="auto"/>
              </w:divBdr>
            </w:div>
            <w:div w:id="1995185929">
              <w:marLeft w:val="0"/>
              <w:marRight w:val="0"/>
              <w:marTop w:val="0"/>
              <w:marBottom w:val="0"/>
              <w:divBdr>
                <w:top w:val="none" w:sz="0" w:space="0" w:color="auto"/>
                <w:left w:val="none" w:sz="0" w:space="0" w:color="auto"/>
                <w:bottom w:val="none" w:sz="0" w:space="0" w:color="auto"/>
                <w:right w:val="none" w:sz="0" w:space="0" w:color="auto"/>
              </w:divBdr>
            </w:div>
            <w:div w:id="891304201">
              <w:marLeft w:val="0"/>
              <w:marRight w:val="0"/>
              <w:marTop w:val="0"/>
              <w:marBottom w:val="0"/>
              <w:divBdr>
                <w:top w:val="none" w:sz="0" w:space="0" w:color="auto"/>
                <w:left w:val="none" w:sz="0" w:space="0" w:color="auto"/>
                <w:bottom w:val="none" w:sz="0" w:space="0" w:color="auto"/>
                <w:right w:val="none" w:sz="0" w:space="0" w:color="auto"/>
              </w:divBdr>
            </w:div>
          </w:divsChild>
        </w:div>
        <w:div w:id="1522426690">
          <w:marLeft w:val="0"/>
          <w:marRight w:val="0"/>
          <w:marTop w:val="0"/>
          <w:marBottom w:val="0"/>
          <w:divBdr>
            <w:top w:val="none" w:sz="0" w:space="0" w:color="auto"/>
            <w:left w:val="none" w:sz="0" w:space="0" w:color="auto"/>
            <w:bottom w:val="none" w:sz="0" w:space="0" w:color="auto"/>
            <w:right w:val="none" w:sz="0" w:space="0" w:color="auto"/>
          </w:divBdr>
          <w:divsChild>
            <w:div w:id="1067260020">
              <w:marLeft w:val="0"/>
              <w:marRight w:val="0"/>
              <w:marTop w:val="0"/>
              <w:marBottom w:val="0"/>
              <w:divBdr>
                <w:top w:val="none" w:sz="0" w:space="0" w:color="auto"/>
                <w:left w:val="none" w:sz="0" w:space="0" w:color="auto"/>
                <w:bottom w:val="none" w:sz="0" w:space="0" w:color="auto"/>
                <w:right w:val="none" w:sz="0" w:space="0" w:color="auto"/>
              </w:divBdr>
            </w:div>
            <w:div w:id="1288854673">
              <w:marLeft w:val="0"/>
              <w:marRight w:val="0"/>
              <w:marTop w:val="0"/>
              <w:marBottom w:val="0"/>
              <w:divBdr>
                <w:top w:val="none" w:sz="0" w:space="0" w:color="auto"/>
                <w:left w:val="none" w:sz="0" w:space="0" w:color="auto"/>
                <w:bottom w:val="none" w:sz="0" w:space="0" w:color="auto"/>
                <w:right w:val="none" w:sz="0" w:space="0" w:color="auto"/>
              </w:divBdr>
            </w:div>
            <w:div w:id="1391227731">
              <w:marLeft w:val="0"/>
              <w:marRight w:val="0"/>
              <w:marTop w:val="0"/>
              <w:marBottom w:val="0"/>
              <w:divBdr>
                <w:top w:val="none" w:sz="0" w:space="0" w:color="auto"/>
                <w:left w:val="none" w:sz="0" w:space="0" w:color="auto"/>
                <w:bottom w:val="none" w:sz="0" w:space="0" w:color="auto"/>
                <w:right w:val="none" w:sz="0" w:space="0" w:color="auto"/>
              </w:divBdr>
            </w:div>
          </w:divsChild>
        </w:div>
        <w:div w:id="358360470">
          <w:marLeft w:val="0"/>
          <w:marRight w:val="0"/>
          <w:marTop w:val="0"/>
          <w:marBottom w:val="0"/>
          <w:divBdr>
            <w:top w:val="none" w:sz="0" w:space="0" w:color="auto"/>
            <w:left w:val="none" w:sz="0" w:space="0" w:color="auto"/>
            <w:bottom w:val="none" w:sz="0" w:space="0" w:color="auto"/>
            <w:right w:val="none" w:sz="0" w:space="0" w:color="auto"/>
          </w:divBdr>
          <w:divsChild>
            <w:div w:id="250361928">
              <w:marLeft w:val="0"/>
              <w:marRight w:val="0"/>
              <w:marTop w:val="0"/>
              <w:marBottom w:val="0"/>
              <w:divBdr>
                <w:top w:val="none" w:sz="0" w:space="0" w:color="auto"/>
                <w:left w:val="none" w:sz="0" w:space="0" w:color="auto"/>
                <w:bottom w:val="none" w:sz="0" w:space="0" w:color="auto"/>
                <w:right w:val="none" w:sz="0" w:space="0" w:color="auto"/>
              </w:divBdr>
            </w:div>
            <w:div w:id="1092975265">
              <w:marLeft w:val="0"/>
              <w:marRight w:val="0"/>
              <w:marTop w:val="0"/>
              <w:marBottom w:val="0"/>
              <w:divBdr>
                <w:top w:val="none" w:sz="0" w:space="0" w:color="auto"/>
                <w:left w:val="none" w:sz="0" w:space="0" w:color="auto"/>
                <w:bottom w:val="none" w:sz="0" w:space="0" w:color="auto"/>
                <w:right w:val="none" w:sz="0" w:space="0" w:color="auto"/>
              </w:divBdr>
            </w:div>
          </w:divsChild>
        </w:div>
        <w:div w:id="463619391">
          <w:marLeft w:val="0"/>
          <w:marRight w:val="0"/>
          <w:marTop w:val="0"/>
          <w:marBottom w:val="0"/>
          <w:divBdr>
            <w:top w:val="none" w:sz="0" w:space="0" w:color="auto"/>
            <w:left w:val="none" w:sz="0" w:space="0" w:color="auto"/>
            <w:bottom w:val="none" w:sz="0" w:space="0" w:color="auto"/>
            <w:right w:val="none" w:sz="0" w:space="0" w:color="auto"/>
          </w:divBdr>
          <w:divsChild>
            <w:div w:id="1839543300">
              <w:marLeft w:val="0"/>
              <w:marRight w:val="0"/>
              <w:marTop w:val="0"/>
              <w:marBottom w:val="0"/>
              <w:divBdr>
                <w:top w:val="none" w:sz="0" w:space="0" w:color="auto"/>
                <w:left w:val="none" w:sz="0" w:space="0" w:color="auto"/>
                <w:bottom w:val="none" w:sz="0" w:space="0" w:color="auto"/>
                <w:right w:val="none" w:sz="0" w:space="0" w:color="auto"/>
              </w:divBdr>
            </w:div>
          </w:divsChild>
        </w:div>
        <w:div w:id="282082050">
          <w:marLeft w:val="0"/>
          <w:marRight w:val="0"/>
          <w:marTop w:val="0"/>
          <w:marBottom w:val="0"/>
          <w:divBdr>
            <w:top w:val="none" w:sz="0" w:space="0" w:color="auto"/>
            <w:left w:val="none" w:sz="0" w:space="0" w:color="auto"/>
            <w:bottom w:val="none" w:sz="0" w:space="0" w:color="auto"/>
            <w:right w:val="none" w:sz="0" w:space="0" w:color="auto"/>
          </w:divBdr>
          <w:divsChild>
            <w:div w:id="437414671">
              <w:marLeft w:val="0"/>
              <w:marRight w:val="0"/>
              <w:marTop w:val="0"/>
              <w:marBottom w:val="0"/>
              <w:divBdr>
                <w:top w:val="none" w:sz="0" w:space="0" w:color="auto"/>
                <w:left w:val="none" w:sz="0" w:space="0" w:color="auto"/>
                <w:bottom w:val="none" w:sz="0" w:space="0" w:color="auto"/>
                <w:right w:val="none" w:sz="0" w:space="0" w:color="auto"/>
              </w:divBdr>
            </w:div>
            <w:div w:id="988942217">
              <w:marLeft w:val="0"/>
              <w:marRight w:val="0"/>
              <w:marTop w:val="0"/>
              <w:marBottom w:val="0"/>
              <w:divBdr>
                <w:top w:val="none" w:sz="0" w:space="0" w:color="auto"/>
                <w:left w:val="none" w:sz="0" w:space="0" w:color="auto"/>
                <w:bottom w:val="none" w:sz="0" w:space="0" w:color="auto"/>
                <w:right w:val="none" w:sz="0" w:space="0" w:color="auto"/>
              </w:divBdr>
            </w:div>
          </w:divsChild>
        </w:div>
        <w:div w:id="1010185058">
          <w:marLeft w:val="0"/>
          <w:marRight w:val="0"/>
          <w:marTop w:val="0"/>
          <w:marBottom w:val="0"/>
          <w:divBdr>
            <w:top w:val="none" w:sz="0" w:space="0" w:color="auto"/>
            <w:left w:val="none" w:sz="0" w:space="0" w:color="auto"/>
            <w:bottom w:val="none" w:sz="0" w:space="0" w:color="auto"/>
            <w:right w:val="none" w:sz="0" w:space="0" w:color="auto"/>
          </w:divBdr>
          <w:divsChild>
            <w:div w:id="1505046954">
              <w:marLeft w:val="0"/>
              <w:marRight w:val="0"/>
              <w:marTop w:val="0"/>
              <w:marBottom w:val="0"/>
              <w:divBdr>
                <w:top w:val="none" w:sz="0" w:space="0" w:color="auto"/>
                <w:left w:val="none" w:sz="0" w:space="0" w:color="auto"/>
                <w:bottom w:val="none" w:sz="0" w:space="0" w:color="auto"/>
                <w:right w:val="none" w:sz="0" w:space="0" w:color="auto"/>
              </w:divBdr>
            </w:div>
            <w:div w:id="82844340">
              <w:marLeft w:val="0"/>
              <w:marRight w:val="0"/>
              <w:marTop w:val="0"/>
              <w:marBottom w:val="0"/>
              <w:divBdr>
                <w:top w:val="none" w:sz="0" w:space="0" w:color="auto"/>
                <w:left w:val="none" w:sz="0" w:space="0" w:color="auto"/>
                <w:bottom w:val="none" w:sz="0" w:space="0" w:color="auto"/>
                <w:right w:val="none" w:sz="0" w:space="0" w:color="auto"/>
              </w:divBdr>
            </w:div>
            <w:div w:id="1895001481">
              <w:marLeft w:val="0"/>
              <w:marRight w:val="0"/>
              <w:marTop w:val="0"/>
              <w:marBottom w:val="0"/>
              <w:divBdr>
                <w:top w:val="none" w:sz="0" w:space="0" w:color="auto"/>
                <w:left w:val="none" w:sz="0" w:space="0" w:color="auto"/>
                <w:bottom w:val="none" w:sz="0" w:space="0" w:color="auto"/>
                <w:right w:val="none" w:sz="0" w:space="0" w:color="auto"/>
              </w:divBdr>
            </w:div>
          </w:divsChild>
        </w:div>
        <w:div w:id="1898783041">
          <w:marLeft w:val="0"/>
          <w:marRight w:val="0"/>
          <w:marTop w:val="0"/>
          <w:marBottom w:val="0"/>
          <w:divBdr>
            <w:top w:val="none" w:sz="0" w:space="0" w:color="auto"/>
            <w:left w:val="none" w:sz="0" w:space="0" w:color="auto"/>
            <w:bottom w:val="none" w:sz="0" w:space="0" w:color="auto"/>
            <w:right w:val="none" w:sz="0" w:space="0" w:color="auto"/>
          </w:divBdr>
          <w:divsChild>
            <w:div w:id="1139423664">
              <w:marLeft w:val="0"/>
              <w:marRight w:val="0"/>
              <w:marTop w:val="0"/>
              <w:marBottom w:val="0"/>
              <w:divBdr>
                <w:top w:val="none" w:sz="0" w:space="0" w:color="auto"/>
                <w:left w:val="none" w:sz="0" w:space="0" w:color="auto"/>
                <w:bottom w:val="none" w:sz="0" w:space="0" w:color="auto"/>
                <w:right w:val="none" w:sz="0" w:space="0" w:color="auto"/>
              </w:divBdr>
            </w:div>
            <w:div w:id="551306781">
              <w:marLeft w:val="0"/>
              <w:marRight w:val="0"/>
              <w:marTop w:val="0"/>
              <w:marBottom w:val="0"/>
              <w:divBdr>
                <w:top w:val="none" w:sz="0" w:space="0" w:color="auto"/>
                <w:left w:val="none" w:sz="0" w:space="0" w:color="auto"/>
                <w:bottom w:val="none" w:sz="0" w:space="0" w:color="auto"/>
                <w:right w:val="none" w:sz="0" w:space="0" w:color="auto"/>
              </w:divBdr>
            </w:div>
          </w:divsChild>
        </w:div>
        <w:div w:id="120346794">
          <w:marLeft w:val="0"/>
          <w:marRight w:val="0"/>
          <w:marTop w:val="0"/>
          <w:marBottom w:val="0"/>
          <w:divBdr>
            <w:top w:val="none" w:sz="0" w:space="0" w:color="auto"/>
            <w:left w:val="none" w:sz="0" w:space="0" w:color="auto"/>
            <w:bottom w:val="none" w:sz="0" w:space="0" w:color="auto"/>
            <w:right w:val="none" w:sz="0" w:space="0" w:color="auto"/>
          </w:divBdr>
          <w:divsChild>
            <w:div w:id="1528911701">
              <w:marLeft w:val="0"/>
              <w:marRight w:val="0"/>
              <w:marTop w:val="0"/>
              <w:marBottom w:val="0"/>
              <w:divBdr>
                <w:top w:val="none" w:sz="0" w:space="0" w:color="auto"/>
                <w:left w:val="none" w:sz="0" w:space="0" w:color="auto"/>
                <w:bottom w:val="none" w:sz="0" w:space="0" w:color="auto"/>
                <w:right w:val="none" w:sz="0" w:space="0" w:color="auto"/>
              </w:divBdr>
            </w:div>
          </w:divsChild>
        </w:div>
        <w:div w:id="792559197">
          <w:marLeft w:val="0"/>
          <w:marRight w:val="0"/>
          <w:marTop w:val="0"/>
          <w:marBottom w:val="0"/>
          <w:divBdr>
            <w:top w:val="none" w:sz="0" w:space="0" w:color="auto"/>
            <w:left w:val="none" w:sz="0" w:space="0" w:color="auto"/>
            <w:bottom w:val="none" w:sz="0" w:space="0" w:color="auto"/>
            <w:right w:val="none" w:sz="0" w:space="0" w:color="auto"/>
          </w:divBdr>
          <w:divsChild>
            <w:div w:id="412509306">
              <w:marLeft w:val="0"/>
              <w:marRight w:val="0"/>
              <w:marTop w:val="0"/>
              <w:marBottom w:val="0"/>
              <w:divBdr>
                <w:top w:val="none" w:sz="0" w:space="0" w:color="auto"/>
                <w:left w:val="none" w:sz="0" w:space="0" w:color="auto"/>
                <w:bottom w:val="none" w:sz="0" w:space="0" w:color="auto"/>
                <w:right w:val="none" w:sz="0" w:space="0" w:color="auto"/>
              </w:divBdr>
            </w:div>
            <w:div w:id="1221863929">
              <w:marLeft w:val="0"/>
              <w:marRight w:val="0"/>
              <w:marTop w:val="0"/>
              <w:marBottom w:val="0"/>
              <w:divBdr>
                <w:top w:val="none" w:sz="0" w:space="0" w:color="auto"/>
                <w:left w:val="none" w:sz="0" w:space="0" w:color="auto"/>
                <w:bottom w:val="none" w:sz="0" w:space="0" w:color="auto"/>
                <w:right w:val="none" w:sz="0" w:space="0" w:color="auto"/>
              </w:divBdr>
            </w:div>
            <w:div w:id="1424256115">
              <w:marLeft w:val="0"/>
              <w:marRight w:val="0"/>
              <w:marTop w:val="0"/>
              <w:marBottom w:val="0"/>
              <w:divBdr>
                <w:top w:val="none" w:sz="0" w:space="0" w:color="auto"/>
                <w:left w:val="none" w:sz="0" w:space="0" w:color="auto"/>
                <w:bottom w:val="none" w:sz="0" w:space="0" w:color="auto"/>
                <w:right w:val="none" w:sz="0" w:space="0" w:color="auto"/>
              </w:divBdr>
            </w:div>
          </w:divsChild>
        </w:div>
        <w:div w:id="611667866">
          <w:marLeft w:val="0"/>
          <w:marRight w:val="0"/>
          <w:marTop w:val="0"/>
          <w:marBottom w:val="0"/>
          <w:divBdr>
            <w:top w:val="none" w:sz="0" w:space="0" w:color="auto"/>
            <w:left w:val="none" w:sz="0" w:space="0" w:color="auto"/>
            <w:bottom w:val="none" w:sz="0" w:space="0" w:color="auto"/>
            <w:right w:val="none" w:sz="0" w:space="0" w:color="auto"/>
          </w:divBdr>
          <w:divsChild>
            <w:div w:id="1653948025">
              <w:marLeft w:val="0"/>
              <w:marRight w:val="0"/>
              <w:marTop w:val="0"/>
              <w:marBottom w:val="0"/>
              <w:divBdr>
                <w:top w:val="none" w:sz="0" w:space="0" w:color="auto"/>
                <w:left w:val="none" w:sz="0" w:space="0" w:color="auto"/>
                <w:bottom w:val="none" w:sz="0" w:space="0" w:color="auto"/>
                <w:right w:val="none" w:sz="0" w:space="0" w:color="auto"/>
              </w:divBdr>
            </w:div>
            <w:div w:id="1216887774">
              <w:marLeft w:val="0"/>
              <w:marRight w:val="0"/>
              <w:marTop w:val="0"/>
              <w:marBottom w:val="0"/>
              <w:divBdr>
                <w:top w:val="none" w:sz="0" w:space="0" w:color="auto"/>
                <w:left w:val="none" w:sz="0" w:space="0" w:color="auto"/>
                <w:bottom w:val="none" w:sz="0" w:space="0" w:color="auto"/>
                <w:right w:val="none" w:sz="0" w:space="0" w:color="auto"/>
              </w:divBdr>
            </w:div>
            <w:div w:id="1080446701">
              <w:marLeft w:val="0"/>
              <w:marRight w:val="0"/>
              <w:marTop w:val="0"/>
              <w:marBottom w:val="0"/>
              <w:divBdr>
                <w:top w:val="none" w:sz="0" w:space="0" w:color="auto"/>
                <w:left w:val="none" w:sz="0" w:space="0" w:color="auto"/>
                <w:bottom w:val="none" w:sz="0" w:space="0" w:color="auto"/>
                <w:right w:val="none" w:sz="0" w:space="0" w:color="auto"/>
              </w:divBdr>
            </w:div>
            <w:div w:id="1920410143">
              <w:marLeft w:val="0"/>
              <w:marRight w:val="0"/>
              <w:marTop w:val="0"/>
              <w:marBottom w:val="0"/>
              <w:divBdr>
                <w:top w:val="none" w:sz="0" w:space="0" w:color="auto"/>
                <w:left w:val="none" w:sz="0" w:space="0" w:color="auto"/>
                <w:bottom w:val="none" w:sz="0" w:space="0" w:color="auto"/>
                <w:right w:val="none" w:sz="0" w:space="0" w:color="auto"/>
              </w:divBdr>
            </w:div>
          </w:divsChild>
        </w:div>
        <w:div w:id="136578052">
          <w:marLeft w:val="0"/>
          <w:marRight w:val="0"/>
          <w:marTop w:val="0"/>
          <w:marBottom w:val="0"/>
          <w:divBdr>
            <w:top w:val="none" w:sz="0" w:space="0" w:color="auto"/>
            <w:left w:val="none" w:sz="0" w:space="0" w:color="auto"/>
            <w:bottom w:val="none" w:sz="0" w:space="0" w:color="auto"/>
            <w:right w:val="none" w:sz="0" w:space="0" w:color="auto"/>
          </w:divBdr>
          <w:divsChild>
            <w:div w:id="1561164924">
              <w:marLeft w:val="0"/>
              <w:marRight w:val="0"/>
              <w:marTop w:val="0"/>
              <w:marBottom w:val="0"/>
              <w:divBdr>
                <w:top w:val="none" w:sz="0" w:space="0" w:color="auto"/>
                <w:left w:val="none" w:sz="0" w:space="0" w:color="auto"/>
                <w:bottom w:val="none" w:sz="0" w:space="0" w:color="auto"/>
                <w:right w:val="none" w:sz="0" w:space="0" w:color="auto"/>
              </w:divBdr>
            </w:div>
            <w:div w:id="850947013">
              <w:marLeft w:val="0"/>
              <w:marRight w:val="0"/>
              <w:marTop w:val="0"/>
              <w:marBottom w:val="0"/>
              <w:divBdr>
                <w:top w:val="none" w:sz="0" w:space="0" w:color="auto"/>
                <w:left w:val="none" w:sz="0" w:space="0" w:color="auto"/>
                <w:bottom w:val="none" w:sz="0" w:space="0" w:color="auto"/>
                <w:right w:val="none" w:sz="0" w:space="0" w:color="auto"/>
              </w:divBdr>
            </w:div>
            <w:div w:id="1948385457">
              <w:marLeft w:val="0"/>
              <w:marRight w:val="0"/>
              <w:marTop w:val="0"/>
              <w:marBottom w:val="0"/>
              <w:divBdr>
                <w:top w:val="none" w:sz="0" w:space="0" w:color="auto"/>
                <w:left w:val="none" w:sz="0" w:space="0" w:color="auto"/>
                <w:bottom w:val="none" w:sz="0" w:space="0" w:color="auto"/>
                <w:right w:val="none" w:sz="0" w:space="0" w:color="auto"/>
              </w:divBdr>
            </w:div>
          </w:divsChild>
        </w:div>
        <w:div w:id="217206871">
          <w:marLeft w:val="0"/>
          <w:marRight w:val="0"/>
          <w:marTop w:val="0"/>
          <w:marBottom w:val="0"/>
          <w:divBdr>
            <w:top w:val="none" w:sz="0" w:space="0" w:color="auto"/>
            <w:left w:val="none" w:sz="0" w:space="0" w:color="auto"/>
            <w:bottom w:val="none" w:sz="0" w:space="0" w:color="auto"/>
            <w:right w:val="none" w:sz="0" w:space="0" w:color="auto"/>
          </w:divBdr>
          <w:divsChild>
            <w:div w:id="153113725">
              <w:marLeft w:val="0"/>
              <w:marRight w:val="0"/>
              <w:marTop w:val="0"/>
              <w:marBottom w:val="0"/>
              <w:divBdr>
                <w:top w:val="none" w:sz="0" w:space="0" w:color="auto"/>
                <w:left w:val="none" w:sz="0" w:space="0" w:color="auto"/>
                <w:bottom w:val="none" w:sz="0" w:space="0" w:color="auto"/>
                <w:right w:val="none" w:sz="0" w:space="0" w:color="auto"/>
              </w:divBdr>
            </w:div>
            <w:div w:id="1523782994">
              <w:marLeft w:val="0"/>
              <w:marRight w:val="0"/>
              <w:marTop w:val="0"/>
              <w:marBottom w:val="0"/>
              <w:divBdr>
                <w:top w:val="none" w:sz="0" w:space="0" w:color="auto"/>
                <w:left w:val="none" w:sz="0" w:space="0" w:color="auto"/>
                <w:bottom w:val="none" w:sz="0" w:space="0" w:color="auto"/>
                <w:right w:val="none" w:sz="0" w:space="0" w:color="auto"/>
              </w:divBdr>
            </w:div>
            <w:div w:id="2107384384">
              <w:marLeft w:val="0"/>
              <w:marRight w:val="0"/>
              <w:marTop w:val="0"/>
              <w:marBottom w:val="0"/>
              <w:divBdr>
                <w:top w:val="none" w:sz="0" w:space="0" w:color="auto"/>
                <w:left w:val="none" w:sz="0" w:space="0" w:color="auto"/>
                <w:bottom w:val="none" w:sz="0" w:space="0" w:color="auto"/>
                <w:right w:val="none" w:sz="0" w:space="0" w:color="auto"/>
              </w:divBdr>
            </w:div>
          </w:divsChild>
        </w:div>
        <w:div w:id="245236172">
          <w:marLeft w:val="0"/>
          <w:marRight w:val="0"/>
          <w:marTop w:val="0"/>
          <w:marBottom w:val="0"/>
          <w:divBdr>
            <w:top w:val="none" w:sz="0" w:space="0" w:color="auto"/>
            <w:left w:val="none" w:sz="0" w:space="0" w:color="auto"/>
            <w:bottom w:val="none" w:sz="0" w:space="0" w:color="auto"/>
            <w:right w:val="none" w:sz="0" w:space="0" w:color="auto"/>
          </w:divBdr>
          <w:divsChild>
            <w:div w:id="794564430">
              <w:marLeft w:val="0"/>
              <w:marRight w:val="0"/>
              <w:marTop w:val="0"/>
              <w:marBottom w:val="0"/>
              <w:divBdr>
                <w:top w:val="none" w:sz="0" w:space="0" w:color="auto"/>
                <w:left w:val="none" w:sz="0" w:space="0" w:color="auto"/>
                <w:bottom w:val="none" w:sz="0" w:space="0" w:color="auto"/>
                <w:right w:val="none" w:sz="0" w:space="0" w:color="auto"/>
              </w:divBdr>
            </w:div>
          </w:divsChild>
        </w:div>
        <w:div w:id="294331611">
          <w:marLeft w:val="0"/>
          <w:marRight w:val="0"/>
          <w:marTop w:val="0"/>
          <w:marBottom w:val="0"/>
          <w:divBdr>
            <w:top w:val="none" w:sz="0" w:space="0" w:color="auto"/>
            <w:left w:val="none" w:sz="0" w:space="0" w:color="auto"/>
            <w:bottom w:val="none" w:sz="0" w:space="0" w:color="auto"/>
            <w:right w:val="none" w:sz="0" w:space="0" w:color="auto"/>
          </w:divBdr>
          <w:divsChild>
            <w:div w:id="1805660360">
              <w:marLeft w:val="0"/>
              <w:marRight w:val="0"/>
              <w:marTop w:val="0"/>
              <w:marBottom w:val="0"/>
              <w:divBdr>
                <w:top w:val="none" w:sz="0" w:space="0" w:color="auto"/>
                <w:left w:val="none" w:sz="0" w:space="0" w:color="auto"/>
                <w:bottom w:val="none" w:sz="0" w:space="0" w:color="auto"/>
                <w:right w:val="none" w:sz="0" w:space="0" w:color="auto"/>
              </w:divBdr>
            </w:div>
            <w:div w:id="217666738">
              <w:marLeft w:val="0"/>
              <w:marRight w:val="0"/>
              <w:marTop w:val="0"/>
              <w:marBottom w:val="0"/>
              <w:divBdr>
                <w:top w:val="none" w:sz="0" w:space="0" w:color="auto"/>
                <w:left w:val="none" w:sz="0" w:space="0" w:color="auto"/>
                <w:bottom w:val="none" w:sz="0" w:space="0" w:color="auto"/>
                <w:right w:val="none" w:sz="0" w:space="0" w:color="auto"/>
              </w:divBdr>
            </w:div>
            <w:div w:id="1565407800">
              <w:marLeft w:val="0"/>
              <w:marRight w:val="0"/>
              <w:marTop w:val="0"/>
              <w:marBottom w:val="0"/>
              <w:divBdr>
                <w:top w:val="none" w:sz="0" w:space="0" w:color="auto"/>
                <w:left w:val="none" w:sz="0" w:space="0" w:color="auto"/>
                <w:bottom w:val="none" w:sz="0" w:space="0" w:color="auto"/>
                <w:right w:val="none" w:sz="0" w:space="0" w:color="auto"/>
              </w:divBdr>
            </w:div>
          </w:divsChild>
        </w:div>
        <w:div w:id="463810010">
          <w:marLeft w:val="0"/>
          <w:marRight w:val="0"/>
          <w:marTop w:val="0"/>
          <w:marBottom w:val="0"/>
          <w:divBdr>
            <w:top w:val="none" w:sz="0" w:space="0" w:color="auto"/>
            <w:left w:val="none" w:sz="0" w:space="0" w:color="auto"/>
            <w:bottom w:val="none" w:sz="0" w:space="0" w:color="auto"/>
            <w:right w:val="none" w:sz="0" w:space="0" w:color="auto"/>
          </w:divBdr>
          <w:divsChild>
            <w:div w:id="1933202005">
              <w:marLeft w:val="0"/>
              <w:marRight w:val="0"/>
              <w:marTop w:val="0"/>
              <w:marBottom w:val="0"/>
              <w:divBdr>
                <w:top w:val="none" w:sz="0" w:space="0" w:color="auto"/>
                <w:left w:val="none" w:sz="0" w:space="0" w:color="auto"/>
                <w:bottom w:val="none" w:sz="0" w:space="0" w:color="auto"/>
                <w:right w:val="none" w:sz="0" w:space="0" w:color="auto"/>
              </w:divBdr>
            </w:div>
            <w:div w:id="827941705">
              <w:marLeft w:val="0"/>
              <w:marRight w:val="0"/>
              <w:marTop w:val="0"/>
              <w:marBottom w:val="0"/>
              <w:divBdr>
                <w:top w:val="none" w:sz="0" w:space="0" w:color="auto"/>
                <w:left w:val="none" w:sz="0" w:space="0" w:color="auto"/>
                <w:bottom w:val="none" w:sz="0" w:space="0" w:color="auto"/>
                <w:right w:val="none" w:sz="0" w:space="0" w:color="auto"/>
              </w:divBdr>
            </w:div>
          </w:divsChild>
        </w:div>
        <w:div w:id="1678195926">
          <w:marLeft w:val="0"/>
          <w:marRight w:val="0"/>
          <w:marTop w:val="0"/>
          <w:marBottom w:val="0"/>
          <w:divBdr>
            <w:top w:val="none" w:sz="0" w:space="0" w:color="auto"/>
            <w:left w:val="none" w:sz="0" w:space="0" w:color="auto"/>
            <w:bottom w:val="none" w:sz="0" w:space="0" w:color="auto"/>
            <w:right w:val="none" w:sz="0" w:space="0" w:color="auto"/>
          </w:divBdr>
          <w:divsChild>
            <w:div w:id="447236532">
              <w:marLeft w:val="0"/>
              <w:marRight w:val="0"/>
              <w:marTop w:val="0"/>
              <w:marBottom w:val="0"/>
              <w:divBdr>
                <w:top w:val="none" w:sz="0" w:space="0" w:color="auto"/>
                <w:left w:val="none" w:sz="0" w:space="0" w:color="auto"/>
                <w:bottom w:val="none" w:sz="0" w:space="0" w:color="auto"/>
                <w:right w:val="none" w:sz="0" w:space="0" w:color="auto"/>
              </w:divBdr>
            </w:div>
            <w:div w:id="156269843">
              <w:marLeft w:val="0"/>
              <w:marRight w:val="0"/>
              <w:marTop w:val="0"/>
              <w:marBottom w:val="0"/>
              <w:divBdr>
                <w:top w:val="none" w:sz="0" w:space="0" w:color="auto"/>
                <w:left w:val="none" w:sz="0" w:space="0" w:color="auto"/>
                <w:bottom w:val="none" w:sz="0" w:space="0" w:color="auto"/>
                <w:right w:val="none" w:sz="0" w:space="0" w:color="auto"/>
              </w:divBdr>
            </w:div>
          </w:divsChild>
        </w:div>
        <w:div w:id="1272470068">
          <w:marLeft w:val="0"/>
          <w:marRight w:val="0"/>
          <w:marTop w:val="0"/>
          <w:marBottom w:val="0"/>
          <w:divBdr>
            <w:top w:val="none" w:sz="0" w:space="0" w:color="auto"/>
            <w:left w:val="none" w:sz="0" w:space="0" w:color="auto"/>
            <w:bottom w:val="none" w:sz="0" w:space="0" w:color="auto"/>
            <w:right w:val="none" w:sz="0" w:space="0" w:color="auto"/>
          </w:divBdr>
          <w:divsChild>
            <w:div w:id="2043044389">
              <w:marLeft w:val="0"/>
              <w:marRight w:val="0"/>
              <w:marTop w:val="0"/>
              <w:marBottom w:val="0"/>
              <w:divBdr>
                <w:top w:val="none" w:sz="0" w:space="0" w:color="auto"/>
                <w:left w:val="none" w:sz="0" w:space="0" w:color="auto"/>
                <w:bottom w:val="none" w:sz="0" w:space="0" w:color="auto"/>
                <w:right w:val="none" w:sz="0" w:space="0" w:color="auto"/>
              </w:divBdr>
            </w:div>
          </w:divsChild>
        </w:div>
        <w:div w:id="981929944">
          <w:marLeft w:val="0"/>
          <w:marRight w:val="0"/>
          <w:marTop w:val="0"/>
          <w:marBottom w:val="0"/>
          <w:divBdr>
            <w:top w:val="none" w:sz="0" w:space="0" w:color="auto"/>
            <w:left w:val="none" w:sz="0" w:space="0" w:color="auto"/>
            <w:bottom w:val="none" w:sz="0" w:space="0" w:color="auto"/>
            <w:right w:val="none" w:sz="0" w:space="0" w:color="auto"/>
          </w:divBdr>
          <w:divsChild>
            <w:div w:id="790980351">
              <w:marLeft w:val="0"/>
              <w:marRight w:val="0"/>
              <w:marTop w:val="0"/>
              <w:marBottom w:val="0"/>
              <w:divBdr>
                <w:top w:val="none" w:sz="0" w:space="0" w:color="auto"/>
                <w:left w:val="none" w:sz="0" w:space="0" w:color="auto"/>
                <w:bottom w:val="none" w:sz="0" w:space="0" w:color="auto"/>
                <w:right w:val="none" w:sz="0" w:space="0" w:color="auto"/>
              </w:divBdr>
            </w:div>
            <w:div w:id="1704086998">
              <w:marLeft w:val="0"/>
              <w:marRight w:val="0"/>
              <w:marTop w:val="0"/>
              <w:marBottom w:val="0"/>
              <w:divBdr>
                <w:top w:val="none" w:sz="0" w:space="0" w:color="auto"/>
                <w:left w:val="none" w:sz="0" w:space="0" w:color="auto"/>
                <w:bottom w:val="none" w:sz="0" w:space="0" w:color="auto"/>
                <w:right w:val="none" w:sz="0" w:space="0" w:color="auto"/>
              </w:divBdr>
            </w:div>
          </w:divsChild>
        </w:div>
        <w:div w:id="479884854">
          <w:marLeft w:val="0"/>
          <w:marRight w:val="0"/>
          <w:marTop w:val="0"/>
          <w:marBottom w:val="0"/>
          <w:divBdr>
            <w:top w:val="none" w:sz="0" w:space="0" w:color="auto"/>
            <w:left w:val="none" w:sz="0" w:space="0" w:color="auto"/>
            <w:bottom w:val="none" w:sz="0" w:space="0" w:color="auto"/>
            <w:right w:val="none" w:sz="0" w:space="0" w:color="auto"/>
          </w:divBdr>
          <w:divsChild>
            <w:div w:id="1654141983">
              <w:marLeft w:val="0"/>
              <w:marRight w:val="0"/>
              <w:marTop w:val="0"/>
              <w:marBottom w:val="0"/>
              <w:divBdr>
                <w:top w:val="none" w:sz="0" w:space="0" w:color="auto"/>
                <w:left w:val="none" w:sz="0" w:space="0" w:color="auto"/>
                <w:bottom w:val="none" w:sz="0" w:space="0" w:color="auto"/>
                <w:right w:val="none" w:sz="0" w:space="0" w:color="auto"/>
              </w:divBdr>
            </w:div>
            <w:div w:id="1921480934">
              <w:marLeft w:val="0"/>
              <w:marRight w:val="0"/>
              <w:marTop w:val="0"/>
              <w:marBottom w:val="0"/>
              <w:divBdr>
                <w:top w:val="none" w:sz="0" w:space="0" w:color="auto"/>
                <w:left w:val="none" w:sz="0" w:space="0" w:color="auto"/>
                <w:bottom w:val="none" w:sz="0" w:space="0" w:color="auto"/>
                <w:right w:val="none" w:sz="0" w:space="0" w:color="auto"/>
              </w:divBdr>
            </w:div>
            <w:div w:id="1012073219">
              <w:marLeft w:val="0"/>
              <w:marRight w:val="0"/>
              <w:marTop w:val="0"/>
              <w:marBottom w:val="0"/>
              <w:divBdr>
                <w:top w:val="none" w:sz="0" w:space="0" w:color="auto"/>
                <w:left w:val="none" w:sz="0" w:space="0" w:color="auto"/>
                <w:bottom w:val="none" w:sz="0" w:space="0" w:color="auto"/>
                <w:right w:val="none" w:sz="0" w:space="0" w:color="auto"/>
              </w:divBdr>
            </w:div>
          </w:divsChild>
        </w:div>
        <w:div w:id="187303722">
          <w:marLeft w:val="0"/>
          <w:marRight w:val="0"/>
          <w:marTop w:val="0"/>
          <w:marBottom w:val="0"/>
          <w:divBdr>
            <w:top w:val="none" w:sz="0" w:space="0" w:color="auto"/>
            <w:left w:val="none" w:sz="0" w:space="0" w:color="auto"/>
            <w:bottom w:val="none" w:sz="0" w:space="0" w:color="auto"/>
            <w:right w:val="none" w:sz="0" w:space="0" w:color="auto"/>
          </w:divBdr>
          <w:divsChild>
            <w:div w:id="787507234">
              <w:marLeft w:val="0"/>
              <w:marRight w:val="0"/>
              <w:marTop w:val="0"/>
              <w:marBottom w:val="0"/>
              <w:divBdr>
                <w:top w:val="none" w:sz="0" w:space="0" w:color="auto"/>
                <w:left w:val="none" w:sz="0" w:space="0" w:color="auto"/>
                <w:bottom w:val="none" w:sz="0" w:space="0" w:color="auto"/>
                <w:right w:val="none" w:sz="0" w:space="0" w:color="auto"/>
              </w:divBdr>
            </w:div>
            <w:div w:id="45421266">
              <w:marLeft w:val="0"/>
              <w:marRight w:val="0"/>
              <w:marTop w:val="0"/>
              <w:marBottom w:val="0"/>
              <w:divBdr>
                <w:top w:val="none" w:sz="0" w:space="0" w:color="auto"/>
                <w:left w:val="none" w:sz="0" w:space="0" w:color="auto"/>
                <w:bottom w:val="none" w:sz="0" w:space="0" w:color="auto"/>
                <w:right w:val="none" w:sz="0" w:space="0" w:color="auto"/>
              </w:divBdr>
            </w:div>
          </w:divsChild>
        </w:div>
        <w:div w:id="284238322">
          <w:marLeft w:val="0"/>
          <w:marRight w:val="0"/>
          <w:marTop w:val="0"/>
          <w:marBottom w:val="0"/>
          <w:divBdr>
            <w:top w:val="none" w:sz="0" w:space="0" w:color="auto"/>
            <w:left w:val="none" w:sz="0" w:space="0" w:color="auto"/>
            <w:bottom w:val="none" w:sz="0" w:space="0" w:color="auto"/>
            <w:right w:val="none" w:sz="0" w:space="0" w:color="auto"/>
          </w:divBdr>
          <w:divsChild>
            <w:div w:id="1811359020">
              <w:marLeft w:val="0"/>
              <w:marRight w:val="0"/>
              <w:marTop w:val="0"/>
              <w:marBottom w:val="0"/>
              <w:divBdr>
                <w:top w:val="none" w:sz="0" w:space="0" w:color="auto"/>
                <w:left w:val="none" w:sz="0" w:space="0" w:color="auto"/>
                <w:bottom w:val="none" w:sz="0" w:space="0" w:color="auto"/>
                <w:right w:val="none" w:sz="0" w:space="0" w:color="auto"/>
              </w:divBdr>
            </w:div>
          </w:divsChild>
        </w:div>
        <w:div w:id="2050493599">
          <w:marLeft w:val="0"/>
          <w:marRight w:val="0"/>
          <w:marTop w:val="0"/>
          <w:marBottom w:val="0"/>
          <w:divBdr>
            <w:top w:val="none" w:sz="0" w:space="0" w:color="auto"/>
            <w:left w:val="none" w:sz="0" w:space="0" w:color="auto"/>
            <w:bottom w:val="none" w:sz="0" w:space="0" w:color="auto"/>
            <w:right w:val="none" w:sz="0" w:space="0" w:color="auto"/>
          </w:divBdr>
          <w:divsChild>
            <w:div w:id="1631479148">
              <w:marLeft w:val="0"/>
              <w:marRight w:val="0"/>
              <w:marTop w:val="0"/>
              <w:marBottom w:val="0"/>
              <w:divBdr>
                <w:top w:val="none" w:sz="0" w:space="0" w:color="auto"/>
                <w:left w:val="none" w:sz="0" w:space="0" w:color="auto"/>
                <w:bottom w:val="none" w:sz="0" w:space="0" w:color="auto"/>
                <w:right w:val="none" w:sz="0" w:space="0" w:color="auto"/>
              </w:divBdr>
            </w:div>
            <w:div w:id="265583995">
              <w:marLeft w:val="0"/>
              <w:marRight w:val="0"/>
              <w:marTop w:val="0"/>
              <w:marBottom w:val="0"/>
              <w:divBdr>
                <w:top w:val="none" w:sz="0" w:space="0" w:color="auto"/>
                <w:left w:val="none" w:sz="0" w:space="0" w:color="auto"/>
                <w:bottom w:val="none" w:sz="0" w:space="0" w:color="auto"/>
                <w:right w:val="none" w:sz="0" w:space="0" w:color="auto"/>
              </w:divBdr>
            </w:div>
          </w:divsChild>
        </w:div>
        <w:div w:id="1616329389">
          <w:marLeft w:val="0"/>
          <w:marRight w:val="0"/>
          <w:marTop w:val="0"/>
          <w:marBottom w:val="0"/>
          <w:divBdr>
            <w:top w:val="none" w:sz="0" w:space="0" w:color="auto"/>
            <w:left w:val="none" w:sz="0" w:space="0" w:color="auto"/>
            <w:bottom w:val="none" w:sz="0" w:space="0" w:color="auto"/>
            <w:right w:val="none" w:sz="0" w:space="0" w:color="auto"/>
          </w:divBdr>
          <w:divsChild>
            <w:div w:id="734821085">
              <w:marLeft w:val="0"/>
              <w:marRight w:val="0"/>
              <w:marTop w:val="0"/>
              <w:marBottom w:val="0"/>
              <w:divBdr>
                <w:top w:val="none" w:sz="0" w:space="0" w:color="auto"/>
                <w:left w:val="none" w:sz="0" w:space="0" w:color="auto"/>
                <w:bottom w:val="none" w:sz="0" w:space="0" w:color="auto"/>
                <w:right w:val="none" w:sz="0" w:space="0" w:color="auto"/>
              </w:divBdr>
            </w:div>
            <w:div w:id="296028626">
              <w:marLeft w:val="0"/>
              <w:marRight w:val="0"/>
              <w:marTop w:val="0"/>
              <w:marBottom w:val="0"/>
              <w:divBdr>
                <w:top w:val="none" w:sz="0" w:space="0" w:color="auto"/>
                <w:left w:val="none" w:sz="0" w:space="0" w:color="auto"/>
                <w:bottom w:val="none" w:sz="0" w:space="0" w:color="auto"/>
                <w:right w:val="none" w:sz="0" w:space="0" w:color="auto"/>
              </w:divBdr>
            </w:div>
            <w:div w:id="186213002">
              <w:marLeft w:val="0"/>
              <w:marRight w:val="0"/>
              <w:marTop w:val="0"/>
              <w:marBottom w:val="0"/>
              <w:divBdr>
                <w:top w:val="none" w:sz="0" w:space="0" w:color="auto"/>
                <w:left w:val="none" w:sz="0" w:space="0" w:color="auto"/>
                <w:bottom w:val="none" w:sz="0" w:space="0" w:color="auto"/>
                <w:right w:val="none" w:sz="0" w:space="0" w:color="auto"/>
              </w:divBdr>
            </w:div>
            <w:div w:id="1881164247">
              <w:marLeft w:val="0"/>
              <w:marRight w:val="0"/>
              <w:marTop w:val="0"/>
              <w:marBottom w:val="0"/>
              <w:divBdr>
                <w:top w:val="none" w:sz="0" w:space="0" w:color="auto"/>
                <w:left w:val="none" w:sz="0" w:space="0" w:color="auto"/>
                <w:bottom w:val="none" w:sz="0" w:space="0" w:color="auto"/>
                <w:right w:val="none" w:sz="0" w:space="0" w:color="auto"/>
              </w:divBdr>
            </w:div>
          </w:divsChild>
        </w:div>
        <w:div w:id="1928879490">
          <w:marLeft w:val="0"/>
          <w:marRight w:val="0"/>
          <w:marTop w:val="0"/>
          <w:marBottom w:val="0"/>
          <w:divBdr>
            <w:top w:val="none" w:sz="0" w:space="0" w:color="auto"/>
            <w:left w:val="none" w:sz="0" w:space="0" w:color="auto"/>
            <w:bottom w:val="none" w:sz="0" w:space="0" w:color="auto"/>
            <w:right w:val="none" w:sz="0" w:space="0" w:color="auto"/>
          </w:divBdr>
          <w:divsChild>
            <w:div w:id="416706111">
              <w:marLeft w:val="0"/>
              <w:marRight w:val="0"/>
              <w:marTop w:val="0"/>
              <w:marBottom w:val="0"/>
              <w:divBdr>
                <w:top w:val="none" w:sz="0" w:space="0" w:color="auto"/>
                <w:left w:val="none" w:sz="0" w:space="0" w:color="auto"/>
                <w:bottom w:val="none" w:sz="0" w:space="0" w:color="auto"/>
                <w:right w:val="none" w:sz="0" w:space="0" w:color="auto"/>
              </w:divBdr>
            </w:div>
            <w:div w:id="134374683">
              <w:marLeft w:val="0"/>
              <w:marRight w:val="0"/>
              <w:marTop w:val="0"/>
              <w:marBottom w:val="0"/>
              <w:divBdr>
                <w:top w:val="none" w:sz="0" w:space="0" w:color="auto"/>
                <w:left w:val="none" w:sz="0" w:space="0" w:color="auto"/>
                <w:bottom w:val="none" w:sz="0" w:space="0" w:color="auto"/>
                <w:right w:val="none" w:sz="0" w:space="0" w:color="auto"/>
              </w:divBdr>
            </w:div>
          </w:divsChild>
        </w:div>
        <w:div w:id="501747735">
          <w:marLeft w:val="0"/>
          <w:marRight w:val="0"/>
          <w:marTop w:val="0"/>
          <w:marBottom w:val="0"/>
          <w:divBdr>
            <w:top w:val="none" w:sz="0" w:space="0" w:color="auto"/>
            <w:left w:val="none" w:sz="0" w:space="0" w:color="auto"/>
            <w:bottom w:val="none" w:sz="0" w:space="0" w:color="auto"/>
            <w:right w:val="none" w:sz="0" w:space="0" w:color="auto"/>
          </w:divBdr>
          <w:divsChild>
            <w:div w:id="1916624830">
              <w:marLeft w:val="0"/>
              <w:marRight w:val="0"/>
              <w:marTop w:val="0"/>
              <w:marBottom w:val="0"/>
              <w:divBdr>
                <w:top w:val="none" w:sz="0" w:space="0" w:color="auto"/>
                <w:left w:val="none" w:sz="0" w:space="0" w:color="auto"/>
                <w:bottom w:val="none" w:sz="0" w:space="0" w:color="auto"/>
                <w:right w:val="none" w:sz="0" w:space="0" w:color="auto"/>
              </w:divBdr>
            </w:div>
          </w:divsChild>
        </w:div>
        <w:div w:id="1641954380">
          <w:marLeft w:val="0"/>
          <w:marRight w:val="0"/>
          <w:marTop w:val="0"/>
          <w:marBottom w:val="0"/>
          <w:divBdr>
            <w:top w:val="none" w:sz="0" w:space="0" w:color="auto"/>
            <w:left w:val="none" w:sz="0" w:space="0" w:color="auto"/>
            <w:bottom w:val="none" w:sz="0" w:space="0" w:color="auto"/>
            <w:right w:val="none" w:sz="0" w:space="0" w:color="auto"/>
          </w:divBdr>
          <w:divsChild>
            <w:div w:id="1282807948">
              <w:marLeft w:val="0"/>
              <w:marRight w:val="0"/>
              <w:marTop w:val="0"/>
              <w:marBottom w:val="0"/>
              <w:divBdr>
                <w:top w:val="none" w:sz="0" w:space="0" w:color="auto"/>
                <w:left w:val="none" w:sz="0" w:space="0" w:color="auto"/>
                <w:bottom w:val="none" w:sz="0" w:space="0" w:color="auto"/>
                <w:right w:val="none" w:sz="0" w:space="0" w:color="auto"/>
              </w:divBdr>
            </w:div>
            <w:div w:id="1276670973">
              <w:marLeft w:val="0"/>
              <w:marRight w:val="0"/>
              <w:marTop w:val="0"/>
              <w:marBottom w:val="0"/>
              <w:divBdr>
                <w:top w:val="none" w:sz="0" w:space="0" w:color="auto"/>
                <w:left w:val="none" w:sz="0" w:space="0" w:color="auto"/>
                <w:bottom w:val="none" w:sz="0" w:space="0" w:color="auto"/>
                <w:right w:val="none" w:sz="0" w:space="0" w:color="auto"/>
              </w:divBdr>
            </w:div>
          </w:divsChild>
        </w:div>
        <w:div w:id="381371755">
          <w:marLeft w:val="0"/>
          <w:marRight w:val="0"/>
          <w:marTop w:val="0"/>
          <w:marBottom w:val="0"/>
          <w:divBdr>
            <w:top w:val="none" w:sz="0" w:space="0" w:color="auto"/>
            <w:left w:val="none" w:sz="0" w:space="0" w:color="auto"/>
            <w:bottom w:val="none" w:sz="0" w:space="0" w:color="auto"/>
            <w:right w:val="none" w:sz="0" w:space="0" w:color="auto"/>
          </w:divBdr>
          <w:divsChild>
            <w:div w:id="969286687">
              <w:marLeft w:val="0"/>
              <w:marRight w:val="0"/>
              <w:marTop w:val="0"/>
              <w:marBottom w:val="0"/>
              <w:divBdr>
                <w:top w:val="none" w:sz="0" w:space="0" w:color="auto"/>
                <w:left w:val="none" w:sz="0" w:space="0" w:color="auto"/>
                <w:bottom w:val="none" w:sz="0" w:space="0" w:color="auto"/>
                <w:right w:val="none" w:sz="0" w:space="0" w:color="auto"/>
              </w:divBdr>
            </w:div>
            <w:div w:id="766198893">
              <w:marLeft w:val="0"/>
              <w:marRight w:val="0"/>
              <w:marTop w:val="0"/>
              <w:marBottom w:val="0"/>
              <w:divBdr>
                <w:top w:val="none" w:sz="0" w:space="0" w:color="auto"/>
                <w:left w:val="none" w:sz="0" w:space="0" w:color="auto"/>
                <w:bottom w:val="none" w:sz="0" w:space="0" w:color="auto"/>
                <w:right w:val="none" w:sz="0" w:space="0" w:color="auto"/>
              </w:divBdr>
            </w:div>
            <w:div w:id="650448261">
              <w:marLeft w:val="0"/>
              <w:marRight w:val="0"/>
              <w:marTop w:val="0"/>
              <w:marBottom w:val="0"/>
              <w:divBdr>
                <w:top w:val="none" w:sz="0" w:space="0" w:color="auto"/>
                <w:left w:val="none" w:sz="0" w:space="0" w:color="auto"/>
                <w:bottom w:val="none" w:sz="0" w:space="0" w:color="auto"/>
                <w:right w:val="none" w:sz="0" w:space="0" w:color="auto"/>
              </w:divBdr>
            </w:div>
            <w:div w:id="183712816">
              <w:marLeft w:val="0"/>
              <w:marRight w:val="0"/>
              <w:marTop w:val="0"/>
              <w:marBottom w:val="0"/>
              <w:divBdr>
                <w:top w:val="none" w:sz="0" w:space="0" w:color="auto"/>
                <w:left w:val="none" w:sz="0" w:space="0" w:color="auto"/>
                <w:bottom w:val="none" w:sz="0" w:space="0" w:color="auto"/>
                <w:right w:val="none" w:sz="0" w:space="0" w:color="auto"/>
              </w:divBdr>
            </w:div>
          </w:divsChild>
        </w:div>
        <w:div w:id="1537620422">
          <w:marLeft w:val="0"/>
          <w:marRight w:val="0"/>
          <w:marTop w:val="0"/>
          <w:marBottom w:val="0"/>
          <w:divBdr>
            <w:top w:val="none" w:sz="0" w:space="0" w:color="auto"/>
            <w:left w:val="none" w:sz="0" w:space="0" w:color="auto"/>
            <w:bottom w:val="none" w:sz="0" w:space="0" w:color="auto"/>
            <w:right w:val="none" w:sz="0" w:space="0" w:color="auto"/>
          </w:divBdr>
          <w:divsChild>
            <w:div w:id="779492141">
              <w:marLeft w:val="0"/>
              <w:marRight w:val="0"/>
              <w:marTop w:val="0"/>
              <w:marBottom w:val="0"/>
              <w:divBdr>
                <w:top w:val="none" w:sz="0" w:space="0" w:color="auto"/>
                <w:left w:val="none" w:sz="0" w:space="0" w:color="auto"/>
                <w:bottom w:val="none" w:sz="0" w:space="0" w:color="auto"/>
                <w:right w:val="none" w:sz="0" w:space="0" w:color="auto"/>
              </w:divBdr>
            </w:div>
            <w:div w:id="795371366">
              <w:marLeft w:val="0"/>
              <w:marRight w:val="0"/>
              <w:marTop w:val="0"/>
              <w:marBottom w:val="0"/>
              <w:divBdr>
                <w:top w:val="none" w:sz="0" w:space="0" w:color="auto"/>
                <w:left w:val="none" w:sz="0" w:space="0" w:color="auto"/>
                <w:bottom w:val="none" w:sz="0" w:space="0" w:color="auto"/>
                <w:right w:val="none" w:sz="0" w:space="0" w:color="auto"/>
              </w:divBdr>
            </w:div>
          </w:divsChild>
        </w:div>
        <w:div w:id="2097364622">
          <w:marLeft w:val="0"/>
          <w:marRight w:val="0"/>
          <w:marTop w:val="0"/>
          <w:marBottom w:val="0"/>
          <w:divBdr>
            <w:top w:val="none" w:sz="0" w:space="0" w:color="auto"/>
            <w:left w:val="none" w:sz="0" w:space="0" w:color="auto"/>
            <w:bottom w:val="none" w:sz="0" w:space="0" w:color="auto"/>
            <w:right w:val="none" w:sz="0" w:space="0" w:color="auto"/>
          </w:divBdr>
          <w:divsChild>
            <w:div w:id="1956787293">
              <w:marLeft w:val="0"/>
              <w:marRight w:val="0"/>
              <w:marTop w:val="0"/>
              <w:marBottom w:val="0"/>
              <w:divBdr>
                <w:top w:val="none" w:sz="0" w:space="0" w:color="auto"/>
                <w:left w:val="none" w:sz="0" w:space="0" w:color="auto"/>
                <w:bottom w:val="none" w:sz="0" w:space="0" w:color="auto"/>
                <w:right w:val="none" w:sz="0" w:space="0" w:color="auto"/>
              </w:divBdr>
            </w:div>
          </w:divsChild>
        </w:div>
        <w:div w:id="1074006053">
          <w:marLeft w:val="0"/>
          <w:marRight w:val="0"/>
          <w:marTop w:val="0"/>
          <w:marBottom w:val="0"/>
          <w:divBdr>
            <w:top w:val="none" w:sz="0" w:space="0" w:color="auto"/>
            <w:left w:val="none" w:sz="0" w:space="0" w:color="auto"/>
            <w:bottom w:val="none" w:sz="0" w:space="0" w:color="auto"/>
            <w:right w:val="none" w:sz="0" w:space="0" w:color="auto"/>
          </w:divBdr>
          <w:divsChild>
            <w:div w:id="1602908824">
              <w:marLeft w:val="0"/>
              <w:marRight w:val="0"/>
              <w:marTop w:val="0"/>
              <w:marBottom w:val="0"/>
              <w:divBdr>
                <w:top w:val="none" w:sz="0" w:space="0" w:color="auto"/>
                <w:left w:val="none" w:sz="0" w:space="0" w:color="auto"/>
                <w:bottom w:val="none" w:sz="0" w:space="0" w:color="auto"/>
                <w:right w:val="none" w:sz="0" w:space="0" w:color="auto"/>
              </w:divBdr>
            </w:div>
            <w:div w:id="1426153740">
              <w:marLeft w:val="0"/>
              <w:marRight w:val="0"/>
              <w:marTop w:val="0"/>
              <w:marBottom w:val="0"/>
              <w:divBdr>
                <w:top w:val="none" w:sz="0" w:space="0" w:color="auto"/>
                <w:left w:val="none" w:sz="0" w:space="0" w:color="auto"/>
                <w:bottom w:val="none" w:sz="0" w:space="0" w:color="auto"/>
                <w:right w:val="none" w:sz="0" w:space="0" w:color="auto"/>
              </w:divBdr>
            </w:div>
          </w:divsChild>
        </w:div>
        <w:div w:id="551506605">
          <w:marLeft w:val="0"/>
          <w:marRight w:val="0"/>
          <w:marTop w:val="0"/>
          <w:marBottom w:val="0"/>
          <w:divBdr>
            <w:top w:val="none" w:sz="0" w:space="0" w:color="auto"/>
            <w:left w:val="none" w:sz="0" w:space="0" w:color="auto"/>
            <w:bottom w:val="none" w:sz="0" w:space="0" w:color="auto"/>
            <w:right w:val="none" w:sz="0" w:space="0" w:color="auto"/>
          </w:divBdr>
          <w:divsChild>
            <w:div w:id="2065792118">
              <w:marLeft w:val="0"/>
              <w:marRight w:val="0"/>
              <w:marTop w:val="0"/>
              <w:marBottom w:val="0"/>
              <w:divBdr>
                <w:top w:val="none" w:sz="0" w:space="0" w:color="auto"/>
                <w:left w:val="none" w:sz="0" w:space="0" w:color="auto"/>
                <w:bottom w:val="none" w:sz="0" w:space="0" w:color="auto"/>
                <w:right w:val="none" w:sz="0" w:space="0" w:color="auto"/>
              </w:divBdr>
            </w:div>
            <w:div w:id="215287142">
              <w:marLeft w:val="0"/>
              <w:marRight w:val="0"/>
              <w:marTop w:val="0"/>
              <w:marBottom w:val="0"/>
              <w:divBdr>
                <w:top w:val="none" w:sz="0" w:space="0" w:color="auto"/>
                <w:left w:val="none" w:sz="0" w:space="0" w:color="auto"/>
                <w:bottom w:val="none" w:sz="0" w:space="0" w:color="auto"/>
                <w:right w:val="none" w:sz="0" w:space="0" w:color="auto"/>
              </w:divBdr>
            </w:div>
          </w:divsChild>
        </w:div>
        <w:div w:id="885072103">
          <w:marLeft w:val="0"/>
          <w:marRight w:val="0"/>
          <w:marTop w:val="0"/>
          <w:marBottom w:val="0"/>
          <w:divBdr>
            <w:top w:val="none" w:sz="0" w:space="0" w:color="auto"/>
            <w:left w:val="none" w:sz="0" w:space="0" w:color="auto"/>
            <w:bottom w:val="none" w:sz="0" w:space="0" w:color="auto"/>
            <w:right w:val="none" w:sz="0" w:space="0" w:color="auto"/>
          </w:divBdr>
          <w:divsChild>
            <w:div w:id="1783497714">
              <w:marLeft w:val="0"/>
              <w:marRight w:val="0"/>
              <w:marTop w:val="0"/>
              <w:marBottom w:val="0"/>
              <w:divBdr>
                <w:top w:val="none" w:sz="0" w:space="0" w:color="auto"/>
                <w:left w:val="none" w:sz="0" w:space="0" w:color="auto"/>
                <w:bottom w:val="none" w:sz="0" w:space="0" w:color="auto"/>
                <w:right w:val="none" w:sz="0" w:space="0" w:color="auto"/>
              </w:divBdr>
            </w:div>
            <w:div w:id="1505780257">
              <w:marLeft w:val="0"/>
              <w:marRight w:val="0"/>
              <w:marTop w:val="0"/>
              <w:marBottom w:val="0"/>
              <w:divBdr>
                <w:top w:val="none" w:sz="0" w:space="0" w:color="auto"/>
                <w:left w:val="none" w:sz="0" w:space="0" w:color="auto"/>
                <w:bottom w:val="none" w:sz="0" w:space="0" w:color="auto"/>
                <w:right w:val="none" w:sz="0" w:space="0" w:color="auto"/>
              </w:divBdr>
            </w:div>
          </w:divsChild>
        </w:div>
        <w:div w:id="146366616">
          <w:marLeft w:val="0"/>
          <w:marRight w:val="0"/>
          <w:marTop w:val="0"/>
          <w:marBottom w:val="0"/>
          <w:divBdr>
            <w:top w:val="none" w:sz="0" w:space="0" w:color="auto"/>
            <w:left w:val="none" w:sz="0" w:space="0" w:color="auto"/>
            <w:bottom w:val="none" w:sz="0" w:space="0" w:color="auto"/>
            <w:right w:val="none" w:sz="0" w:space="0" w:color="auto"/>
          </w:divBdr>
          <w:divsChild>
            <w:div w:id="1396468267">
              <w:marLeft w:val="0"/>
              <w:marRight w:val="0"/>
              <w:marTop w:val="0"/>
              <w:marBottom w:val="0"/>
              <w:divBdr>
                <w:top w:val="none" w:sz="0" w:space="0" w:color="auto"/>
                <w:left w:val="none" w:sz="0" w:space="0" w:color="auto"/>
                <w:bottom w:val="none" w:sz="0" w:space="0" w:color="auto"/>
                <w:right w:val="none" w:sz="0" w:space="0" w:color="auto"/>
              </w:divBdr>
            </w:div>
          </w:divsChild>
        </w:div>
        <w:div w:id="905725352">
          <w:marLeft w:val="0"/>
          <w:marRight w:val="0"/>
          <w:marTop w:val="0"/>
          <w:marBottom w:val="0"/>
          <w:divBdr>
            <w:top w:val="none" w:sz="0" w:space="0" w:color="auto"/>
            <w:left w:val="none" w:sz="0" w:space="0" w:color="auto"/>
            <w:bottom w:val="none" w:sz="0" w:space="0" w:color="auto"/>
            <w:right w:val="none" w:sz="0" w:space="0" w:color="auto"/>
          </w:divBdr>
          <w:divsChild>
            <w:div w:id="979190677">
              <w:marLeft w:val="0"/>
              <w:marRight w:val="0"/>
              <w:marTop w:val="0"/>
              <w:marBottom w:val="0"/>
              <w:divBdr>
                <w:top w:val="none" w:sz="0" w:space="0" w:color="auto"/>
                <w:left w:val="none" w:sz="0" w:space="0" w:color="auto"/>
                <w:bottom w:val="none" w:sz="0" w:space="0" w:color="auto"/>
                <w:right w:val="none" w:sz="0" w:space="0" w:color="auto"/>
              </w:divBdr>
            </w:div>
            <w:div w:id="1279799010">
              <w:marLeft w:val="0"/>
              <w:marRight w:val="0"/>
              <w:marTop w:val="0"/>
              <w:marBottom w:val="0"/>
              <w:divBdr>
                <w:top w:val="none" w:sz="0" w:space="0" w:color="auto"/>
                <w:left w:val="none" w:sz="0" w:space="0" w:color="auto"/>
                <w:bottom w:val="none" w:sz="0" w:space="0" w:color="auto"/>
                <w:right w:val="none" w:sz="0" w:space="0" w:color="auto"/>
              </w:divBdr>
            </w:div>
          </w:divsChild>
        </w:div>
        <w:div w:id="681395081">
          <w:marLeft w:val="0"/>
          <w:marRight w:val="0"/>
          <w:marTop w:val="0"/>
          <w:marBottom w:val="0"/>
          <w:divBdr>
            <w:top w:val="none" w:sz="0" w:space="0" w:color="auto"/>
            <w:left w:val="none" w:sz="0" w:space="0" w:color="auto"/>
            <w:bottom w:val="none" w:sz="0" w:space="0" w:color="auto"/>
            <w:right w:val="none" w:sz="0" w:space="0" w:color="auto"/>
          </w:divBdr>
          <w:divsChild>
            <w:div w:id="1822572269">
              <w:marLeft w:val="0"/>
              <w:marRight w:val="0"/>
              <w:marTop w:val="0"/>
              <w:marBottom w:val="0"/>
              <w:divBdr>
                <w:top w:val="none" w:sz="0" w:space="0" w:color="auto"/>
                <w:left w:val="none" w:sz="0" w:space="0" w:color="auto"/>
                <w:bottom w:val="none" w:sz="0" w:space="0" w:color="auto"/>
                <w:right w:val="none" w:sz="0" w:space="0" w:color="auto"/>
              </w:divBdr>
            </w:div>
            <w:div w:id="253905596">
              <w:marLeft w:val="0"/>
              <w:marRight w:val="0"/>
              <w:marTop w:val="0"/>
              <w:marBottom w:val="0"/>
              <w:divBdr>
                <w:top w:val="none" w:sz="0" w:space="0" w:color="auto"/>
                <w:left w:val="none" w:sz="0" w:space="0" w:color="auto"/>
                <w:bottom w:val="none" w:sz="0" w:space="0" w:color="auto"/>
                <w:right w:val="none" w:sz="0" w:space="0" w:color="auto"/>
              </w:divBdr>
            </w:div>
          </w:divsChild>
        </w:div>
        <w:div w:id="1926650728">
          <w:marLeft w:val="0"/>
          <w:marRight w:val="0"/>
          <w:marTop w:val="0"/>
          <w:marBottom w:val="0"/>
          <w:divBdr>
            <w:top w:val="none" w:sz="0" w:space="0" w:color="auto"/>
            <w:left w:val="none" w:sz="0" w:space="0" w:color="auto"/>
            <w:bottom w:val="none" w:sz="0" w:space="0" w:color="auto"/>
            <w:right w:val="none" w:sz="0" w:space="0" w:color="auto"/>
          </w:divBdr>
          <w:divsChild>
            <w:div w:id="2095205558">
              <w:marLeft w:val="0"/>
              <w:marRight w:val="0"/>
              <w:marTop w:val="0"/>
              <w:marBottom w:val="0"/>
              <w:divBdr>
                <w:top w:val="none" w:sz="0" w:space="0" w:color="auto"/>
                <w:left w:val="none" w:sz="0" w:space="0" w:color="auto"/>
                <w:bottom w:val="none" w:sz="0" w:space="0" w:color="auto"/>
                <w:right w:val="none" w:sz="0" w:space="0" w:color="auto"/>
              </w:divBdr>
            </w:div>
            <w:div w:id="9114652">
              <w:marLeft w:val="0"/>
              <w:marRight w:val="0"/>
              <w:marTop w:val="0"/>
              <w:marBottom w:val="0"/>
              <w:divBdr>
                <w:top w:val="none" w:sz="0" w:space="0" w:color="auto"/>
                <w:left w:val="none" w:sz="0" w:space="0" w:color="auto"/>
                <w:bottom w:val="none" w:sz="0" w:space="0" w:color="auto"/>
                <w:right w:val="none" w:sz="0" w:space="0" w:color="auto"/>
              </w:divBdr>
            </w:div>
          </w:divsChild>
        </w:div>
        <w:div w:id="1522862441">
          <w:marLeft w:val="0"/>
          <w:marRight w:val="0"/>
          <w:marTop w:val="0"/>
          <w:marBottom w:val="0"/>
          <w:divBdr>
            <w:top w:val="none" w:sz="0" w:space="0" w:color="auto"/>
            <w:left w:val="none" w:sz="0" w:space="0" w:color="auto"/>
            <w:bottom w:val="none" w:sz="0" w:space="0" w:color="auto"/>
            <w:right w:val="none" w:sz="0" w:space="0" w:color="auto"/>
          </w:divBdr>
          <w:divsChild>
            <w:div w:id="1288660681">
              <w:marLeft w:val="0"/>
              <w:marRight w:val="0"/>
              <w:marTop w:val="0"/>
              <w:marBottom w:val="0"/>
              <w:divBdr>
                <w:top w:val="none" w:sz="0" w:space="0" w:color="auto"/>
                <w:left w:val="none" w:sz="0" w:space="0" w:color="auto"/>
                <w:bottom w:val="none" w:sz="0" w:space="0" w:color="auto"/>
                <w:right w:val="none" w:sz="0" w:space="0" w:color="auto"/>
              </w:divBdr>
            </w:div>
            <w:div w:id="1493989940">
              <w:marLeft w:val="0"/>
              <w:marRight w:val="0"/>
              <w:marTop w:val="0"/>
              <w:marBottom w:val="0"/>
              <w:divBdr>
                <w:top w:val="none" w:sz="0" w:space="0" w:color="auto"/>
                <w:left w:val="none" w:sz="0" w:space="0" w:color="auto"/>
                <w:bottom w:val="none" w:sz="0" w:space="0" w:color="auto"/>
                <w:right w:val="none" w:sz="0" w:space="0" w:color="auto"/>
              </w:divBdr>
            </w:div>
            <w:div w:id="1522206923">
              <w:marLeft w:val="0"/>
              <w:marRight w:val="0"/>
              <w:marTop w:val="0"/>
              <w:marBottom w:val="0"/>
              <w:divBdr>
                <w:top w:val="none" w:sz="0" w:space="0" w:color="auto"/>
                <w:left w:val="none" w:sz="0" w:space="0" w:color="auto"/>
                <w:bottom w:val="none" w:sz="0" w:space="0" w:color="auto"/>
                <w:right w:val="none" w:sz="0" w:space="0" w:color="auto"/>
              </w:divBdr>
            </w:div>
          </w:divsChild>
        </w:div>
        <w:div w:id="1548686695">
          <w:marLeft w:val="0"/>
          <w:marRight w:val="0"/>
          <w:marTop w:val="0"/>
          <w:marBottom w:val="0"/>
          <w:divBdr>
            <w:top w:val="none" w:sz="0" w:space="0" w:color="auto"/>
            <w:left w:val="none" w:sz="0" w:space="0" w:color="auto"/>
            <w:bottom w:val="none" w:sz="0" w:space="0" w:color="auto"/>
            <w:right w:val="none" w:sz="0" w:space="0" w:color="auto"/>
          </w:divBdr>
          <w:divsChild>
            <w:div w:id="119569461">
              <w:marLeft w:val="0"/>
              <w:marRight w:val="0"/>
              <w:marTop w:val="0"/>
              <w:marBottom w:val="0"/>
              <w:divBdr>
                <w:top w:val="none" w:sz="0" w:space="0" w:color="auto"/>
                <w:left w:val="none" w:sz="0" w:space="0" w:color="auto"/>
                <w:bottom w:val="none" w:sz="0" w:space="0" w:color="auto"/>
                <w:right w:val="none" w:sz="0" w:space="0" w:color="auto"/>
              </w:divBdr>
            </w:div>
            <w:div w:id="428887765">
              <w:marLeft w:val="0"/>
              <w:marRight w:val="0"/>
              <w:marTop w:val="0"/>
              <w:marBottom w:val="0"/>
              <w:divBdr>
                <w:top w:val="none" w:sz="0" w:space="0" w:color="auto"/>
                <w:left w:val="none" w:sz="0" w:space="0" w:color="auto"/>
                <w:bottom w:val="none" w:sz="0" w:space="0" w:color="auto"/>
                <w:right w:val="none" w:sz="0" w:space="0" w:color="auto"/>
              </w:divBdr>
            </w:div>
          </w:divsChild>
        </w:div>
        <w:div w:id="1795127543">
          <w:marLeft w:val="0"/>
          <w:marRight w:val="0"/>
          <w:marTop w:val="0"/>
          <w:marBottom w:val="0"/>
          <w:divBdr>
            <w:top w:val="none" w:sz="0" w:space="0" w:color="auto"/>
            <w:left w:val="none" w:sz="0" w:space="0" w:color="auto"/>
            <w:bottom w:val="none" w:sz="0" w:space="0" w:color="auto"/>
            <w:right w:val="none" w:sz="0" w:space="0" w:color="auto"/>
          </w:divBdr>
          <w:divsChild>
            <w:div w:id="561871869">
              <w:marLeft w:val="0"/>
              <w:marRight w:val="0"/>
              <w:marTop w:val="0"/>
              <w:marBottom w:val="0"/>
              <w:divBdr>
                <w:top w:val="none" w:sz="0" w:space="0" w:color="auto"/>
                <w:left w:val="none" w:sz="0" w:space="0" w:color="auto"/>
                <w:bottom w:val="none" w:sz="0" w:space="0" w:color="auto"/>
                <w:right w:val="none" w:sz="0" w:space="0" w:color="auto"/>
              </w:divBdr>
            </w:div>
            <w:div w:id="1246575864">
              <w:marLeft w:val="0"/>
              <w:marRight w:val="0"/>
              <w:marTop w:val="0"/>
              <w:marBottom w:val="0"/>
              <w:divBdr>
                <w:top w:val="none" w:sz="0" w:space="0" w:color="auto"/>
                <w:left w:val="none" w:sz="0" w:space="0" w:color="auto"/>
                <w:bottom w:val="none" w:sz="0" w:space="0" w:color="auto"/>
                <w:right w:val="none" w:sz="0" w:space="0" w:color="auto"/>
              </w:divBdr>
            </w:div>
            <w:div w:id="502278869">
              <w:marLeft w:val="0"/>
              <w:marRight w:val="0"/>
              <w:marTop w:val="0"/>
              <w:marBottom w:val="0"/>
              <w:divBdr>
                <w:top w:val="none" w:sz="0" w:space="0" w:color="auto"/>
                <w:left w:val="none" w:sz="0" w:space="0" w:color="auto"/>
                <w:bottom w:val="none" w:sz="0" w:space="0" w:color="auto"/>
                <w:right w:val="none" w:sz="0" w:space="0" w:color="auto"/>
              </w:divBdr>
            </w:div>
            <w:div w:id="668941946">
              <w:marLeft w:val="0"/>
              <w:marRight w:val="0"/>
              <w:marTop w:val="0"/>
              <w:marBottom w:val="0"/>
              <w:divBdr>
                <w:top w:val="none" w:sz="0" w:space="0" w:color="auto"/>
                <w:left w:val="none" w:sz="0" w:space="0" w:color="auto"/>
                <w:bottom w:val="none" w:sz="0" w:space="0" w:color="auto"/>
                <w:right w:val="none" w:sz="0" w:space="0" w:color="auto"/>
              </w:divBdr>
            </w:div>
          </w:divsChild>
        </w:div>
        <w:div w:id="1304508250">
          <w:marLeft w:val="0"/>
          <w:marRight w:val="0"/>
          <w:marTop w:val="0"/>
          <w:marBottom w:val="0"/>
          <w:divBdr>
            <w:top w:val="none" w:sz="0" w:space="0" w:color="auto"/>
            <w:left w:val="none" w:sz="0" w:space="0" w:color="auto"/>
            <w:bottom w:val="none" w:sz="0" w:space="0" w:color="auto"/>
            <w:right w:val="none" w:sz="0" w:space="0" w:color="auto"/>
          </w:divBdr>
          <w:divsChild>
            <w:div w:id="949119862">
              <w:marLeft w:val="0"/>
              <w:marRight w:val="0"/>
              <w:marTop w:val="0"/>
              <w:marBottom w:val="0"/>
              <w:divBdr>
                <w:top w:val="none" w:sz="0" w:space="0" w:color="auto"/>
                <w:left w:val="none" w:sz="0" w:space="0" w:color="auto"/>
                <w:bottom w:val="none" w:sz="0" w:space="0" w:color="auto"/>
                <w:right w:val="none" w:sz="0" w:space="0" w:color="auto"/>
              </w:divBdr>
            </w:div>
            <w:div w:id="1205019908">
              <w:marLeft w:val="0"/>
              <w:marRight w:val="0"/>
              <w:marTop w:val="0"/>
              <w:marBottom w:val="0"/>
              <w:divBdr>
                <w:top w:val="none" w:sz="0" w:space="0" w:color="auto"/>
                <w:left w:val="none" w:sz="0" w:space="0" w:color="auto"/>
                <w:bottom w:val="none" w:sz="0" w:space="0" w:color="auto"/>
                <w:right w:val="none" w:sz="0" w:space="0" w:color="auto"/>
              </w:divBdr>
            </w:div>
            <w:div w:id="602886869">
              <w:marLeft w:val="0"/>
              <w:marRight w:val="0"/>
              <w:marTop w:val="0"/>
              <w:marBottom w:val="0"/>
              <w:divBdr>
                <w:top w:val="none" w:sz="0" w:space="0" w:color="auto"/>
                <w:left w:val="none" w:sz="0" w:space="0" w:color="auto"/>
                <w:bottom w:val="none" w:sz="0" w:space="0" w:color="auto"/>
                <w:right w:val="none" w:sz="0" w:space="0" w:color="auto"/>
              </w:divBdr>
            </w:div>
          </w:divsChild>
        </w:div>
        <w:div w:id="1910727666">
          <w:marLeft w:val="0"/>
          <w:marRight w:val="0"/>
          <w:marTop w:val="0"/>
          <w:marBottom w:val="0"/>
          <w:divBdr>
            <w:top w:val="none" w:sz="0" w:space="0" w:color="auto"/>
            <w:left w:val="none" w:sz="0" w:space="0" w:color="auto"/>
            <w:bottom w:val="none" w:sz="0" w:space="0" w:color="auto"/>
            <w:right w:val="none" w:sz="0" w:space="0" w:color="auto"/>
          </w:divBdr>
          <w:divsChild>
            <w:div w:id="193348819">
              <w:marLeft w:val="0"/>
              <w:marRight w:val="0"/>
              <w:marTop w:val="0"/>
              <w:marBottom w:val="0"/>
              <w:divBdr>
                <w:top w:val="none" w:sz="0" w:space="0" w:color="auto"/>
                <w:left w:val="none" w:sz="0" w:space="0" w:color="auto"/>
                <w:bottom w:val="none" w:sz="0" w:space="0" w:color="auto"/>
                <w:right w:val="none" w:sz="0" w:space="0" w:color="auto"/>
              </w:divBdr>
            </w:div>
          </w:divsChild>
        </w:div>
        <w:div w:id="1359359117">
          <w:marLeft w:val="0"/>
          <w:marRight w:val="0"/>
          <w:marTop w:val="0"/>
          <w:marBottom w:val="0"/>
          <w:divBdr>
            <w:top w:val="none" w:sz="0" w:space="0" w:color="auto"/>
            <w:left w:val="none" w:sz="0" w:space="0" w:color="auto"/>
            <w:bottom w:val="none" w:sz="0" w:space="0" w:color="auto"/>
            <w:right w:val="none" w:sz="0" w:space="0" w:color="auto"/>
          </w:divBdr>
          <w:divsChild>
            <w:div w:id="1733768294">
              <w:marLeft w:val="0"/>
              <w:marRight w:val="0"/>
              <w:marTop w:val="0"/>
              <w:marBottom w:val="0"/>
              <w:divBdr>
                <w:top w:val="none" w:sz="0" w:space="0" w:color="auto"/>
                <w:left w:val="none" w:sz="0" w:space="0" w:color="auto"/>
                <w:bottom w:val="none" w:sz="0" w:space="0" w:color="auto"/>
                <w:right w:val="none" w:sz="0" w:space="0" w:color="auto"/>
              </w:divBdr>
            </w:div>
          </w:divsChild>
        </w:div>
        <w:div w:id="708536126">
          <w:marLeft w:val="0"/>
          <w:marRight w:val="0"/>
          <w:marTop w:val="0"/>
          <w:marBottom w:val="0"/>
          <w:divBdr>
            <w:top w:val="none" w:sz="0" w:space="0" w:color="auto"/>
            <w:left w:val="none" w:sz="0" w:space="0" w:color="auto"/>
            <w:bottom w:val="none" w:sz="0" w:space="0" w:color="auto"/>
            <w:right w:val="none" w:sz="0" w:space="0" w:color="auto"/>
          </w:divBdr>
          <w:divsChild>
            <w:div w:id="694231400">
              <w:marLeft w:val="0"/>
              <w:marRight w:val="0"/>
              <w:marTop w:val="0"/>
              <w:marBottom w:val="0"/>
              <w:divBdr>
                <w:top w:val="none" w:sz="0" w:space="0" w:color="auto"/>
                <w:left w:val="none" w:sz="0" w:space="0" w:color="auto"/>
                <w:bottom w:val="none" w:sz="0" w:space="0" w:color="auto"/>
                <w:right w:val="none" w:sz="0" w:space="0" w:color="auto"/>
              </w:divBdr>
            </w:div>
            <w:div w:id="606734541">
              <w:marLeft w:val="0"/>
              <w:marRight w:val="0"/>
              <w:marTop w:val="0"/>
              <w:marBottom w:val="0"/>
              <w:divBdr>
                <w:top w:val="none" w:sz="0" w:space="0" w:color="auto"/>
                <w:left w:val="none" w:sz="0" w:space="0" w:color="auto"/>
                <w:bottom w:val="none" w:sz="0" w:space="0" w:color="auto"/>
                <w:right w:val="none" w:sz="0" w:space="0" w:color="auto"/>
              </w:divBdr>
            </w:div>
          </w:divsChild>
        </w:div>
        <w:div w:id="1508011892">
          <w:marLeft w:val="0"/>
          <w:marRight w:val="0"/>
          <w:marTop w:val="0"/>
          <w:marBottom w:val="0"/>
          <w:divBdr>
            <w:top w:val="none" w:sz="0" w:space="0" w:color="auto"/>
            <w:left w:val="none" w:sz="0" w:space="0" w:color="auto"/>
            <w:bottom w:val="none" w:sz="0" w:space="0" w:color="auto"/>
            <w:right w:val="none" w:sz="0" w:space="0" w:color="auto"/>
          </w:divBdr>
          <w:divsChild>
            <w:div w:id="1229808350">
              <w:marLeft w:val="0"/>
              <w:marRight w:val="0"/>
              <w:marTop w:val="0"/>
              <w:marBottom w:val="0"/>
              <w:divBdr>
                <w:top w:val="none" w:sz="0" w:space="0" w:color="auto"/>
                <w:left w:val="none" w:sz="0" w:space="0" w:color="auto"/>
                <w:bottom w:val="none" w:sz="0" w:space="0" w:color="auto"/>
                <w:right w:val="none" w:sz="0" w:space="0" w:color="auto"/>
              </w:divBdr>
            </w:div>
            <w:div w:id="129370515">
              <w:marLeft w:val="0"/>
              <w:marRight w:val="0"/>
              <w:marTop w:val="0"/>
              <w:marBottom w:val="0"/>
              <w:divBdr>
                <w:top w:val="none" w:sz="0" w:space="0" w:color="auto"/>
                <w:left w:val="none" w:sz="0" w:space="0" w:color="auto"/>
                <w:bottom w:val="none" w:sz="0" w:space="0" w:color="auto"/>
                <w:right w:val="none" w:sz="0" w:space="0" w:color="auto"/>
              </w:divBdr>
            </w:div>
          </w:divsChild>
        </w:div>
        <w:div w:id="1767994438">
          <w:marLeft w:val="0"/>
          <w:marRight w:val="0"/>
          <w:marTop w:val="0"/>
          <w:marBottom w:val="0"/>
          <w:divBdr>
            <w:top w:val="none" w:sz="0" w:space="0" w:color="auto"/>
            <w:left w:val="none" w:sz="0" w:space="0" w:color="auto"/>
            <w:bottom w:val="none" w:sz="0" w:space="0" w:color="auto"/>
            <w:right w:val="none" w:sz="0" w:space="0" w:color="auto"/>
          </w:divBdr>
          <w:divsChild>
            <w:div w:id="1367759683">
              <w:marLeft w:val="0"/>
              <w:marRight w:val="0"/>
              <w:marTop w:val="0"/>
              <w:marBottom w:val="0"/>
              <w:divBdr>
                <w:top w:val="none" w:sz="0" w:space="0" w:color="auto"/>
                <w:left w:val="none" w:sz="0" w:space="0" w:color="auto"/>
                <w:bottom w:val="none" w:sz="0" w:space="0" w:color="auto"/>
                <w:right w:val="none" w:sz="0" w:space="0" w:color="auto"/>
              </w:divBdr>
            </w:div>
            <w:div w:id="789320244">
              <w:marLeft w:val="0"/>
              <w:marRight w:val="0"/>
              <w:marTop w:val="0"/>
              <w:marBottom w:val="0"/>
              <w:divBdr>
                <w:top w:val="none" w:sz="0" w:space="0" w:color="auto"/>
                <w:left w:val="none" w:sz="0" w:space="0" w:color="auto"/>
                <w:bottom w:val="none" w:sz="0" w:space="0" w:color="auto"/>
                <w:right w:val="none" w:sz="0" w:space="0" w:color="auto"/>
              </w:divBdr>
            </w:div>
          </w:divsChild>
        </w:div>
        <w:div w:id="1343095016">
          <w:marLeft w:val="0"/>
          <w:marRight w:val="0"/>
          <w:marTop w:val="0"/>
          <w:marBottom w:val="0"/>
          <w:divBdr>
            <w:top w:val="none" w:sz="0" w:space="0" w:color="auto"/>
            <w:left w:val="none" w:sz="0" w:space="0" w:color="auto"/>
            <w:bottom w:val="none" w:sz="0" w:space="0" w:color="auto"/>
            <w:right w:val="none" w:sz="0" w:space="0" w:color="auto"/>
          </w:divBdr>
          <w:divsChild>
            <w:div w:id="1160122988">
              <w:marLeft w:val="0"/>
              <w:marRight w:val="0"/>
              <w:marTop w:val="0"/>
              <w:marBottom w:val="0"/>
              <w:divBdr>
                <w:top w:val="none" w:sz="0" w:space="0" w:color="auto"/>
                <w:left w:val="none" w:sz="0" w:space="0" w:color="auto"/>
                <w:bottom w:val="none" w:sz="0" w:space="0" w:color="auto"/>
                <w:right w:val="none" w:sz="0" w:space="0" w:color="auto"/>
              </w:divBdr>
            </w:div>
          </w:divsChild>
        </w:div>
        <w:div w:id="1765686775">
          <w:marLeft w:val="0"/>
          <w:marRight w:val="0"/>
          <w:marTop w:val="0"/>
          <w:marBottom w:val="0"/>
          <w:divBdr>
            <w:top w:val="none" w:sz="0" w:space="0" w:color="auto"/>
            <w:left w:val="none" w:sz="0" w:space="0" w:color="auto"/>
            <w:bottom w:val="none" w:sz="0" w:space="0" w:color="auto"/>
            <w:right w:val="none" w:sz="0" w:space="0" w:color="auto"/>
          </w:divBdr>
          <w:divsChild>
            <w:div w:id="1121070445">
              <w:marLeft w:val="0"/>
              <w:marRight w:val="0"/>
              <w:marTop w:val="0"/>
              <w:marBottom w:val="0"/>
              <w:divBdr>
                <w:top w:val="none" w:sz="0" w:space="0" w:color="auto"/>
                <w:left w:val="none" w:sz="0" w:space="0" w:color="auto"/>
                <w:bottom w:val="none" w:sz="0" w:space="0" w:color="auto"/>
                <w:right w:val="none" w:sz="0" w:space="0" w:color="auto"/>
              </w:divBdr>
            </w:div>
            <w:div w:id="1289703321">
              <w:marLeft w:val="0"/>
              <w:marRight w:val="0"/>
              <w:marTop w:val="0"/>
              <w:marBottom w:val="0"/>
              <w:divBdr>
                <w:top w:val="none" w:sz="0" w:space="0" w:color="auto"/>
                <w:left w:val="none" w:sz="0" w:space="0" w:color="auto"/>
                <w:bottom w:val="none" w:sz="0" w:space="0" w:color="auto"/>
                <w:right w:val="none" w:sz="0" w:space="0" w:color="auto"/>
              </w:divBdr>
            </w:div>
            <w:div w:id="1076434745">
              <w:marLeft w:val="0"/>
              <w:marRight w:val="0"/>
              <w:marTop w:val="0"/>
              <w:marBottom w:val="0"/>
              <w:divBdr>
                <w:top w:val="none" w:sz="0" w:space="0" w:color="auto"/>
                <w:left w:val="none" w:sz="0" w:space="0" w:color="auto"/>
                <w:bottom w:val="none" w:sz="0" w:space="0" w:color="auto"/>
                <w:right w:val="none" w:sz="0" w:space="0" w:color="auto"/>
              </w:divBdr>
            </w:div>
          </w:divsChild>
        </w:div>
        <w:div w:id="1314022174">
          <w:marLeft w:val="0"/>
          <w:marRight w:val="0"/>
          <w:marTop w:val="0"/>
          <w:marBottom w:val="0"/>
          <w:divBdr>
            <w:top w:val="none" w:sz="0" w:space="0" w:color="auto"/>
            <w:left w:val="none" w:sz="0" w:space="0" w:color="auto"/>
            <w:bottom w:val="none" w:sz="0" w:space="0" w:color="auto"/>
            <w:right w:val="none" w:sz="0" w:space="0" w:color="auto"/>
          </w:divBdr>
          <w:divsChild>
            <w:div w:id="1070738459">
              <w:marLeft w:val="0"/>
              <w:marRight w:val="0"/>
              <w:marTop w:val="0"/>
              <w:marBottom w:val="0"/>
              <w:divBdr>
                <w:top w:val="none" w:sz="0" w:space="0" w:color="auto"/>
                <w:left w:val="none" w:sz="0" w:space="0" w:color="auto"/>
                <w:bottom w:val="none" w:sz="0" w:space="0" w:color="auto"/>
                <w:right w:val="none" w:sz="0" w:space="0" w:color="auto"/>
              </w:divBdr>
            </w:div>
            <w:div w:id="1187251730">
              <w:marLeft w:val="0"/>
              <w:marRight w:val="0"/>
              <w:marTop w:val="0"/>
              <w:marBottom w:val="0"/>
              <w:divBdr>
                <w:top w:val="none" w:sz="0" w:space="0" w:color="auto"/>
                <w:left w:val="none" w:sz="0" w:space="0" w:color="auto"/>
                <w:bottom w:val="none" w:sz="0" w:space="0" w:color="auto"/>
                <w:right w:val="none" w:sz="0" w:space="0" w:color="auto"/>
              </w:divBdr>
            </w:div>
            <w:div w:id="1648850552">
              <w:marLeft w:val="0"/>
              <w:marRight w:val="0"/>
              <w:marTop w:val="0"/>
              <w:marBottom w:val="0"/>
              <w:divBdr>
                <w:top w:val="none" w:sz="0" w:space="0" w:color="auto"/>
                <w:left w:val="none" w:sz="0" w:space="0" w:color="auto"/>
                <w:bottom w:val="none" w:sz="0" w:space="0" w:color="auto"/>
                <w:right w:val="none" w:sz="0" w:space="0" w:color="auto"/>
              </w:divBdr>
            </w:div>
            <w:div w:id="35469675">
              <w:marLeft w:val="0"/>
              <w:marRight w:val="0"/>
              <w:marTop w:val="0"/>
              <w:marBottom w:val="0"/>
              <w:divBdr>
                <w:top w:val="none" w:sz="0" w:space="0" w:color="auto"/>
                <w:left w:val="none" w:sz="0" w:space="0" w:color="auto"/>
                <w:bottom w:val="none" w:sz="0" w:space="0" w:color="auto"/>
                <w:right w:val="none" w:sz="0" w:space="0" w:color="auto"/>
              </w:divBdr>
            </w:div>
          </w:divsChild>
        </w:div>
        <w:div w:id="509174629">
          <w:marLeft w:val="0"/>
          <w:marRight w:val="0"/>
          <w:marTop w:val="0"/>
          <w:marBottom w:val="0"/>
          <w:divBdr>
            <w:top w:val="none" w:sz="0" w:space="0" w:color="auto"/>
            <w:left w:val="none" w:sz="0" w:space="0" w:color="auto"/>
            <w:bottom w:val="none" w:sz="0" w:space="0" w:color="auto"/>
            <w:right w:val="none" w:sz="0" w:space="0" w:color="auto"/>
          </w:divBdr>
          <w:divsChild>
            <w:div w:id="198707950">
              <w:marLeft w:val="0"/>
              <w:marRight w:val="0"/>
              <w:marTop w:val="0"/>
              <w:marBottom w:val="0"/>
              <w:divBdr>
                <w:top w:val="none" w:sz="0" w:space="0" w:color="auto"/>
                <w:left w:val="none" w:sz="0" w:space="0" w:color="auto"/>
                <w:bottom w:val="none" w:sz="0" w:space="0" w:color="auto"/>
                <w:right w:val="none" w:sz="0" w:space="0" w:color="auto"/>
              </w:divBdr>
            </w:div>
            <w:div w:id="1196380837">
              <w:marLeft w:val="0"/>
              <w:marRight w:val="0"/>
              <w:marTop w:val="0"/>
              <w:marBottom w:val="0"/>
              <w:divBdr>
                <w:top w:val="none" w:sz="0" w:space="0" w:color="auto"/>
                <w:left w:val="none" w:sz="0" w:space="0" w:color="auto"/>
                <w:bottom w:val="none" w:sz="0" w:space="0" w:color="auto"/>
                <w:right w:val="none" w:sz="0" w:space="0" w:color="auto"/>
              </w:divBdr>
            </w:div>
          </w:divsChild>
        </w:div>
        <w:div w:id="288322032">
          <w:marLeft w:val="0"/>
          <w:marRight w:val="0"/>
          <w:marTop w:val="0"/>
          <w:marBottom w:val="0"/>
          <w:divBdr>
            <w:top w:val="none" w:sz="0" w:space="0" w:color="auto"/>
            <w:left w:val="none" w:sz="0" w:space="0" w:color="auto"/>
            <w:bottom w:val="none" w:sz="0" w:space="0" w:color="auto"/>
            <w:right w:val="none" w:sz="0" w:space="0" w:color="auto"/>
          </w:divBdr>
          <w:divsChild>
            <w:div w:id="795834447">
              <w:marLeft w:val="0"/>
              <w:marRight w:val="0"/>
              <w:marTop w:val="0"/>
              <w:marBottom w:val="0"/>
              <w:divBdr>
                <w:top w:val="none" w:sz="0" w:space="0" w:color="auto"/>
                <w:left w:val="none" w:sz="0" w:space="0" w:color="auto"/>
                <w:bottom w:val="none" w:sz="0" w:space="0" w:color="auto"/>
                <w:right w:val="none" w:sz="0" w:space="0" w:color="auto"/>
              </w:divBdr>
            </w:div>
          </w:divsChild>
        </w:div>
        <w:div w:id="1607468814">
          <w:marLeft w:val="0"/>
          <w:marRight w:val="0"/>
          <w:marTop w:val="0"/>
          <w:marBottom w:val="0"/>
          <w:divBdr>
            <w:top w:val="none" w:sz="0" w:space="0" w:color="auto"/>
            <w:left w:val="none" w:sz="0" w:space="0" w:color="auto"/>
            <w:bottom w:val="none" w:sz="0" w:space="0" w:color="auto"/>
            <w:right w:val="none" w:sz="0" w:space="0" w:color="auto"/>
          </w:divBdr>
          <w:divsChild>
            <w:div w:id="625622371">
              <w:marLeft w:val="0"/>
              <w:marRight w:val="0"/>
              <w:marTop w:val="0"/>
              <w:marBottom w:val="0"/>
              <w:divBdr>
                <w:top w:val="none" w:sz="0" w:space="0" w:color="auto"/>
                <w:left w:val="none" w:sz="0" w:space="0" w:color="auto"/>
                <w:bottom w:val="none" w:sz="0" w:space="0" w:color="auto"/>
                <w:right w:val="none" w:sz="0" w:space="0" w:color="auto"/>
              </w:divBdr>
            </w:div>
            <w:div w:id="102846669">
              <w:marLeft w:val="0"/>
              <w:marRight w:val="0"/>
              <w:marTop w:val="0"/>
              <w:marBottom w:val="0"/>
              <w:divBdr>
                <w:top w:val="none" w:sz="0" w:space="0" w:color="auto"/>
                <w:left w:val="none" w:sz="0" w:space="0" w:color="auto"/>
                <w:bottom w:val="none" w:sz="0" w:space="0" w:color="auto"/>
                <w:right w:val="none" w:sz="0" w:space="0" w:color="auto"/>
              </w:divBdr>
            </w:div>
            <w:div w:id="1541556442">
              <w:marLeft w:val="0"/>
              <w:marRight w:val="0"/>
              <w:marTop w:val="0"/>
              <w:marBottom w:val="0"/>
              <w:divBdr>
                <w:top w:val="none" w:sz="0" w:space="0" w:color="auto"/>
                <w:left w:val="none" w:sz="0" w:space="0" w:color="auto"/>
                <w:bottom w:val="none" w:sz="0" w:space="0" w:color="auto"/>
                <w:right w:val="none" w:sz="0" w:space="0" w:color="auto"/>
              </w:divBdr>
            </w:div>
          </w:divsChild>
        </w:div>
        <w:div w:id="782573957">
          <w:marLeft w:val="0"/>
          <w:marRight w:val="0"/>
          <w:marTop w:val="0"/>
          <w:marBottom w:val="0"/>
          <w:divBdr>
            <w:top w:val="none" w:sz="0" w:space="0" w:color="auto"/>
            <w:left w:val="none" w:sz="0" w:space="0" w:color="auto"/>
            <w:bottom w:val="none" w:sz="0" w:space="0" w:color="auto"/>
            <w:right w:val="none" w:sz="0" w:space="0" w:color="auto"/>
          </w:divBdr>
          <w:divsChild>
            <w:div w:id="1076128705">
              <w:marLeft w:val="0"/>
              <w:marRight w:val="0"/>
              <w:marTop w:val="0"/>
              <w:marBottom w:val="0"/>
              <w:divBdr>
                <w:top w:val="none" w:sz="0" w:space="0" w:color="auto"/>
                <w:left w:val="none" w:sz="0" w:space="0" w:color="auto"/>
                <w:bottom w:val="none" w:sz="0" w:space="0" w:color="auto"/>
                <w:right w:val="none" w:sz="0" w:space="0" w:color="auto"/>
              </w:divBdr>
            </w:div>
            <w:div w:id="1613902662">
              <w:marLeft w:val="0"/>
              <w:marRight w:val="0"/>
              <w:marTop w:val="0"/>
              <w:marBottom w:val="0"/>
              <w:divBdr>
                <w:top w:val="none" w:sz="0" w:space="0" w:color="auto"/>
                <w:left w:val="none" w:sz="0" w:space="0" w:color="auto"/>
                <w:bottom w:val="none" w:sz="0" w:space="0" w:color="auto"/>
                <w:right w:val="none" w:sz="0" w:space="0" w:color="auto"/>
              </w:divBdr>
            </w:div>
          </w:divsChild>
        </w:div>
        <w:div w:id="1781872412">
          <w:marLeft w:val="0"/>
          <w:marRight w:val="0"/>
          <w:marTop w:val="0"/>
          <w:marBottom w:val="0"/>
          <w:divBdr>
            <w:top w:val="none" w:sz="0" w:space="0" w:color="auto"/>
            <w:left w:val="none" w:sz="0" w:space="0" w:color="auto"/>
            <w:bottom w:val="none" w:sz="0" w:space="0" w:color="auto"/>
            <w:right w:val="none" w:sz="0" w:space="0" w:color="auto"/>
          </w:divBdr>
          <w:divsChild>
            <w:div w:id="1955361401">
              <w:marLeft w:val="0"/>
              <w:marRight w:val="0"/>
              <w:marTop w:val="0"/>
              <w:marBottom w:val="0"/>
              <w:divBdr>
                <w:top w:val="none" w:sz="0" w:space="0" w:color="auto"/>
                <w:left w:val="none" w:sz="0" w:space="0" w:color="auto"/>
                <w:bottom w:val="none" w:sz="0" w:space="0" w:color="auto"/>
                <w:right w:val="none" w:sz="0" w:space="0" w:color="auto"/>
              </w:divBdr>
            </w:div>
            <w:div w:id="6922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3735">
      <w:bodyDiv w:val="1"/>
      <w:marLeft w:val="0"/>
      <w:marRight w:val="0"/>
      <w:marTop w:val="0"/>
      <w:marBottom w:val="0"/>
      <w:divBdr>
        <w:top w:val="none" w:sz="0" w:space="0" w:color="auto"/>
        <w:left w:val="none" w:sz="0" w:space="0" w:color="auto"/>
        <w:bottom w:val="none" w:sz="0" w:space="0" w:color="auto"/>
        <w:right w:val="none" w:sz="0" w:space="0" w:color="auto"/>
      </w:divBdr>
    </w:div>
    <w:div w:id="1413087485">
      <w:bodyDiv w:val="1"/>
      <w:marLeft w:val="0"/>
      <w:marRight w:val="0"/>
      <w:marTop w:val="0"/>
      <w:marBottom w:val="0"/>
      <w:divBdr>
        <w:top w:val="none" w:sz="0" w:space="0" w:color="auto"/>
        <w:left w:val="none" w:sz="0" w:space="0" w:color="auto"/>
        <w:bottom w:val="none" w:sz="0" w:space="0" w:color="auto"/>
        <w:right w:val="none" w:sz="0" w:space="0" w:color="auto"/>
      </w:divBdr>
    </w:div>
    <w:div w:id="1778595693">
      <w:bodyDiv w:val="1"/>
      <w:marLeft w:val="0"/>
      <w:marRight w:val="0"/>
      <w:marTop w:val="0"/>
      <w:marBottom w:val="0"/>
      <w:divBdr>
        <w:top w:val="none" w:sz="0" w:space="0" w:color="auto"/>
        <w:left w:val="none" w:sz="0" w:space="0" w:color="auto"/>
        <w:bottom w:val="none" w:sz="0" w:space="0" w:color="auto"/>
        <w:right w:val="none" w:sz="0" w:space="0" w:color="auto"/>
      </w:divBdr>
    </w:div>
    <w:div w:id="1860119052">
      <w:bodyDiv w:val="1"/>
      <w:marLeft w:val="0"/>
      <w:marRight w:val="0"/>
      <w:marTop w:val="0"/>
      <w:marBottom w:val="0"/>
      <w:divBdr>
        <w:top w:val="none" w:sz="0" w:space="0" w:color="auto"/>
        <w:left w:val="none" w:sz="0" w:space="0" w:color="auto"/>
        <w:bottom w:val="none" w:sz="0" w:space="0" w:color="auto"/>
        <w:right w:val="none" w:sz="0" w:space="0" w:color="auto"/>
      </w:divBdr>
    </w:div>
    <w:div w:id="1964729889">
      <w:bodyDiv w:val="1"/>
      <w:marLeft w:val="0"/>
      <w:marRight w:val="0"/>
      <w:marTop w:val="0"/>
      <w:marBottom w:val="0"/>
      <w:divBdr>
        <w:top w:val="none" w:sz="0" w:space="0" w:color="auto"/>
        <w:left w:val="none" w:sz="0" w:space="0" w:color="auto"/>
        <w:bottom w:val="none" w:sz="0" w:space="0" w:color="auto"/>
        <w:right w:val="none" w:sz="0" w:space="0" w:color="auto"/>
      </w:divBdr>
    </w:div>
    <w:div w:id="2032022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22C558ED9D464A90EE921517B438D8" ma:contentTypeVersion="4" ma:contentTypeDescription="Create a new document." ma:contentTypeScope="" ma:versionID="07cd948e651ad6869f4ce5c99468764b">
  <xsd:schema xmlns:xsd="http://www.w3.org/2001/XMLSchema" xmlns:xs="http://www.w3.org/2001/XMLSchema" xmlns:p="http://schemas.microsoft.com/office/2006/metadata/properties" xmlns:ns2="7af7a4fa-0b69-4a4f-869c-40a6e0d334b2" targetNamespace="http://schemas.microsoft.com/office/2006/metadata/properties" ma:root="true" ma:fieldsID="08a37aec140d883d205412eb2d580077" ns2:_="">
    <xsd:import namespace="7af7a4fa-0b69-4a4f-869c-40a6e0d334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7a4fa-0b69-4a4f-869c-40a6e0d33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911610-DF33-4A87-B366-9A429EB77E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EE667C-4712-45E4-9BBF-B29C73B868D7}">
  <ds:schemaRefs>
    <ds:schemaRef ds:uri="http://schemas.openxmlformats.org/officeDocument/2006/bibliography"/>
  </ds:schemaRefs>
</ds:datastoreItem>
</file>

<file path=customXml/itemProps3.xml><?xml version="1.0" encoding="utf-8"?>
<ds:datastoreItem xmlns:ds="http://schemas.openxmlformats.org/officeDocument/2006/customXml" ds:itemID="{494A319D-D4AA-45D0-9103-38A18C233739}">
  <ds:schemaRefs>
    <ds:schemaRef ds:uri="http://schemas.microsoft.com/sharepoint/v3/contenttype/forms"/>
  </ds:schemaRefs>
</ds:datastoreItem>
</file>

<file path=customXml/itemProps4.xml><?xml version="1.0" encoding="utf-8"?>
<ds:datastoreItem xmlns:ds="http://schemas.openxmlformats.org/officeDocument/2006/customXml" ds:itemID="{ECEFD191-10F5-4AB6-A4EE-C70C51FF6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f7a4fa-0b69-4a4f-869c-40a6e0d33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2638</TotalTime>
  <Pages>64</Pages>
  <Words>24762</Words>
  <Characters>141150</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MAOMAO</dc:creator>
  <cp:keywords/>
  <dc:description/>
  <cp:lastModifiedBy>Huaqing Wang</cp:lastModifiedBy>
  <cp:revision>11</cp:revision>
  <cp:lastPrinted>2025-06-12T21:17:00Z</cp:lastPrinted>
  <dcterms:created xsi:type="dcterms:W3CDTF">2025-05-22T18:20:00Z</dcterms:created>
  <dcterms:modified xsi:type="dcterms:W3CDTF">2026-06-18T17:16:00Z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2ce8cb044b1e9cf26e06e0f843fe947061776224b5d8e688fa984b203ed923db</vt:lpwstr>
  </property>
  <property fmtid="{D5CDD505-2E9C-101B-9397-08002B2CF9AE}" pid="3" name="ContentTypeId">
    <vt:lpwstr>0x0101002A22C558ED9D464A90EE921517B438D8</vt:lpwstr>
  </property>
</Properties>
</file>