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Additional file 2. Survey questionnaire (English)</w:t>
      </w:r>
    </w:p>
    <w:p>
      <w:pPr>
        <w:jc w:val="center"/>
      </w:pPr>
      <w:r>
        <w:rPr>
          <w:sz w:val="20"/>
        </w:rPr>
        <w:t>Physicians' selected knowledge indicators, attitudes/perceived competence, and perceived barriers regarding SGLT2 inhibitor prescribing for type 2 diabetes</w:t>
      </w:r>
    </w:p>
    <w:p>
      <w:r>
        <w:rPr>
          <w:b/>
        </w:rPr>
        <w:t>Instructions to participants</w:t>
      </w:r>
    </w:p>
    <w:p>
      <w:pPr>
        <w:pStyle w:val="ListBullet"/>
      </w:pPr>
      <w:r>
        <w:t>This anonymous questionnaire is intended for licensed physicians who routinely manage patients with diabetes.</w:t>
      </w:r>
    </w:p>
    <w:p>
      <w:pPr>
        <w:pStyle w:val="ListBullet"/>
      </w:pPr>
      <w:r>
        <w:t>Participation is voluntary. Completion of the questionnaire indicates consent to participate.</w:t>
      </w:r>
    </w:p>
    <w:p>
      <w:pPr>
        <w:pStyle w:val="ListBullet"/>
      </w:pPr>
      <w:r>
        <w:t>Please select one answer for each item unless otherwise specified.</w:t>
      </w:r>
    </w:p>
    <w:p>
      <w:pPr>
        <w:pStyle w:val="ListBullet"/>
      </w:pPr>
      <w:r>
        <w:t>SGLT2 = sodium-glucose cotransporter-2; T2DM = type 2 diabetes mellitus; eGFR = estimated glomerular filtration rate.</w:t>
      </w:r>
    </w:p>
    <w:p>
      <w:r>
        <w:rPr>
          <w:b/>
          <w:sz w:val="24"/>
        </w:rPr>
        <w:t>Section A. Sociodemographic and professional characteristics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</w:tblPr>
      <w:tblGrid>
        <w:gridCol w:w="4968"/>
        <w:gridCol w:w="4968"/>
      </w:tblGrid>
      <w:tr>
        <w:trPr>
          <w:tblHeader w:val="true"/>
          <w:cantSplit/>
        </w:trPr>
        <w:tc>
          <w:tcPr>
            <w:tcW w:type="dxa" w:w="5184"/>
            <w:shd w:fill="D9EAF7"/>
          </w:tcPr>
          <w:p>
            <w:pPr>
              <w:jc w:val="left"/>
            </w:pPr>
            <w:r/>
            <w:r>
              <w:rPr>
                <w:b/>
                <w:sz w:val="18"/>
              </w:rPr>
              <w:t>Item</w:t>
            </w:r>
          </w:p>
        </w:tc>
        <w:tc>
          <w:tcPr>
            <w:tcW w:type="dxa" w:w="4320"/>
            <w:shd w:fill="D9EAF7"/>
          </w:tcPr>
          <w:p>
            <w:pPr>
              <w:jc w:val="left"/>
            </w:pPr>
            <w:r/>
            <w:r>
              <w:rPr>
                <w:b/>
                <w:sz w:val="18"/>
              </w:rPr>
              <w:t>Response options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Age group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&lt;=25 years</w:t>
              <w:br/>
              <w:t>26-35 years</w:t>
              <w:br/>
              <w:t>36-45 years</w:t>
              <w:br/>
              <w:t>46-55 years</w:t>
              <w:br/>
              <w:t>&gt;55 years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Sex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Male</w:t>
              <w:br/>
              <w:t>Female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Professional status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General practitioner (GP)</w:t>
              <w:br/>
              <w:t>Resident</w:t>
              <w:br/>
              <w:t>Specialist</w:t>
              <w:br/>
              <w:t>Consultant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Years of clinical experience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&lt;1 year</w:t>
              <w:br/>
              <w:t>1-5 years</w:t>
              <w:br/>
              <w:t>6-10 years</w:t>
              <w:br/>
              <w:t>&gt;10 years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Specialty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Cardiology</w:t>
              <w:br/>
              <w:t>Endocrinology</w:t>
              <w:br/>
              <w:t>Nephrology</w:t>
              <w:br/>
              <w:t>Internal medicine</w:t>
              <w:br/>
              <w:t>Family medicine</w:t>
              <w:br/>
              <w:t>General practice</w:t>
            </w:r>
          </w:p>
        </w:tc>
      </w:tr>
    </w:tbl>
    <w:p>
      <w:r>
        <w:rPr>
          <w:b/>
          <w:sz w:val="24"/>
        </w:rPr>
        <w:t>Section B. Selected knowledge/contextual-awareness indicators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</w:tblPr>
      <w:tblGrid>
        <w:gridCol w:w="4968"/>
        <w:gridCol w:w="4968"/>
      </w:tblGrid>
      <w:tr>
        <w:trPr>
          <w:tblHeader w:val="true"/>
          <w:cantSplit/>
        </w:trPr>
        <w:tc>
          <w:tcPr>
            <w:tcW w:type="dxa" w:w="5184"/>
            <w:shd w:fill="D9EAF7"/>
          </w:tcPr>
          <w:p>
            <w:pPr>
              <w:jc w:val="left"/>
            </w:pPr>
            <w:r/>
            <w:r>
              <w:rPr>
                <w:b/>
                <w:sz w:val="18"/>
              </w:rPr>
              <w:t>Item</w:t>
            </w:r>
          </w:p>
        </w:tc>
        <w:tc>
          <w:tcPr>
            <w:tcW w:type="dxa" w:w="4320"/>
            <w:shd w:fill="D9EAF7"/>
          </w:tcPr>
          <w:p>
            <w:pPr>
              <w:jc w:val="left"/>
            </w:pPr>
            <w:r/>
            <w:r>
              <w:rPr>
                <w:b/>
                <w:sz w:val="18"/>
              </w:rPr>
              <w:t>Response options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Prevalence of T2DM among the Palestinian population (northern West Bank)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Less than 20%</w:t>
              <w:br/>
              <w:t>21-40%</w:t>
              <w:br/>
              <w:t>41-60%</w:t>
              <w:br/>
              <w:t>More than 60%</w:t>
              <w:br/>
              <w:t>I do not know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SGLT2 inhibitor can be used as a first-line drug in type 2 diabetic patients?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Patients with T2DM and evidence of diabetic kidney disease should receive SGLT2 inhibitors if not contraindicated.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SGLT2 inhibitors should not be prescribed for patients with eGFR &lt;30 mL/min/1.73 m2.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</w:tbl>
    <w:p>
      <w:r>
        <w:rPr>
          <w:b/>
        </w:rPr>
        <w:t xml:space="preserve">Scoring note used for analysis: </w:t>
      </w:r>
      <w:r>
        <w:t>Each item was scored 1 for the prespecified evidence-concordant response and 0 for all other responses. Neutral, disagree, strongly disagree, and "I do not know" responses were scored 0 unless they matched the prespecified key. The first-line item was interpreted for analysis as first-line use in selected guideline-eligible patients, not universal first-line use for all patients with T2DM.</w:t>
      </w:r>
    </w:p>
    <w:p>
      <w:r>
        <w:rPr>
          <w:b/>
          <w:sz w:val="24"/>
        </w:rPr>
        <w:t>Section C. Attitudes/perceived competence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</w:tblPr>
      <w:tblGrid>
        <w:gridCol w:w="4968"/>
        <w:gridCol w:w="4968"/>
      </w:tblGrid>
      <w:tr>
        <w:trPr>
          <w:tblHeader w:val="true"/>
          <w:cantSplit/>
        </w:trPr>
        <w:tc>
          <w:tcPr>
            <w:tcW w:type="dxa" w:w="5184"/>
            <w:shd w:fill="D9EAF7"/>
          </w:tcPr>
          <w:p>
            <w:pPr>
              <w:jc w:val="left"/>
            </w:pPr>
            <w:r/>
            <w:r>
              <w:rPr>
                <w:b/>
                <w:sz w:val="18"/>
              </w:rPr>
              <w:t>Item</w:t>
            </w:r>
          </w:p>
        </w:tc>
        <w:tc>
          <w:tcPr>
            <w:tcW w:type="dxa" w:w="4320"/>
            <w:shd w:fill="D9EAF7"/>
          </w:tcPr>
          <w:p>
            <w:pPr>
              <w:jc w:val="left"/>
            </w:pPr>
            <w:r/>
            <w:r>
              <w:rPr>
                <w:b/>
                <w:sz w:val="18"/>
              </w:rPr>
              <w:t>Response options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I have been adequately trained in the appropriate anti-diabetic medication selection in routine patient care.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I am aware of appropriate anti-diabetic medication selection in routine patient care.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I am aware of which anti-diabetic medications are associated with better morbidity and mortality profile among patients with type 2 diabetes mellitus.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I feel comfortable prescribing SGLT2 inhibitors as anti-diabetic medication.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</w:tbl>
    <w:p>
      <w:r>
        <w:rPr>
          <w:b/>
        </w:rPr>
        <w:t xml:space="preserve">Scoring note used for analysis: </w:t>
      </w:r>
      <w:r>
        <w:t>Strongly agree was scored 2, agree was scored 1, and neutral/disagree/strongly disagree were scored 0. The resulting attitude/perceived-competence score ranged from 0 to 8.</w:t>
      </w:r>
    </w:p>
    <w:p>
      <w:r>
        <w:rPr>
          <w:b/>
          <w:sz w:val="24"/>
        </w:rPr>
        <w:t>Section D. Perceived barriers toward using SGLT2 inhibitors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</w:tblPr>
      <w:tblGrid>
        <w:gridCol w:w="4968"/>
        <w:gridCol w:w="4968"/>
      </w:tblGrid>
      <w:tr>
        <w:trPr>
          <w:tblHeader w:val="true"/>
          <w:cantSplit/>
        </w:trPr>
        <w:tc>
          <w:tcPr>
            <w:tcW w:type="dxa" w:w="5184"/>
            <w:shd w:fill="D9EAF7"/>
          </w:tcPr>
          <w:p>
            <w:pPr>
              <w:jc w:val="left"/>
            </w:pPr>
            <w:r/>
            <w:r>
              <w:rPr>
                <w:b/>
                <w:sz w:val="18"/>
              </w:rPr>
              <w:t>Item</w:t>
            </w:r>
          </w:p>
        </w:tc>
        <w:tc>
          <w:tcPr>
            <w:tcW w:type="dxa" w:w="4320"/>
            <w:shd w:fill="D9EAF7"/>
          </w:tcPr>
          <w:p>
            <w:pPr>
              <w:jc w:val="left"/>
            </w:pPr>
            <w:r/>
            <w:r>
              <w:rPr>
                <w:b/>
                <w:sz w:val="18"/>
              </w:rPr>
              <w:t>Response options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Lack of knowledge about the drug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Drug's low efficacy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Drug's low safety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Side effects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Cost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Drug-drug interaction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Presence of alternative anti-diabetic medications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</w:tbl>
    <w:p>
      <w:r>
        <w:rPr>
          <w:b/>
          <w:sz w:val="24"/>
        </w:rPr>
        <w:t>Section E. Factors influencing the decision to prescribe SGLT2 inhibitors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</w:tblPr>
      <w:tblGrid>
        <w:gridCol w:w="4968"/>
        <w:gridCol w:w="4968"/>
      </w:tblGrid>
      <w:tr>
        <w:trPr>
          <w:tblHeader w:val="true"/>
          <w:cantSplit/>
        </w:trPr>
        <w:tc>
          <w:tcPr>
            <w:tcW w:type="dxa" w:w="5184"/>
            <w:shd w:fill="D9EAF7"/>
          </w:tcPr>
          <w:p>
            <w:pPr>
              <w:jc w:val="left"/>
            </w:pPr>
            <w:r/>
            <w:r>
              <w:rPr>
                <w:b/>
                <w:sz w:val="18"/>
              </w:rPr>
              <w:t>Item</w:t>
            </w:r>
          </w:p>
        </w:tc>
        <w:tc>
          <w:tcPr>
            <w:tcW w:type="dxa" w:w="4320"/>
            <w:shd w:fill="D9EAF7"/>
          </w:tcPr>
          <w:p>
            <w:pPr>
              <w:jc w:val="left"/>
            </w:pPr>
            <w:r/>
            <w:r>
              <w:rPr>
                <w:b/>
                <w:sz w:val="18"/>
              </w:rPr>
              <w:t>Response options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Patient's clinical condition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Patient preference/refusal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Clinical inertia (habitual prescribing)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  <w:tr>
        <w:trPr>
          <w:cantSplit/>
        </w:trPr>
        <w:tc>
          <w:tcPr>
            <w:tcW w:type="dxa" w:w="5184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Senior/consultant preference</w:t>
            </w:r>
          </w:p>
        </w:tc>
        <w:tc>
          <w:tcPr>
            <w:tcW w:type="dxa" w:w="432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Strongly agree</w:t>
              <w:br/>
              <w:t>Agree</w:t>
              <w:br/>
              <w:t>Neutral</w:t>
              <w:br/>
              <w:t>Disagree</w:t>
              <w:br/>
              <w:t>Strongly disagree</w:t>
            </w:r>
          </w:p>
        </w:tc>
      </w:tr>
    </w:tbl>
    <w:p>
      <w:r>
        <w:rPr>
          <w:i/>
        </w:rPr>
        <w:t>End of questionnaire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Times New Roman" w:hAnsi="Times New Roman" w:eastAsia="Times New Roman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Times New Roman" w:hAnsi="Times New Roman" w:eastAsia="Times New Roman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Times New Roman" w:hAnsi="Times New Roman" w:eastAsia="Times New Roman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Times New Roman" w:hAnsi="Times New Roman" w:eastAsia="Times New Roman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Times New Roman" w:hAnsi="Times New Roman" w:eastAsia="Times New Roman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Times New Roman" w:hAnsi="Times New Roman" w:eastAsia="Times New Roman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Times New Roman" w:hAnsi="Times New Roman" w:eastAsia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Times New Roman" w:hAnsi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Times New Roman" w:hAnsi="Times New Roman" w:eastAsia="Times New Roman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Times New Roman" w:hAnsi="Times New Roman" w:eastAsia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Times New Roman" w:hAnsi="Times New Roman" w:eastAsia="Times New Roman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Times New Roman" w:hAnsi="Times New Roman" w:eastAsia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Times New Roman" w:hAnsi="Times New Roman" w:eastAsia="Times New Roman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Times New Roman" w:hAnsi="Times New Roman" w:eastAsia="Times New Roman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Times New Roman" w:hAnsi="Times New Roman" w:eastAsia="Times New Roman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Times New Roman" w:hAnsi="Times New Roman" w:eastAsia="Times New Roman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Times New Roman" w:hAnsi="Times New Roman" w:eastAsia="Times New Roman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Times New Roman" w:hAnsi="Times New Roman" w:eastAsia="Times New Roman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Times New Roman" w:hAnsi="Times New Roman" w:eastAsia="Times New Roman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Times New Roman" w:hAnsi="Times New Roman" w:eastAsia="Times New Roman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Times New Roman" w:hAnsi="Times New Roman" w:eastAsia="Times New Roman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Times New Roman" w:hAnsi="Times New Roman" w:eastAsia="Times New Roman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Times New Roman" w:hAnsi="Times New Roman" w:eastAsia="Times New Roman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Times New Roman" w:hAnsi="Times New Roman" w:eastAsia="Times New Roman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eastAsia="Times New Roma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Times New Roman" w:hAnsi="Times New Roman" w:eastAsia="Times New Roman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Times New Roman" w:hAnsi="Times New Roman" w:eastAsia="Times New Roman"/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Times New Roman" w:hAnsi="Times New Roman" w:eastAsia="Times New Roman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Times New Roman" w:hAnsi="Times New Roman" w:eastAsia="Times New Roman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Additional file 2. Survey questionnaire (English)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