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EFFB" w14:textId="46B5BC79" w:rsidR="003B736E" w:rsidRPr="00472426" w:rsidRDefault="00000000">
      <w:pPr>
        <w:rPr>
          <w:rFonts w:ascii="Times New Roman" w:hAnsi="Times New Roman" w:cs="Times New Roman"/>
          <w:szCs w:val="22"/>
        </w:rPr>
      </w:pPr>
      <w:r w:rsidRPr="00F325A6">
        <w:rPr>
          <w:rFonts w:ascii="Times New Roman" w:hAnsi="Times New Roman" w:cs="Times New Roman"/>
          <w:b/>
          <w:bCs/>
          <w:szCs w:val="22"/>
        </w:rPr>
        <w:t>Supplementary Table S</w:t>
      </w:r>
      <w:r w:rsidR="00472426">
        <w:rPr>
          <w:rFonts w:ascii="Times New Roman" w:hAnsi="Times New Roman" w:cs="Times New Roman" w:hint="eastAsia"/>
          <w:b/>
          <w:bCs/>
          <w:szCs w:val="22"/>
        </w:rPr>
        <w:t>4</w:t>
      </w:r>
      <w:r w:rsidR="00C2455F">
        <w:rPr>
          <w:rFonts w:ascii="Times New Roman" w:hAnsi="Times New Roman" w:cs="Times New Roman" w:hint="eastAsia"/>
          <w:b/>
          <w:bCs/>
          <w:szCs w:val="22"/>
        </w:rPr>
        <w:t xml:space="preserve">. </w:t>
      </w:r>
      <w:r w:rsidR="00472426">
        <w:rPr>
          <w:rFonts w:ascii="Times New Roman" w:hAnsi="Times New Roman" w:cs="Times New Roman" w:hint="eastAsia"/>
          <w:szCs w:val="22"/>
        </w:rPr>
        <w:t xml:space="preserve">Results of KEGG functional enrichment </w:t>
      </w:r>
      <w:r w:rsidR="00472426">
        <w:rPr>
          <w:rFonts w:ascii="Times New Roman" w:hAnsi="Times New Roman" w:cs="Times New Roman"/>
          <w:szCs w:val="22"/>
        </w:rPr>
        <w:t>analysis</w:t>
      </w:r>
      <w:r w:rsidR="00472426">
        <w:rPr>
          <w:rFonts w:ascii="Times New Roman" w:hAnsi="Times New Roman" w:cs="Times New Roman" w:hint="eastAsia"/>
          <w:szCs w:val="22"/>
        </w:rPr>
        <w:t xml:space="preserve"> of differential expressed metabolites</w:t>
      </w:r>
      <w:r w:rsidR="00A5327D">
        <w:rPr>
          <w:rFonts w:ascii="Times New Roman" w:hAnsi="Times New Roman" w:cs="Times New Roman" w:hint="eastAsia"/>
          <w:szCs w:val="22"/>
        </w:rPr>
        <w:t xml:space="preserve"> (DEM)</w:t>
      </w:r>
      <w:r w:rsidR="00E048A3">
        <w:rPr>
          <w:rFonts w:ascii="Times New Roman" w:hAnsi="Times New Roman" w:cs="Times New Roman" w:hint="eastAsia"/>
          <w:szCs w:val="22"/>
        </w:rPr>
        <w:t>.</w:t>
      </w:r>
    </w:p>
    <w:tbl>
      <w:tblPr>
        <w:tblW w:w="1386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40"/>
        <w:gridCol w:w="3563"/>
        <w:gridCol w:w="3467"/>
        <w:gridCol w:w="1150"/>
        <w:gridCol w:w="850"/>
        <w:gridCol w:w="870"/>
        <w:gridCol w:w="1260"/>
        <w:gridCol w:w="1160"/>
      </w:tblGrid>
      <w:tr w:rsidR="00472426" w:rsidRPr="00472426" w14:paraId="01B450A7" w14:textId="77777777" w:rsidTr="00472426">
        <w:trPr>
          <w:trHeight w:val="560"/>
          <w:tblHeader/>
        </w:trPr>
        <w:tc>
          <w:tcPr>
            <w:tcW w:w="1540" w:type="dxa"/>
            <w:tcBorders>
              <w:top w:val="single" w:sz="8" w:space="0" w:color="auto"/>
              <w:bottom w:val="single" w:sz="6" w:space="0" w:color="auto"/>
            </w:tcBorders>
            <w:vAlign w:val="center"/>
            <w:hideMark/>
          </w:tcPr>
          <w:p w14:paraId="6D016F4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Pathway ID</w:t>
            </w:r>
          </w:p>
        </w:tc>
        <w:tc>
          <w:tcPr>
            <w:tcW w:w="3563" w:type="dxa"/>
            <w:tcBorders>
              <w:top w:val="single" w:sz="8" w:space="0" w:color="auto"/>
              <w:bottom w:val="single" w:sz="6" w:space="0" w:color="auto"/>
            </w:tcBorders>
            <w:vAlign w:val="center"/>
            <w:hideMark/>
          </w:tcPr>
          <w:p w14:paraId="6B16761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KEGG(Level_1)</w:t>
            </w:r>
          </w:p>
        </w:tc>
        <w:tc>
          <w:tcPr>
            <w:tcW w:w="3467" w:type="dxa"/>
            <w:tcBorders>
              <w:top w:val="single" w:sz="8" w:space="0" w:color="auto"/>
              <w:bottom w:val="single" w:sz="6" w:space="0" w:color="auto"/>
            </w:tcBorders>
            <w:vAlign w:val="center"/>
            <w:hideMark/>
          </w:tcPr>
          <w:p w14:paraId="57BE44D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Pathway name</w:t>
            </w:r>
          </w:p>
        </w:tc>
        <w:tc>
          <w:tcPr>
            <w:tcW w:w="1150" w:type="dxa"/>
            <w:tcBorders>
              <w:top w:val="single" w:sz="8" w:space="0" w:color="auto"/>
              <w:bottom w:val="single" w:sz="6" w:space="0" w:color="auto"/>
            </w:tcBorders>
            <w:vAlign w:val="center"/>
            <w:hideMark/>
          </w:tcPr>
          <w:p w14:paraId="39632A1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Rich factor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6" w:space="0" w:color="auto"/>
            </w:tcBorders>
            <w:vAlign w:val="center"/>
            <w:hideMark/>
          </w:tcPr>
          <w:p w14:paraId="2C52B39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 value</w:t>
            </w:r>
          </w:p>
        </w:tc>
        <w:tc>
          <w:tcPr>
            <w:tcW w:w="870" w:type="dxa"/>
            <w:tcBorders>
              <w:top w:val="single" w:sz="8" w:space="0" w:color="auto"/>
              <w:bottom w:val="single" w:sz="6" w:space="0" w:color="auto"/>
            </w:tcBorders>
            <w:vAlign w:val="center"/>
            <w:hideMark/>
          </w:tcPr>
          <w:p w14:paraId="7BC0454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Q value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6" w:space="0" w:color="auto"/>
            </w:tcBorders>
            <w:vAlign w:val="center"/>
            <w:hideMark/>
          </w:tcPr>
          <w:p w14:paraId="1A2F8393" w14:textId="2BAA83C5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Number of DEM</w:t>
            </w:r>
            <w:r w:rsidRPr="0047242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(up)</w:t>
            </w:r>
          </w:p>
        </w:tc>
        <w:tc>
          <w:tcPr>
            <w:tcW w:w="1160" w:type="dxa"/>
            <w:tcBorders>
              <w:top w:val="single" w:sz="8" w:space="0" w:color="auto"/>
              <w:bottom w:val="single" w:sz="6" w:space="0" w:color="auto"/>
            </w:tcBorders>
            <w:vAlign w:val="center"/>
            <w:hideMark/>
          </w:tcPr>
          <w:p w14:paraId="2BD767C2" w14:textId="478DF402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Number of DEM</w:t>
            </w:r>
            <w:r w:rsidRPr="0047242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4724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(down)</w:t>
            </w:r>
          </w:p>
        </w:tc>
      </w:tr>
      <w:tr w:rsidR="00472426" w:rsidRPr="00472426" w14:paraId="7E1978B0" w14:textId="77777777" w:rsidTr="00472426">
        <w:trPr>
          <w:trHeight w:val="560"/>
        </w:trPr>
        <w:tc>
          <w:tcPr>
            <w:tcW w:w="154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D86BB9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ko00571</w:t>
            </w:r>
          </w:p>
        </w:tc>
        <w:tc>
          <w:tcPr>
            <w:tcW w:w="3563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4D8183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tcBorders>
              <w:top w:val="single" w:sz="6" w:space="0" w:color="auto"/>
            </w:tcBorders>
            <w:vAlign w:val="center"/>
            <w:hideMark/>
          </w:tcPr>
          <w:p w14:paraId="61256D3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Lipoarabinomannan (LAM) biosynthesis</w:t>
            </w:r>
          </w:p>
        </w:tc>
        <w:tc>
          <w:tcPr>
            <w:tcW w:w="115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3DBA72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1.50</w:t>
            </w:r>
          </w:p>
        </w:tc>
        <w:tc>
          <w:tcPr>
            <w:tcW w:w="85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CA86AA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4100FE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740356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54E0B6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11B8B97F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237F03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ko00564</w:t>
            </w:r>
          </w:p>
        </w:tc>
        <w:tc>
          <w:tcPr>
            <w:tcW w:w="3563" w:type="dxa"/>
            <w:noWrap/>
            <w:vAlign w:val="center"/>
            <w:hideMark/>
          </w:tcPr>
          <w:p w14:paraId="27069C8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43AFFC9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Glycerophospholipid metabolism</w:t>
            </w:r>
          </w:p>
        </w:tc>
        <w:tc>
          <w:tcPr>
            <w:tcW w:w="1150" w:type="dxa"/>
            <w:noWrap/>
            <w:vAlign w:val="center"/>
            <w:hideMark/>
          </w:tcPr>
          <w:p w14:paraId="517A68B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</w:t>
            </w:r>
          </w:p>
        </w:tc>
        <w:tc>
          <w:tcPr>
            <w:tcW w:w="850" w:type="dxa"/>
            <w:noWrap/>
            <w:vAlign w:val="center"/>
            <w:hideMark/>
          </w:tcPr>
          <w:p w14:paraId="600F832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noWrap/>
            <w:vAlign w:val="center"/>
            <w:hideMark/>
          </w:tcPr>
          <w:p w14:paraId="4E28419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796A364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1160" w:type="dxa"/>
            <w:noWrap/>
            <w:vAlign w:val="center"/>
            <w:hideMark/>
          </w:tcPr>
          <w:p w14:paraId="7AB1CAA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</w:tr>
      <w:tr w:rsidR="00472426" w:rsidRPr="00472426" w14:paraId="38AAC15C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6B0F99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ko05231</w:t>
            </w:r>
          </w:p>
        </w:tc>
        <w:tc>
          <w:tcPr>
            <w:tcW w:w="3563" w:type="dxa"/>
            <w:noWrap/>
            <w:vAlign w:val="center"/>
            <w:hideMark/>
          </w:tcPr>
          <w:p w14:paraId="7E64792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Human Diseases</w:t>
            </w:r>
          </w:p>
        </w:tc>
        <w:tc>
          <w:tcPr>
            <w:tcW w:w="3467" w:type="dxa"/>
            <w:vAlign w:val="center"/>
            <w:hideMark/>
          </w:tcPr>
          <w:p w14:paraId="6F8A042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Choline metabolism in cancer</w:t>
            </w:r>
          </w:p>
        </w:tc>
        <w:tc>
          <w:tcPr>
            <w:tcW w:w="1150" w:type="dxa"/>
            <w:noWrap/>
            <w:vAlign w:val="center"/>
            <w:hideMark/>
          </w:tcPr>
          <w:p w14:paraId="1CCEEED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0.36</w:t>
            </w:r>
          </w:p>
        </w:tc>
        <w:tc>
          <w:tcPr>
            <w:tcW w:w="850" w:type="dxa"/>
            <w:noWrap/>
            <w:vAlign w:val="center"/>
            <w:hideMark/>
          </w:tcPr>
          <w:p w14:paraId="49AC91E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noWrap/>
            <w:vAlign w:val="center"/>
            <w:hideMark/>
          </w:tcPr>
          <w:p w14:paraId="7C65494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54B992F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noWrap/>
            <w:vAlign w:val="center"/>
            <w:hideMark/>
          </w:tcPr>
          <w:p w14:paraId="6E47198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</w:tr>
      <w:tr w:rsidR="00472426" w:rsidRPr="00472426" w14:paraId="4C864928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9C8A93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ko04136</w:t>
            </w:r>
          </w:p>
        </w:tc>
        <w:tc>
          <w:tcPr>
            <w:tcW w:w="3563" w:type="dxa"/>
            <w:noWrap/>
            <w:vAlign w:val="center"/>
            <w:hideMark/>
          </w:tcPr>
          <w:p w14:paraId="720F43D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Cellular Processes</w:t>
            </w:r>
          </w:p>
        </w:tc>
        <w:tc>
          <w:tcPr>
            <w:tcW w:w="3467" w:type="dxa"/>
            <w:vAlign w:val="center"/>
            <w:hideMark/>
          </w:tcPr>
          <w:p w14:paraId="4EAA922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Autophagy - other</w:t>
            </w:r>
          </w:p>
        </w:tc>
        <w:tc>
          <w:tcPr>
            <w:tcW w:w="1150" w:type="dxa"/>
            <w:noWrap/>
            <w:vAlign w:val="center"/>
            <w:hideMark/>
          </w:tcPr>
          <w:p w14:paraId="00B5D68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5AF3FC9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noWrap/>
            <w:vAlign w:val="center"/>
            <w:hideMark/>
          </w:tcPr>
          <w:p w14:paraId="5D2F11B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71C86AE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noWrap/>
            <w:vAlign w:val="center"/>
            <w:hideMark/>
          </w:tcPr>
          <w:p w14:paraId="30B9372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75FF8D68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6B169E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ko04138</w:t>
            </w:r>
          </w:p>
        </w:tc>
        <w:tc>
          <w:tcPr>
            <w:tcW w:w="3563" w:type="dxa"/>
            <w:noWrap/>
            <w:vAlign w:val="center"/>
            <w:hideMark/>
          </w:tcPr>
          <w:p w14:paraId="6F37E19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Cellular Processes</w:t>
            </w:r>
          </w:p>
        </w:tc>
        <w:tc>
          <w:tcPr>
            <w:tcW w:w="3467" w:type="dxa"/>
            <w:vAlign w:val="center"/>
            <w:hideMark/>
          </w:tcPr>
          <w:p w14:paraId="4DD6133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Autophagy - yeast</w:t>
            </w:r>
          </w:p>
        </w:tc>
        <w:tc>
          <w:tcPr>
            <w:tcW w:w="1150" w:type="dxa"/>
            <w:noWrap/>
            <w:vAlign w:val="center"/>
            <w:hideMark/>
          </w:tcPr>
          <w:p w14:paraId="28AB985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59FF40E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noWrap/>
            <w:vAlign w:val="center"/>
            <w:hideMark/>
          </w:tcPr>
          <w:p w14:paraId="3068CF5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3FE6B05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noWrap/>
            <w:vAlign w:val="center"/>
            <w:hideMark/>
          </w:tcPr>
          <w:p w14:paraId="1006F55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5A6C38AE" w14:textId="77777777" w:rsidTr="00472426">
        <w:trPr>
          <w:trHeight w:val="560"/>
        </w:trPr>
        <w:tc>
          <w:tcPr>
            <w:tcW w:w="1540" w:type="dxa"/>
            <w:noWrap/>
            <w:vAlign w:val="center"/>
            <w:hideMark/>
          </w:tcPr>
          <w:p w14:paraId="67E0B77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ko00563</w:t>
            </w:r>
          </w:p>
        </w:tc>
        <w:tc>
          <w:tcPr>
            <w:tcW w:w="3563" w:type="dxa"/>
            <w:noWrap/>
            <w:vAlign w:val="center"/>
            <w:hideMark/>
          </w:tcPr>
          <w:p w14:paraId="32EAD3E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75D01AE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Glycosylphosphatidylinositol (GPI)-anchor biosynthesis</w:t>
            </w:r>
          </w:p>
        </w:tc>
        <w:tc>
          <w:tcPr>
            <w:tcW w:w="1150" w:type="dxa"/>
            <w:noWrap/>
            <w:vAlign w:val="center"/>
            <w:hideMark/>
          </w:tcPr>
          <w:p w14:paraId="4BA630B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</w:t>
            </w:r>
          </w:p>
        </w:tc>
        <w:tc>
          <w:tcPr>
            <w:tcW w:w="850" w:type="dxa"/>
            <w:noWrap/>
            <w:vAlign w:val="center"/>
            <w:hideMark/>
          </w:tcPr>
          <w:p w14:paraId="41A8D4D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noWrap/>
            <w:vAlign w:val="center"/>
            <w:hideMark/>
          </w:tcPr>
          <w:p w14:paraId="04FA4AE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1118FB2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noWrap/>
            <w:vAlign w:val="center"/>
            <w:hideMark/>
          </w:tcPr>
          <w:p w14:paraId="0667E29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4E0A463D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4C7612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ko05132</w:t>
            </w:r>
          </w:p>
        </w:tc>
        <w:tc>
          <w:tcPr>
            <w:tcW w:w="3563" w:type="dxa"/>
            <w:noWrap/>
            <w:vAlign w:val="center"/>
            <w:hideMark/>
          </w:tcPr>
          <w:p w14:paraId="6FE6C4E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Human Diseases</w:t>
            </w:r>
          </w:p>
        </w:tc>
        <w:tc>
          <w:tcPr>
            <w:tcW w:w="3467" w:type="dxa"/>
            <w:vAlign w:val="center"/>
            <w:hideMark/>
          </w:tcPr>
          <w:p w14:paraId="031C7A1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Salmonella infection</w:t>
            </w:r>
          </w:p>
        </w:tc>
        <w:tc>
          <w:tcPr>
            <w:tcW w:w="1150" w:type="dxa"/>
            <w:noWrap/>
            <w:vAlign w:val="center"/>
            <w:hideMark/>
          </w:tcPr>
          <w:p w14:paraId="768438E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0.60</w:t>
            </w:r>
          </w:p>
        </w:tc>
        <w:tc>
          <w:tcPr>
            <w:tcW w:w="850" w:type="dxa"/>
            <w:noWrap/>
            <w:vAlign w:val="center"/>
            <w:hideMark/>
          </w:tcPr>
          <w:p w14:paraId="498764B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noWrap/>
            <w:vAlign w:val="center"/>
            <w:hideMark/>
          </w:tcPr>
          <w:p w14:paraId="6A2E870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15FF289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noWrap/>
            <w:vAlign w:val="center"/>
            <w:hideMark/>
          </w:tcPr>
          <w:p w14:paraId="78C58EF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0D0E8340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7B35681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ko04140</w:t>
            </w:r>
          </w:p>
        </w:tc>
        <w:tc>
          <w:tcPr>
            <w:tcW w:w="3563" w:type="dxa"/>
            <w:noWrap/>
            <w:vAlign w:val="center"/>
            <w:hideMark/>
          </w:tcPr>
          <w:p w14:paraId="4AE7946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Cellular Processes</w:t>
            </w:r>
          </w:p>
        </w:tc>
        <w:tc>
          <w:tcPr>
            <w:tcW w:w="3467" w:type="dxa"/>
            <w:vAlign w:val="center"/>
            <w:hideMark/>
          </w:tcPr>
          <w:p w14:paraId="3134D6B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Autophagy - animal</w:t>
            </w:r>
          </w:p>
        </w:tc>
        <w:tc>
          <w:tcPr>
            <w:tcW w:w="1150" w:type="dxa"/>
            <w:noWrap/>
            <w:vAlign w:val="center"/>
            <w:hideMark/>
          </w:tcPr>
          <w:p w14:paraId="531DCCC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0.50</w:t>
            </w:r>
          </w:p>
        </w:tc>
        <w:tc>
          <w:tcPr>
            <w:tcW w:w="850" w:type="dxa"/>
            <w:noWrap/>
            <w:vAlign w:val="center"/>
            <w:hideMark/>
          </w:tcPr>
          <w:p w14:paraId="39468F4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noWrap/>
            <w:vAlign w:val="center"/>
            <w:hideMark/>
          </w:tcPr>
          <w:p w14:paraId="62F3FA4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44D53AF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noWrap/>
            <w:vAlign w:val="center"/>
            <w:hideMark/>
          </w:tcPr>
          <w:p w14:paraId="43436F3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5572F75D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0CDE1C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ko05152</w:t>
            </w:r>
          </w:p>
        </w:tc>
        <w:tc>
          <w:tcPr>
            <w:tcW w:w="3563" w:type="dxa"/>
            <w:noWrap/>
            <w:vAlign w:val="center"/>
            <w:hideMark/>
          </w:tcPr>
          <w:p w14:paraId="755C4E1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Human Diseases</w:t>
            </w:r>
          </w:p>
        </w:tc>
        <w:tc>
          <w:tcPr>
            <w:tcW w:w="3467" w:type="dxa"/>
            <w:vAlign w:val="center"/>
            <w:hideMark/>
          </w:tcPr>
          <w:p w14:paraId="712D83C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Tuberculosis</w:t>
            </w:r>
          </w:p>
        </w:tc>
        <w:tc>
          <w:tcPr>
            <w:tcW w:w="1150" w:type="dxa"/>
            <w:noWrap/>
            <w:vAlign w:val="center"/>
            <w:hideMark/>
          </w:tcPr>
          <w:p w14:paraId="7A264FF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0.33</w:t>
            </w:r>
          </w:p>
        </w:tc>
        <w:tc>
          <w:tcPr>
            <w:tcW w:w="850" w:type="dxa"/>
            <w:noWrap/>
            <w:vAlign w:val="center"/>
            <w:hideMark/>
          </w:tcPr>
          <w:p w14:paraId="2AD6F11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noWrap/>
            <w:vAlign w:val="center"/>
            <w:hideMark/>
          </w:tcPr>
          <w:p w14:paraId="12EB5C3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6A3D7C8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noWrap/>
            <w:vAlign w:val="center"/>
            <w:hideMark/>
          </w:tcPr>
          <w:p w14:paraId="53E00D8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36FA46EE" w14:textId="77777777" w:rsidTr="00472426">
        <w:trPr>
          <w:trHeight w:val="280"/>
        </w:trPr>
        <w:tc>
          <w:tcPr>
            <w:tcW w:w="154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6887B0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ko00562</w:t>
            </w:r>
          </w:p>
        </w:tc>
        <w:tc>
          <w:tcPr>
            <w:tcW w:w="3563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CE4D05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tcBorders>
              <w:bottom w:val="single" w:sz="6" w:space="0" w:color="auto"/>
            </w:tcBorders>
            <w:vAlign w:val="center"/>
            <w:hideMark/>
          </w:tcPr>
          <w:p w14:paraId="6119DC7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Inositol phosphate metabolism</w:t>
            </w:r>
          </w:p>
        </w:tc>
        <w:tc>
          <w:tcPr>
            <w:tcW w:w="115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82CB8C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6B9461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CC2C91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7A9E81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11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C39F85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434C90CE" w14:textId="77777777" w:rsidTr="00472426">
        <w:trPr>
          <w:trHeight w:val="560"/>
        </w:trPr>
        <w:tc>
          <w:tcPr>
            <w:tcW w:w="154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A7FD9F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ko04070</w:t>
            </w:r>
          </w:p>
        </w:tc>
        <w:tc>
          <w:tcPr>
            <w:tcW w:w="3563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5D90FA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Environmental Information Processing</w:t>
            </w:r>
          </w:p>
        </w:tc>
        <w:tc>
          <w:tcPr>
            <w:tcW w:w="3467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033B35D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Phosphatidylinositol signaling system</w:t>
            </w:r>
          </w:p>
        </w:tc>
        <w:tc>
          <w:tcPr>
            <w:tcW w:w="115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18E4D3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B34AFA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宋体" w:eastAsia="宋体" w:hAnsi="宋体" w:cs="Times New Roman"/>
                <w:color w:val="000000"/>
                <w:kern w:val="0"/>
                <w:szCs w:val="22"/>
                <w14:ligatures w14:val="none"/>
              </w:rPr>
              <w:t>＜</w:t>
            </w: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87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F42F8B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0.0001 </w:t>
            </w:r>
          </w:p>
        </w:tc>
        <w:tc>
          <w:tcPr>
            <w:tcW w:w="126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74BC7D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113F452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54CC566E" w14:textId="77777777" w:rsidTr="00472426">
        <w:trPr>
          <w:trHeight w:val="280"/>
        </w:trPr>
        <w:tc>
          <w:tcPr>
            <w:tcW w:w="1540" w:type="dxa"/>
            <w:tcBorders>
              <w:top w:val="nil"/>
            </w:tcBorders>
            <w:noWrap/>
            <w:vAlign w:val="center"/>
            <w:hideMark/>
          </w:tcPr>
          <w:p w14:paraId="6B5C0C0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ko00592</w:t>
            </w:r>
          </w:p>
        </w:tc>
        <w:tc>
          <w:tcPr>
            <w:tcW w:w="3563" w:type="dxa"/>
            <w:tcBorders>
              <w:top w:val="nil"/>
            </w:tcBorders>
            <w:noWrap/>
            <w:vAlign w:val="center"/>
            <w:hideMark/>
          </w:tcPr>
          <w:p w14:paraId="454700B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tcBorders>
              <w:top w:val="nil"/>
            </w:tcBorders>
            <w:vAlign w:val="center"/>
            <w:hideMark/>
          </w:tcPr>
          <w:p w14:paraId="4FF2B2D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alpha-Linolenic acid metabolism</w:t>
            </w:r>
          </w:p>
        </w:tc>
        <w:tc>
          <w:tcPr>
            <w:tcW w:w="1150" w:type="dxa"/>
            <w:tcBorders>
              <w:top w:val="nil"/>
            </w:tcBorders>
            <w:noWrap/>
            <w:vAlign w:val="center"/>
            <w:hideMark/>
          </w:tcPr>
          <w:p w14:paraId="2CC487F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</w:tcBorders>
            <w:noWrap/>
            <w:vAlign w:val="center"/>
            <w:hideMark/>
          </w:tcPr>
          <w:p w14:paraId="0AA1446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0.0001 </w:t>
            </w:r>
          </w:p>
        </w:tc>
        <w:tc>
          <w:tcPr>
            <w:tcW w:w="870" w:type="dxa"/>
            <w:tcBorders>
              <w:top w:val="nil"/>
            </w:tcBorders>
            <w:noWrap/>
            <w:vAlign w:val="center"/>
            <w:hideMark/>
          </w:tcPr>
          <w:p w14:paraId="67CB1C2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0.0003 </w:t>
            </w:r>
          </w:p>
        </w:tc>
        <w:tc>
          <w:tcPr>
            <w:tcW w:w="1260" w:type="dxa"/>
            <w:tcBorders>
              <w:top w:val="nil"/>
            </w:tcBorders>
            <w:noWrap/>
            <w:vAlign w:val="center"/>
            <w:hideMark/>
          </w:tcPr>
          <w:p w14:paraId="76040F7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tcBorders>
              <w:top w:val="nil"/>
            </w:tcBorders>
            <w:noWrap/>
            <w:vAlign w:val="center"/>
            <w:hideMark/>
          </w:tcPr>
          <w:p w14:paraId="14D1EF0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</w:tr>
      <w:tr w:rsidR="00472426" w:rsidRPr="00472426" w14:paraId="75FA2DFC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E1CA73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ko04148</w:t>
            </w:r>
          </w:p>
        </w:tc>
        <w:tc>
          <w:tcPr>
            <w:tcW w:w="3563" w:type="dxa"/>
            <w:noWrap/>
            <w:vAlign w:val="center"/>
            <w:hideMark/>
          </w:tcPr>
          <w:p w14:paraId="6C476FA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Cellular Processes</w:t>
            </w:r>
          </w:p>
        </w:tc>
        <w:tc>
          <w:tcPr>
            <w:tcW w:w="3467" w:type="dxa"/>
            <w:vAlign w:val="center"/>
            <w:hideMark/>
          </w:tcPr>
          <w:p w14:paraId="0B93138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Efferocytosis</w:t>
            </w:r>
          </w:p>
        </w:tc>
        <w:tc>
          <w:tcPr>
            <w:tcW w:w="1150" w:type="dxa"/>
            <w:noWrap/>
            <w:vAlign w:val="center"/>
            <w:hideMark/>
          </w:tcPr>
          <w:p w14:paraId="24606B1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</w:t>
            </w:r>
          </w:p>
        </w:tc>
        <w:tc>
          <w:tcPr>
            <w:tcW w:w="850" w:type="dxa"/>
            <w:noWrap/>
            <w:vAlign w:val="center"/>
            <w:hideMark/>
          </w:tcPr>
          <w:p w14:paraId="21FA58A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0.0008 </w:t>
            </w:r>
          </w:p>
        </w:tc>
        <w:tc>
          <w:tcPr>
            <w:tcW w:w="870" w:type="dxa"/>
            <w:noWrap/>
            <w:vAlign w:val="center"/>
            <w:hideMark/>
          </w:tcPr>
          <w:p w14:paraId="1C27068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0.0018 </w:t>
            </w:r>
          </w:p>
        </w:tc>
        <w:tc>
          <w:tcPr>
            <w:tcW w:w="1260" w:type="dxa"/>
            <w:noWrap/>
            <w:vAlign w:val="center"/>
            <w:hideMark/>
          </w:tcPr>
          <w:p w14:paraId="20336F4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160" w:type="dxa"/>
            <w:noWrap/>
            <w:vAlign w:val="center"/>
            <w:hideMark/>
          </w:tcPr>
          <w:p w14:paraId="7040834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27A273C2" w14:textId="77777777" w:rsidTr="00472426">
        <w:trPr>
          <w:trHeight w:val="560"/>
        </w:trPr>
        <w:tc>
          <w:tcPr>
            <w:tcW w:w="1540" w:type="dxa"/>
            <w:noWrap/>
            <w:vAlign w:val="center"/>
            <w:hideMark/>
          </w:tcPr>
          <w:p w14:paraId="19C3170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ko04723</w:t>
            </w:r>
          </w:p>
        </w:tc>
        <w:tc>
          <w:tcPr>
            <w:tcW w:w="3563" w:type="dxa"/>
            <w:noWrap/>
            <w:vAlign w:val="center"/>
            <w:hideMark/>
          </w:tcPr>
          <w:p w14:paraId="6C584D5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Organismal Systems</w:t>
            </w:r>
          </w:p>
        </w:tc>
        <w:tc>
          <w:tcPr>
            <w:tcW w:w="3467" w:type="dxa"/>
            <w:vAlign w:val="center"/>
            <w:hideMark/>
          </w:tcPr>
          <w:p w14:paraId="129B4FC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Retrograde endocannabinoid signaling</w:t>
            </w:r>
          </w:p>
        </w:tc>
        <w:tc>
          <w:tcPr>
            <w:tcW w:w="1150" w:type="dxa"/>
            <w:noWrap/>
            <w:vAlign w:val="center"/>
            <w:hideMark/>
          </w:tcPr>
          <w:p w14:paraId="6B5165F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</w:t>
            </w:r>
          </w:p>
        </w:tc>
        <w:tc>
          <w:tcPr>
            <w:tcW w:w="850" w:type="dxa"/>
            <w:noWrap/>
            <w:vAlign w:val="center"/>
            <w:hideMark/>
          </w:tcPr>
          <w:p w14:paraId="2CC2275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0.0009 </w:t>
            </w:r>
          </w:p>
        </w:tc>
        <w:tc>
          <w:tcPr>
            <w:tcW w:w="870" w:type="dxa"/>
            <w:noWrap/>
            <w:vAlign w:val="center"/>
            <w:hideMark/>
          </w:tcPr>
          <w:p w14:paraId="2F6C612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0.0019 </w:t>
            </w:r>
          </w:p>
        </w:tc>
        <w:tc>
          <w:tcPr>
            <w:tcW w:w="1260" w:type="dxa"/>
            <w:noWrap/>
            <w:vAlign w:val="center"/>
            <w:hideMark/>
          </w:tcPr>
          <w:p w14:paraId="6BD86E4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690CB5A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</w:tr>
      <w:tr w:rsidR="00472426" w:rsidRPr="00472426" w14:paraId="0F3E5EE6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E3F9F0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ko00591</w:t>
            </w:r>
          </w:p>
        </w:tc>
        <w:tc>
          <w:tcPr>
            <w:tcW w:w="3563" w:type="dxa"/>
            <w:noWrap/>
            <w:vAlign w:val="center"/>
            <w:hideMark/>
          </w:tcPr>
          <w:p w14:paraId="09C3FF2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3F200C1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Linoleic acid metabolism</w:t>
            </w:r>
          </w:p>
        </w:tc>
        <w:tc>
          <w:tcPr>
            <w:tcW w:w="1150" w:type="dxa"/>
            <w:noWrap/>
            <w:vAlign w:val="center"/>
            <w:hideMark/>
          </w:tcPr>
          <w:p w14:paraId="4B7D1D3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</w:t>
            </w:r>
          </w:p>
        </w:tc>
        <w:tc>
          <w:tcPr>
            <w:tcW w:w="850" w:type="dxa"/>
            <w:noWrap/>
            <w:vAlign w:val="center"/>
            <w:hideMark/>
          </w:tcPr>
          <w:p w14:paraId="19D74DD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0.0019 </w:t>
            </w:r>
          </w:p>
        </w:tc>
        <w:tc>
          <w:tcPr>
            <w:tcW w:w="870" w:type="dxa"/>
            <w:noWrap/>
            <w:vAlign w:val="center"/>
            <w:hideMark/>
          </w:tcPr>
          <w:p w14:paraId="73D19F5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0.0038 </w:t>
            </w:r>
          </w:p>
        </w:tc>
        <w:tc>
          <w:tcPr>
            <w:tcW w:w="1260" w:type="dxa"/>
            <w:noWrap/>
            <w:vAlign w:val="center"/>
            <w:hideMark/>
          </w:tcPr>
          <w:p w14:paraId="4BDAF14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2967D40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</w:tr>
      <w:tr w:rsidR="00472426" w:rsidRPr="00472426" w14:paraId="63A14DFE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66CB5A2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ko00590</w:t>
            </w:r>
          </w:p>
        </w:tc>
        <w:tc>
          <w:tcPr>
            <w:tcW w:w="3563" w:type="dxa"/>
            <w:noWrap/>
            <w:vAlign w:val="center"/>
            <w:hideMark/>
          </w:tcPr>
          <w:p w14:paraId="224F21C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50D08AD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Arachidonic acid metabolism</w:t>
            </w:r>
          </w:p>
        </w:tc>
        <w:tc>
          <w:tcPr>
            <w:tcW w:w="1150" w:type="dxa"/>
            <w:noWrap/>
            <w:vAlign w:val="center"/>
            <w:hideMark/>
          </w:tcPr>
          <w:p w14:paraId="6B6A497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</w:t>
            </w:r>
          </w:p>
        </w:tc>
        <w:tc>
          <w:tcPr>
            <w:tcW w:w="850" w:type="dxa"/>
            <w:noWrap/>
            <w:vAlign w:val="center"/>
            <w:hideMark/>
          </w:tcPr>
          <w:p w14:paraId="6792513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0.0141 </w:t>
            </w:r>
          </w:p>
        </w:tc>
        <w:tc>
          <w:tcPr>
            <w:tcW w:w="870" w:type="dxa"/>
            <w:noWrap/>
            <w:vAlign w:val="center"/>
            <w:hideMark/>
          </w:tcPr>
          <w:p w14:paraId="7343BC1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0.0274 </w:t>
            </w:r>
          </w:p>
        </w:tc>
        <w:tc>
          <w:tcPr>
            <w:tcW w:w="1260" w:type="dxa"/>
            <w:noWrap/>
            <w:vAlign w:val="center"/>
            <w:hideMark/>
          </w:tcPr>
          <w:p w14:paraId="0892E4B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065E1D9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</w:tr>
      <w:tr w:rsidR="00472426" w:rsidRPr="00472426" w14:paraId="50603EA2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E39EEF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ko04217</w:t>
            </w:r>
          </w:p>
        </w:tc>
        <w:tc>
          <w:tcPr>
            <w:tcW w:w="3563" w:type="dxa"/>
            <w:noWrap/>
            <w:vAlign w:val="center"/>
            <w:hideMark/>
          </w:tcPr>
          <w:p w14:paraId="4F90CCC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Cellular Processes</w:t>
            </w:r>
          </w:p>
        </w:tc>
        <w:tc>
          <w:tcPr>
            <w:tcW w:w="3467" w:type="dxa"/>
            <w:vAlign w:val="center"/>
            <w:hideMark/>
          </w:tcPr>
          <w:p w14:paraId="010CA25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Necroptosis</w:t>
            </w:r>
          </w:p>
        </w:tc>
        <w:tc>
          <w:tcPr>
            <w:tcW w:w="1150" w:type="dxa"/>
            <w:noWrap/>
            <w:vAlign w:val="center"/>
            <w:hideMark/>
          </w:tcPr>
          <w:p w14:paraId="5CBDD33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0.10</w:t>
            </w:r>
          </w:p>
        </w:tc>
        <w:tc>
          <w:tcPr>
            <w:tcW w:w="850" w:type="dxa"/>
            <w:noWrap/>
            <w:vAlign w:val="center"/>
            <w:hideMark/>
          </w:tcPr>
          <w:p w14:paraId="795C50A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0.0231 </w:t>
            </w:r>
          </w:p>
        </w:tc>
        <w:tc>
          <w:tcPr>
            <w:tcW w:w="870" w:type="dxa"/>
            <w:noWrap/>
            <w:vAlign w:val="center"/>
            <w:hideMark/>
          </w:tcPr>
          <w:p w14:paraId="658FD98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0.0422 </w:t>
            </w:r>
          </w:p>
        </w:tc>
        <w:tc>
          <w:tcPr>
            <w:tcW w:w="1260" w:type="dxa"/>
            <w:noWrap/>
            <w:vAlign w:val="center"/>
            <w:hideMark/>
          </w:tcPr>
          <w:p w14:paraId="5A992AC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410AA4C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32FBDBC5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174FAC9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ko00552</w:t>
            </w:r>
          </w:p>
        </w:tc>
        <w:tc>
          <w:tcPr>
            <w:tcW w:w="3563" w:type="dxa"/>
            <w:noWrap/>
            <w:vAlign w:val="center"/>
            <w:hideMark/>
          </w:tcPr>
          <w:p w14:paraId="669DBBC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4C38C83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Teichoic acid biosynthesis</w:t>
            </w:r>
          </w:p>
        </w:tc>
        <w:tc>
          <w:tcPr>
            <w:tcW w:w="1150" w:type="dxa"/>
            <w:noWrap/>
            <w:vAlign w:val="center"/>
            <w:hideMark/>
          </w:tcPr>
          <w:p w14:paraId="3965851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0.08</w:t>
            </w:r>
          </w:p>
        </w:tc>
        <w:tc>
          <w:tcPr>
            <w:tcW w:w="850" w:type="dxa"/>
            <w:noWrap/>
            <w:vAlign w:val="center"/>
            <w:hideMark/>
          </w:tcPr>
          <w:p w14:paraId="06AF125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0.0277 </w:t>
            </w:r>
          </w:p>
        </w:tc>
        <w:tc>
          <w:tcPr>
            <w:tcW w:w="870" w:type="dxa"/>
            <w:noWrap/>
            <w:vAlign w:val="center"/>
            <w:hideMark/>
          </w:tcPr>
          <w:p w14:paraId="055FE87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0.0477 </w:t>
            </w:r>
          </w:p>
        </w:tc>
        <w:tc>
          <w:tcPr>
            <w:tcW w:w="1260" w:type="dxa"/>
            <w:noWrap/>
            <w:vAlign w:val="center"/>
            <w:hideMark/>
          </w:tcPr>
          <w:p w14:paraId="4B666BB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333FD5D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1E1E381D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32AEAA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ko04071</w:t>
            </w:r>
          </w:p>
        </w:tc>
        <w:tc>
          <w:tcPr>
            <w:tcW w:w="3563" w:type="dxa"/>
            <w:noWrap/>
            <w:vAlign w:val="center"/>
            <w:hideMark/>
          </w:tcPr>
          <w:p w14:paraId="207923E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Environmental Information Processing</w:t>
            </w:r>
          </w:p>
        </w:tc>
        <w:tc>
          <w:tcPr>
            <w:tcW w:w="3467" w:type="dxa"/>
            <w:vAlign w:val="center"/>
            <w:hideMark/>
          </w:tcPr>
          <w:p w14:paraId="6263D5F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Sphingolipid signaling pathway</w:t>
            </w:r>
          </w:p>
        </w:tc>
        <w:tc>
          <w:tcPr>
            <w:tcW w:w="1150" w:type="dxa"/>
            <w:noWrap/>
            <w:vAlign w:val="center"/>
            <w:hideMark/>
          </w:tcPr>
          <w:p w14:paraId="2B15907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</w:t>
            </w:r>
          </w:p>
        </w:tc>
        <w:tc>
          <w:tcPr>
            <w:tcW w:w="850" w:type="dxa"/>
            <w:noWrap/>
            <w:vAlign w:val="center"/>
            <w:hideMark/>
          </w:tcPr>
          <w:p w14:paraId="7555317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0.0345 </w:t>
            </w:r>
          </w:p>
        </w:tc>
        <w:tc>
          <w:tcPr>
            <w:tcW w:w="870" w:type="dxa"/>
            <w:noWrap/>
            <w:vAlign w:val="center"/>
            <w:hideMark/>
          </w:tcPr>
          <w:p w14:paraId="6056F66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0.0563 </w:t>
            </w:r>
          </w:p>
        </w:tc>
        <w:tc>
          <w:tcPr>
            <w:tcW w:w="1260" w:type="dxa"/>
            <w:noWrap/>
            <w:vAlign w:val="center"/>
            <w:hideMark/>
          </w:tcPr>
          <w:p w14:paraId="0337770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01DD33F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47CD0AB7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85B644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ko01100</w:t>
            </w:r>
          </w:p>
        </w:tc>
        <w:tc>
          <w:tcPr>
            <w:tcW w:w="3563" w:type="dxa"/>
            <w:noWrap/>
            <w:vAlign w:val="center"/>
            <w:hideMark/>
          </w:tcPr>
          <w:p w14:paraId="3523EA3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3DDE013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Metabolic pathways</w:t>
            </w:r>
          </w:p>
        </w:tc>
        <w:tc>
          <w:tcPr>
            <w:tcW w:w="1150" w:type="dxa"/>
            <w:noWrap/>
            <w:vAlign w:val="center"/>
            <w:hideMark/>
          </w:tcPr>
          <w:p w14:paraId="08E0CF9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</w:p>
        </w:tc>
        <w:tc>
          <w:tcPr>
            <w:tcW w:w="850" w:type="dxa"/>
            <w:noWrap/>
            <w:vAlign w:val="center"/>
            <w:hideMark/>
          </w:tcPr>
          <w:p w14:paraId="33892B2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0.0409 </w:t>
            </w:r>
          </w:p>
        </w:tc>
        <w:tc>
          <w:tcPr>
            <w:tcW w:w="870" w:type="dxa"/>
            <w:noWrap/>
            <w:vAlign w:val="center"/>
            <w:hideMark/>
          </w:tcPr>
          <w:p w14:paraId="30483ED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0.0633 </w:t>
            </w:r>
          </w:p>
        </w:tc>
        <w:tc>
          <w:tcPr>
            <w:tcW w:w="1260" w:type="dxa"/>
            <w:noWrap/>
            <w:vAlign w:val="center"/>
            <w:hideMark/>
          </w:tcPr>
          <w:p w14:paraId="5E9FC49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1160" w:type="dxa"/>
            <w:noWrap/>
            <w:vAlign w:val="center"/>
            <w:hideMark/>
          </w:tcPr>
          <w:p w14:paraId="3246238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</w:tr>
      <w:tr w:rsidR="00472426" w:rsidRPr="00472426" w14:paraId="5811A7BC" w14:textId="77777777" w:rsidTr="00472426">
        <w:trPr>
          <w:trHeight w:val="560"/>
        </w:trPr>
        <w:tc>
          <w:tcPr>
            <w:tcW w:w="1540" w:type="dxa"/>
            <w:noWrap/>
            <w:vAlign w:val="center"/>
            <w:hideMark/>
          </w:tcPr>
          <w:p w14:paraId="2020FC2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ko00250</w:t>
            </w:r>
          </w:p>
        </w:tc>
        <w:tc>
          <w:tcPr>
            <w:tcW w:w="3563" w:type="dxa"/>
            <w:noWrap/>
            <w:vAlign w:val="center"/>
            <w:hideMark/>
          </w:tcPr>
          <w:p w14:paraId="2C77213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71411C4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Alanine, aspartate and glutamate metabolism</w:t>
            </w:r>
          </w:p>
        </w:tc>
        <w:tc>
          <w:tcPr>
            <w:tcW w:w="1150" w:type="dxa"/>
            <w:noWrap/>
            <w:vAlign w:val="center"/>
            <w:hideMark/>
          </w:tcPr>
          <w:p w14:paraId="69E6DAE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0.04</w:t>
            </w:r>
          </w:p>
        </w:tc>
        <w:tc>
          <w:tcPr>
            <w:tcW w:w="850" w:type="dxa"/>
            <w:noWrap/>
            <w:vAlign w:val="center"/>
            <w:hideMark/>
          </w:tcPr>
          <w:p w14:paraId="5869E88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0.0635 </w:t>
            </w:r>
          </w:p>
        </w:tc>
        <w:tc>
          <w:tcPr>
            <w:tcW w:w="870" w:type="dxa"/>
            <w:noWrap/>
            <w:vAlign w:val="center"/>
            <w:hideMark/>
          </w:tcPr>
          <w:p w14:paraId="720962F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0.0937 </w:t>
            </w:r>
          </w:p>
        </w:tc>
        <w:tc>
          <w:tcPr>
            <w:tcW w:w="1260" w:type="dxa"/>
            <w:noWrap/>
            <w:vAlign w:val="center"/>
            <w:hideMark/>
          </w:tcPr>
          <w:p w14:paraId="6D27AB1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25DADB0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371B69E7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85CAB5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ko00600</w:t>
            </w:r>
          </w:p>
        </w:tc>
        <w:tc>
          <w:tcPr>
            <w:tcW w:w="3563" w:type="dxa"/>
            <w:noWrap/>
            <w:vAlign w:val="center"/>
            <w:hideMark/>
          </w:tcPr>
          <w:p w14:paraId="5627075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32519EC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Sphingolipid metabolism</w:t>
            </w:r>
          </w:p>
        </w:tc>
        <w:tc>
          <w:tcPr>
            <w:tcW w:w="1150" w:type="dxa"/>
            <w:noWrap/>
            <w:vAlign w:val="center"/>
            <w:hideMark/>
          </w:tcPr>
          <w:p w14:paraId="0044E9A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0.03</w:t>
            </w:r>
          </w:p>
        </w:tc>
        <w:tc>
          <w:tcPr>
            <w:tcW w:w="850" w:type="dxa"/>
            <w:noWrap/>
            <w:vAlign w:val="center"/>
            <w:hideMark/>
          </w:tcPr>
          <w:p w14:paraId="6EC539D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0.0788 </w:t>
            </w:r>
          </w:p>
        </w:tc>
        <w:tc>
          <w:tcPr>
            <w:tcW w:w="870" w:type="dxa"/>
            <w:noWrap/>
            <w:vAlign w:val="center"/>
            <w:hideMark/>
          </w:tcPr>
          <w:p w14:paraId="1F49869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0.1110 </w:t>
            </w:r>
          </w:p>
        </w:tc>
        <w:tc>
          <w:tcPr>
            <w:tcW w:w="1260" w:type="dxa"/>
            <w:noWrap/>
            <w:vAlign w:val="center"/>
            <w:hideMark/>
          </w:tcPr>
          <w:p w14:paraId="62BE073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2F28463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23FA331B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31BA914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ko00340</w:t>
            </w:r>
          </w:p>
        </w:tc>
        <w:tc>
          <w:tcPr>
            <w:tcW w:w="3563" w:type="dxa"/>
            <w:noWrap/>
            <w:vAlign w:val="center"/>
            <w:hideMark/>
          </w:tcPr>
          <w:p w14:paraId="5D64C3E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7DBD91E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Histidine metabolism</w:t>
            </w:r>
          </w:p>
        </w:tc>
        <w:tc>
          <w:tcPr>
            <w:tcW w:w="1150" w:type="dxa"/>
            <w:noWrap/>
            <w:vAlign w:val="center"/>
            <w:hideMark/>
          </w:tcPr>
          <w:p w14:paraId="6C93EC5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</w:t>
            </w:r>
          </w:p>
        </w:tc>
        <w:tc>
          <w:tcPr>
            <w:tcW w:w="850" w:type="dxa"/>
            <w:noWrap/>
            <w:vAlign w:val="center"/>
            <w:hideMark/>
          </w:tcPr>
          <w:p w14:paraId="01DF9FB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0.1044 </w:t>
            </w:r>
          </w:p>
        </w:tc>
        <w:tc>
          <w:tcPr>
            <w:tcW w:w="870" w:type="dxa"/>
            <w:noWrap/>
            <w:vAlign w:val="center"/>
            <w:hideMark/>
          </w:tcPr>
          <w:p w14:paraId="7AFE6FDD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0.1407 </w:t>
            </w:r>
          </w:p>
        </w:tc>
        <w:tc>
          <w:tcPr>
            <w:tcW w:w="1260" w:type="dxa"/>
            <w:noWrap/>
            <w:vAlign w:val="center"/>
            <w:hideMark/>
          </w:tcPr>
          <w:p w14:paraId="0E16695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0CD35F4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6ACE2AA1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50875B4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ko00310</w:t>
            </w:r>
          </w:p>
        </w:tc>
        <w:tc>
          <w:tcPr>
            <w:tcW w:w="3563" w:type="dxa"/>
            <w:noWrap/>
            <w:vAlign w:val="center"/>
            <w:hideMark/>
          </w:tcPr>
          <w:p w14:paraId="73C50BF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6969729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Lysine degradation</w:t>
            </w:r>
          </w:p>
        </w:tc>
        <w:tc>
          <w:tcPr>
            <w:tcW w:w="1150" w:type="dxa"/>
            <w:noWrap/>
            <w:vAlign w:val="center"/>
            <w:hideMark/>
          </w:tcPr>
          <w:p w14:paraId="0D5D5BE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</w:t>
            </w:r>
          </w:p>
        </w:tc>
        <w:tc>
          <w:tcPr>
            <w:tcW w:w="850" w:type="dxa"/>
            <w:noWrap/>
            <w:vAlign w:val="center"/>
            <w:hideMark/>
          </w:tcPr>
          <w:p w14:paraId="519A7E7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0.1232 </w:t>
            </w:r>
          </w:p>
        </w:tc>
        <w:tc>
          <w:tcPr>
            <w:tcW w:w="870" w:type="dxa"/>
            <w:noWrap/>
            <w:vAlign w:val="center"/>
            <w:hideMark/>
          </w:tcPr>
          <w:p w14:paraId="2EF33A4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0.1592 </w:t>
            </w:r>
          </w:p>
        </w:tc>
        <w:tc>
          <w:tcPr>
            <w:tcW w:w="1260" w:type="dxa"/>
            <w:noWrap/>
            <w:vAlign w:val="center"/>
            <w:hideMark/>
          </w:tcPr>
          <w:p w14:paraId="440FB0D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28FF723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4029DC84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0246639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ko00240</w:t>
            </w:r>
          </w:p>
        </w:tc>
        <w:tc>
          <w:tcPr>
            <w:tcW w:w="3563" w:type="dxa"/>
            <w:noWrap/>
            <w:vAlign w:val="center"/>
            <w:hideMark/>
          </w:tcPr>
          <w:p w14:paraId="6167707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58538D6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Pyrimidine metabolism</w:t>
            </w:r>
          </w:p>
        </w:tc>
        <w:tc>
          <w:tcPr>
            <w:tcW w:w="1150" w:type="dxa"/>
            <w:noWrap/>
            <w:vAlign w:val="center"/>
            <w:hideMark/>
          </w:tcPr>
          <w:p w14:paraId="1864B46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0.02</w:t>
            </w:r>
          </w:p>
        </w:tc>
        <w:tc>
          <w:tcPr>
            <w:tcW w:w="850" w:type="dxa"/>
            <w:noWrap/>
            <w:vAlign w:val="center"/>
            <w:hideMark/>
          </w:tcPr>
          <w:p w14:paraId="6A68F92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0.1396 </w:t>
            </w:r>
          </w:p>
        </w:tc>
        <w:tc>
          <w:tcPr>
            <w:tcW w:w="870" w:type="dxa"/>
            <w:noWrap/>
            <w:vAlign w:val="center"/>
            <w:hideMark/>
          </w:tcPr>
          <w:p w14:paraId="582A458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0.1731 </w:t>
            </w:r>
          </w:p>
        </w:tc>
        <w:tc>
          <w:tcPr>
            <w:tcW w:w="1260" w:type="dxa"/>
            <w:noWrap/>
            <w:vAlign w:val="center"/>
            <w:hideMark/>
          </w:tcPr>
          <w:p w14:paraId="68BAEE8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665E067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305EBB11" w14:textId="77777777" w:rsidTr="00472426">
        <w:trPr>
          <w:trHeight w:val="840"/>
        </w:trPr>
        <w:tc>
          <w:tcPr>
            <w:tcW w:w="154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20FD880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ko01064</w:t>
            </w:r>
          </w:p>
        </w:tc>
        <w:tc>
          <w:tcPr>
            <w:tcW w:w="3563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958206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tcBorders>
              <w:bottom w:val="single" w:sz="6" w:space="0" w:color="auto"/>
            </w:tcBorders>
            <w:vAlign w:val="center"/>
            <w:hideMark/>
          </w:tcPr>
          <w:p w14:paraId="04DEE6A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Biosynthesis of alkaloids derived from ornithine, lysine and nicotinic acid</w:t>
            </w:r>
          </w:p>
        </w:tc>
        <w:tc>
          <w:tcPr>
            <w:tcW w:w="115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764478F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3BE0F70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0.1457 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40712E4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0.1737 </w:t>
            </w:r>
          </w:p>
        </w:tc>
        <w:tc>
          <w:tcPr>
            <w:tcW w:w="12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5109C4EB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tcBorders>
              <w:bottom w:val="single" w:sz="6" w:space="0" w:color="auto"/>
            </w:tcBorders>
            <w:noWrap/>
            <w:vAlign w:val="center"/>
            <w:hideMark/>
          </w:tcPr>
          <w:p w14:paraId="7ED444C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2641D9F3" w14:textId="77777777" w:rsidTr="00472426">
        <w:trPr>
          <w:trHeight w:val="560"/>
        </w:trPr>
        <w:tc>
          <w:tcPr>
            <w:tcW w:w="154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D3B46E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ko00960</w:t>
            </w:r>
          </w:p>
        </w:tc>
        <w:tc>
          <w:tcPr>
            <w:tcW w:w="3563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61CE47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3D747D9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Tropane, piperidine and pyridine alkaloid biosynthesis</w:t>
            </w:r>
          </w:p>
        </w:tc>
        <w:tc>
          <w:tcPr>
            <w:tcW w:w="115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9021E8F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15B299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0.1557 </w:t>
            </w:r>
          </w:p>
        </w:tc>
        <w:tc>
          <w:tcPr>
            <w:tcW w:w="87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4157774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0.1788 </w:t>
            </w:r>
          </w:p>
        </w:tc>
        <w:tc>
          <w:tcPr>
            <w:tcW w:w="126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388789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587653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774EB79A" w14:textId="77777777" w:rsidTr="00472426">
        <w:trPr>
          <w:trHeight w:val="560"/>
        </w:trPr>
        <w:tc>
          <w:tcPr>
            <w:tcW w:w="1540" w:type="dxa"/>
            <w:tcBorders>
              <w:top w:val="nil"/>
            </w:tcBorders>
            <w:noWrap/>
            <w:vAlign w:val="center"/>
            <w:hideMark/>
          </w:tcPr>
          <w:p w14:paraId="47530E4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ko01060</w:t>
            </w:r>
          </w:p>
        </w:tc>
        <w:tc>
          <w:tcPr>
            <w:tcW w:w="3563" w:type="dxa"/>
            <w:tcBorders>
              <w:top w:val="nil"/>
            </w:tcBorders>
            <w:noWrap/>
            <w:vAlign w:val="center"/>
            <w:hideMark/>
          </w:tcPr>
          <w:p w14:paraId="5856985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tcBorders>
              <w:top w:val="nil"/>
            </w:tcBorders>
            <w:vAlign w:val="center"/>
            <w:hideMark/>
          </w:tcPr>
          <w:p w14:paraId="0D1E714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Biosynthesis of plant secondary metabolites</w:t>
            </w:r>
          </w:p>
        </w:tc>
        <w:tc>
          <w:tcPr>
            <w:tcW w:w="1150" w:type="dxa"/>
            <w:tcBorders>
              <w:top w:val="nil"/>
            </w:tcBorders>
            <w:noWrap/>
            <w:vAlign w:val="center"/>
            <w:hideMark/>
          </w:tcPr>
          <w:p w14:paraId="63ECBBC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</w:tcBorders>
            <w:noWrap/>
            <w:vAlign w:val="center"/>
            <w:hideMark/>
          </w:tcPr>
          <w:p w14:paraId="0BECE5B0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0.2835 </w:t>
            </w:r>
          </w:p>
        </w:tc>
        <w:tc>
          <w:tcPr>
            <w:tcW w:w="870" w:type="dxa"/>
            <w:tcBorders>
              <w:top w:val="nil"/>
            </w:tcBorders>
            <w:noWrap/>
            <w:vAlign w:val="center"/>
            <w:hideMark/>
          </w:tcPr>
          <w:p w14:paraId="1A34585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0.3138 </w:t>
            </w:r>
          </w:p>
        </w:tc>
        <w:tc>
          <w:tcPr>
            <w:tcW w:w="1260" w:type="dxa"/>
            <w:tcBorders>
              <w:top w:val="nil"/>
            </w:tcBorders>
            <w:noWrap/>
            <w:vAlign w:val="center"/>
            <w:hideMark/>
          </w:tcPr>
          <w:p w14:paraId="652E05C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tcBorders>
              <w:top w:val="nil"/>
            </w:tcBorders>
            <w:noWrap/>
            <w:vAlign w:val="center"/>
            <w:hideMark/>
          </w:tcPr>
          <w:p w14:paraId="31A08D0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5849AFE6" w14:textId="77777777" w:rsidTr="00472426">
        <w:trPr>
          <w:trHeight w:val="280"/>
        </w:trPr>
        <w:tc>
          <w:tcPr>
            <w:tcW w:w="1540" w:type="dxa"/>
            <w:noWrap/>
            <w:vAlign w:val="center"/>
            <w:hideMark/>
          </w:tcPr>
          <w:p w14:paraId="21E6976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ko01240</w:t>
            </w:r>
          </w:p>
        </w:tc>
        <w:tc>
          <w:tcPr>
            <w:tcW w:w="3563" w:type="dxa"/>
            <w:noWrap/>
            <w:vAlign w:val="center"/>
            <w:hideMark/>
          </w:tcPr>
          <w:p w14:paraId="264AA85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19285F8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Biosynthesis of cofactors</w:t>
            </w:r>
          </w:p>
        </w:tc>
        <w:tc>
          <w:tcPr>
            <w:tcW w:w="1150" w:type="dxa"/>
            <w:noWrap/>
            <w:vAlign w:val="center"/>
            <w:hideMark/>
          </w:tcPr>
          <w:p w14:paraId="3CE6978A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</w:p>
        </w:tc>
        <w:tc>
          <w:tcPr>
            <w:tcW w:w="850" w:type="dxa"/>
            <w:noWrap/>
            <w:vAlign w:val="center"/>
            <w:hideMark/>
          </w:tcPr>
          <w:p w14:paraId="7550518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0.5449 </w:t>
            </w:r>
          </w:p>
        </w:tc>
        <w:tc>
          <w:tcPr>
            <w:tcW w:w="870" w:type="dxa"/>
            <w:noWrap/>
            <w:vAlign w:val="center"/>
            <w:hideMark/>
          </w:tcPr>
          <w:p w14:paraId="2553FA4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0.5824 </w:t>
            </w:r>
          </w:p>
        </w:tc>
        <w:tc>
          <w:tcPr>
            <w:tcW w:w="1260" w:type="dxa"/>
            <w:noWrap/>
            <w:vAlign w:val="center"/>
            <w:hideMark/>
          </w:tcPr>
          <w:p w14:paraId="21B4B6E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160" w:type="dxa"/>
            <w:noWrap/>
            <w:vAlign w:val="center"/>
            <w:hideMark/>
          </w:tcPr>
          <w:p w14:paraId="2CDA931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1D5F5F2D" w14:textId="77777777" w:rsidTr="00472426">
        <w:trPr>
          <w:trHeight w:val="560"/>
        </w:trPr>
        <w:tc>
          <w:tcPr>
            <w:tcW w:w="1540" w:type="dxa"/>
            <w:noWrap/>
            <w:vAlign w:val="center"/>
            <w:hideMark/>
          </w:tcPr>
          <w:p w14:paraId="1DEDDC87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ko01120</w:t>
            </w:r>
          </w:p>
        </w:tc>
        <w:tc>
          <w:tcPr>
            <w:tcW w:w="3563" w:type="dxa"/>
            <w:noWrap/>
            <w:vAlign w:val="center"/>
            <w:hideMark/>
          </w:tcPr>
          <w:p w14:paraId="4931F5F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1CB502A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Microbial metabolism in diverse environments</w:t>
            </w:r>
          </w:p>
        </w:tc>
        <w:tc>
          <w:tcPr>
            <w:tcW w:w="1150" w:type="dxa"/>
            <w:noWrap/>
            <w:vAlign w:val="center"/>
            <w:hideMark/>
          </w:tcPr>
          <w:p w14:paraId="6733B448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</w:p>
        </w:tc>
        <w:tc>
          <w:tcPr>
            <w:tcW w:w="850" w:type="dxa"/>
            <w:noWrap/>
            <w:vAlign w:val="center"/>
            <w:hideMark/>
          </w:tcPr>
          <w:p w14:paraId="4598126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0.7415 </w:t>
            </w:r>
          </w:p>
        </w:tc>
        <w:tc>
          <w:tcPr>
            <w:tcW w:w="870" w:type="dxa"/>
            <w:noWrap/>
            <w:vAlign w:val="center"/>
            <w:hideMark/>
          </w:tcPr>
          <w:p w14:paraId="7607215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0.7662 </w:t>
            </w:r>
          </w:p>
        </w:tc>
        <w:tc>
          <w:tcPr>
            <w:tcW w:w="1260" w:type="dxa"/>
            <w:noWrap/>
            <w:vAlign w:val="center"/>
            <w:hideMark/>
          </w:tcPr>
          <w:p w14:paraId="0A9695E5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160" w:type="dxa"/>
            <w:noWrap/>
            <w:vAlign w:val="center"/>
            <w:hideMark/>
          </w:tcPr>
          <w:p w14:paraId="4E0127C4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</w:t>
            </w:r>
          </w:p>
        </w:tc>
      </w:tr>
      <w:tr w:rsidR="00472426" w:rsidRPr="00472426" w14:paraId="5602CB4B" w14:textId="77777777" w:rsidTr="00472426">
        <w:trPr>
          <w:trHeight w:val="560"/>
        </w:trPr>
        <w:tc>
          <w:tcPr>
            <w:tcW w:w="1540" w:type="dxa"/>
            <w:noWrap/>
            <w:vAlign w:val="center"/>
            <w:hideMark/>
          </w:tcPr>
          <w:p w14:paraId="6ED2F412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ko01110</w:t>
            </w:r>
          </w:p>
        </w:tc>
        <w:tc>
          <w:tcPr>
            <w:tcW w:w="3563" w:type="dxa"/>
            <w:noWrap/>
            <w:vAlign w:val="center"/>
            <w:hideMark/>
          </w:tcPr>
          <w:p w14:paraId="2DEA559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Metabolism</w:t>
            </w:r>
          </w:p>
        </w:tc>
        <w:tc>
          <w:tcPr>
            <w:tcW w:w="3467" w:type="dxa"/>
            <w:vAlign w:val="center"/>
            <w:hideMark/>
          </w:tcPr>
          <w:p w14:paraId="11E36AA3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Biosynthesis of secondary metabolites</w:t>
            </w:r>
          </w:p>
        </w:tc>
        <w:tc>
          <w:tcPr>
            <w:tcW w:w="1150" w:type="dxa"/>
            <w:noWrap/>
            <w:vAlign w:val="center"/>
            <w:hideMark/>
          </w:tcPr>
          <w:p w14:paraId="5C7EB9B1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0.00</w:t>
            </w:r>
          </w:p>
        </w:tc>
        <w:tc>
          <w:tcPr>
            <w:tcW w:w="850" w:type="dxa"/>
            <w:noWrap/>
            <w:vAlign w:val="center"/>
            <w:hideMark/>
          </w:tcPr>
          <w:p w14:paraId="04A6AA46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0.8354 </w:t>
            </w:r>
          </w:p>
        </w:tc>
        <w:tc>
          <w:tcPr>
            <w:tcW w:w="870" w:type="dxa"/>
            <w:noWrap/>
            <w:vAlign w:val="center"/>
            <w:hideMark/>
          </w:tcPr>
          <w:p w14:paraId="08DEF349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0.8354 </w:t>
            </w:r>
          </w:p>
        </w:tc>
        <w:tc>
          <w:tcPr>
            <w:tcW w:w="1260" w:type="dxa"/>
            <w:noWrap/>
            <w:vAlign w:val="center"/>
            <w:hideMark/>
          </w:tcPr>
          <w:p w14:paraId="6C27DF4E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160" w:type="dxa"/>
            <w:noWrap/>
            <w:vAlign w:val="center"/>
            <w:hideMark/>
          </w:tcPr>
          <w:p w14:paraId="50AE9E7C" w14:textId="77777777" w:rsidR="00472426" w:rsidRPr="00472426" w:rsidRDefault="00472426" w:rsidP="0047242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7242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</w:tr>
    </w:tbl>
    <w:p w14:paraId="69968482" w14:textId="77777777" w:rsidR="003B736E" w:rsidRPr="00472426" w:rsidRDefault="003B736E">
      <w:pPr>
        <w:rPr>
          <w:rFonts w:ascii="Times New Roman" w:hAnsi="Times New Roman" w:cs="Times New Roman"/>
          <w:szCs w:val="22"/>
        </w:rPr>
      </w:pPr>
    </w:p>
    <w:sectPr w:rsidR="003B736E" w:rsidRPr="00472426" w:rsidSect="004724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18F64" w14:textId="77777777" w:rsidR="008A712A" w:rsidRDefault="008A712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7B7B315" w14:textId="77777777" w:rsidR="008A712A" w:rsidRDefault="008A712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42268" w14:textId="77777777" w:rsidR="008A712A" w:rsidRDefault="008A712A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B660BCC" w14:textId="77777777" w:rsidR="008A712A" w:rsidRDefault="008A712A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EE"/>
    <w:rsid w:val="00157B58"/>
    <w:rsid w:val="001C504C"/>
    <w:rsid w:val="003B736E"/>
    <w:rsid w:val="00472426"/>
    <w:rsid w:val="00544069"/>
    <w:rsid w:val="00582726"/>
    <w:rsid w:val="00646157"/>
    <w:rsid w:val="007C2ED1"/>
    <w:rsid w:val="008A712A"/>
    <w:rsid w:val="00A5327D"/>
    <w:rsid w:val="00B9326A"/>
    <w:rsid w:val="00C2455F"/>
    <w:rsid w:val="00CE44B9"/>
    <w:rsid w:val="00CF2EF0"/>
    <w:rsid w:val="00D42BEE"/>
    <w:rsid w:val="00E048A3"/>
    <w:rsid w:val="00F325A6"/>
    <w:rsid w:val="435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0BA8D"/>
  <w15:docId w15:val="{4C4E1790-34AB-4264-8697-2B0E267A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31">
    <w:name w:val="font31"/>
    <w:basedOn w:val="a0"/>
    <w:rsid w:val="00472426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 黄</dc:creator>
  <cp:lastModifiedBy>丽 黄</cp:lastModifiedBy>
  <cp:revision>11</cp:revision>
  <dcterms:created xsi:type="dcterms:W3CDTF">2026-07-06T12:17:00Z</dcterms:created>
  <dcterms:modified xsi:type="dcterms:W3CDTF">2026-07-11T08:52:00Z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eyJoZGlkIjoiZDFjZGEyMTA1ZjVlY2QyZDQ0NDAzNTViZDcyZDJmNjQiLCJ1c2VySWQiOiI2NjQyMTAzNzgifQ==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6B1A321681E14D4D81C4971E7B52CE47_12</vt:lpwstr>
  </property>
</Properties>
</file>