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A980C8D" w14:textId="77777777" w:rsidR="005A0DF3" w:rsidRDefault="00000000">
      <w:pPr>
        <w:spacing w:after="80"/>
        <w:jc w:val="center"/>
      </w:pPr>
      <w:r>
        <w:rPr>
          <w:b/>
          <w:bCs/>
          <w:sz w:val="28"/>
          <w:szCs w:val="28"/>
        </w:rPr>
        <w:t>Supplementary Material</w:t>
      </w:r>
    </w:p>
    <w:p w14:paraId="66267FDC" w14:textId="77777777" w:rsidR="005A0DF3" w:rsidRDefault="00000000" w:rsidP="002841A1">
      <w:pPr>
        <w:pStyle w:val="Title"/>
        <w:rPr>
          <w:b w:val="0"/>
        </w:rPr>
      </w:pPr>
      <w:r w:rsidRPr="00872365">
        <w:rPr>
          <w:b w:val="0"/>
        </w:rPr>
        <w:t>Spatial diffusion and climatic suitability shape the West Nile Virus invasion risk across Europe</w:t>
      </w:r>
    </w:p>
    <w:p w14:paraId="7DAD2230" w14:textId="77777777" w:rsidR="00482A58" w:rsidRPr="00872365" w:rsidRDefault="00482A58" w:rsidP="002841A1">
      <w:pPr>
        <w:pStyle w:val="Title"/>
        <w:rPr>
          <w:b w:val="0"/>
          <w:sz w:val="21"/>
          <w:szCs w:val="21"/>
        </w:rPr>
      </w:pPr>
    </w:p>
    <w:p w14:paraId="0F898314" w14:textId="77777777" w:rsidR="002841A1" w:rsidRPr="00700307" w:rsidRDefault="002841A1" w:rsidP="002841A1">
      <w:r w:rsidRPr="00700307">
        <w:t>Zia Farooq</w:t>
      </w:r>
      <w:r w:rsidRPr="00700307">
        <w:rPr>
          <w:vertAlign w:val="superscript"/>
        </w:rPr>
        <w:t>*a</w:t>
      </w:r>
      <w:r w:rsidRPr="00700307">
        <w:t xml:space="preserve"> , Jan C</w:t>
      </w:r>
      <w:r w:rsidRPr="002C760B">
        <w:t>.</w:t>
      </w:r>
      <w:r w:rsidRPr="00700307">
        <w:t xml:space="preserve"> Semenza</w:t>
      </w:r>
      <w:r w:rsidRPr="00700307">
        <w:rPr>
          <w:vertAlign w:val="superscript"/>
        </w:rPr>
        <w:t>a,b</w:t>
      </w:r>
      <w:r w:rsidRPr="00700307">
        <w:t xml:space="preserve"> </w:t>
      </w:r>
    </w:p>
    <w:p w14:paraId="297655BB" w14:textId="77777777" w:rsidR="002841A1" w:rsidRPr="00700307" w:rsidRDefault="002841A1" w:rsidP="002841A1"/>
    <w:p w14:paraId="3BC3BB01" w14:textId="77777777" w:rsidR="002841A1" w:rsidRPr="00700307" w:rsidRDefault="002841A1" w:rsidP="002841A1"/>
    <w:p w14:paraId="5EE9E78F" w14:textId="77777777" w:rsidR="002841A1" w:rsidRPr="00700307" w:rsidRDefault="002841A1" w:rsidP="002841A1">
      <w:pPr>
        <w:pStyle w:val="ListParagraph"/>
        <w:numPr>
          <w:ilvl w:val="0"/>
          <w:numId w:val="2"/>
        </w:numPr>
        <w:spacing w:line="360" w:lineRule="auto"/>
        <w:contextualSpacing/>
      </w:pPr>
      <w:r w:rsidRPr="00700307">
        <w:t>Department of Epidemiology and Global Health, Umeå University, Umeå, 907 87, Sweden</w:t>
      </w:r>
    </w:p>
    <w:p w14:paraId="4E653CC1" w14:textId="77777777" w:rsidR="002841A1" w:rsidRPr="00950DDB" w:rsidRDefault="002841A1" w:rsidP="002841A1">
      <w:pPr>
        <w:pStyle w:val="ListParagraph"/>
        <w:numPr>
          <w:ilvl w:val="0"/>
          <w:numId w:val="2"/>
        </w:numPr>
        <w:spacing w:line="360" w:lineRule="auto"/>
        <w:contextualSpacing/>
      </w:pPr>
      <w:r w:rsidRPr="002C760B">
        <w:t>Heidelberg Institute of Global Health, University of Heidelberg, Heidelberg 69120, Germany</w:t>
      </w:r>
    </w:p>
    <w:p w14:paraId="5F8E9669" w14:textId="77777777" w:rsidR="007969B5" w:rsidRDefault="007969B5">
      <w:pPr>
        <w:pStyle w:val="Heading1"/>
        <w:spacing w:before="240" w:after="120"/>
        <w:rPr>
          <w:b w:val="0"/>
          <w:bCs/>
          <w:sz w:val="22"/>
          <w:szCs w:val="22"/>
        </w:rPr>
      </w:pPr>
    </w:p>
    <w:p w14:paraId="25250AE4" w14:textId="77777777" w:rsidR="007969B5" w:rsidRPr="00630AA9" w:rsidRDefault="007969B5" w:rsidP="007969B5">
      <w:pPr>
        <w:rPr>
          <w:b/>
          <w:bCs/>
          <w:lang w:val="sv-SE"/>
        </w:rPr>
      </w:pPr>
      <w:r w:rsidRPr="00630AA9">
        <w:rPr>
          <w:b/>
          <w:bCs/>
          <w:lang w:val="sv-SE"/>
        </w:rPr>
        <w:t>*Corresponding author</w:t>
      </w:r>
    </w:p>
    <w:p w14:paraId="191FA4CC" w14:textId="77777777" w:rsidR="007969B5" w:rsidRPr="00630AA9" w:rsidRDefault="007969B5" w:rsidP="007969B5">
      <w:pPr>
        <w:rPr>
          <w:lang w:val="sv-SE"/>
        </w:rPr>
      </w:pPr>
      <w:r w:rsidRPr="00630AA9">
        <w:rPr>
          <w:lang w:val="sv-SE"/>
        </w:rPr>
        <w:t>Zia Farooq, PhD</w:t>
      </w:r>
    </w:p>
    <w:p w14:paraId="6E01E306" w14:textId="77777777" w:rsidR="007969B5" w:rsidRPr="00630AA9" w:rsidRDefault="007969B5" w:rsidP="007969B5">
      <w:pPr>
        <w:rPr>
          <w:lang w:val="sv-SE"/>
        </w:rPr>
      </w:pPr>
      <w:r w:rsidRPr="00630AA9">
        <w:rPr>
          <w:lang w:val="sv-SE"/>
        </w:rPr>
        <w:t xml:space="preserve">23, Målpunkt F52, Elsa Bolins Gränd 6, </w:t>
      </w:r>
    </w:p>
    <w:p w14:paraId="596F50DE" w14:textId="77777777" w:rsidR="007969B5" w:rsidRPr="00630AA9" w:rsidRDefault="007969B5" w:rsidP="007969B5">
      <w:pPr>
        <w:rPr>
          <w:lang w:val="sv-SE"/>
        </w:rPr>
      </w:pPr>
      <w:r w:rsidRPr="00630AA9">
        <w:rPr>
          <w:lang w:val="sv-SE"/>
        </w:rPr>
        <w:t xml:space="preserve">5tr, Norrlands universitetssjukhus, </w:t>
      </w:r>
    </w:p>
    <w:p w14:paraId="1E7E3FE0" w14:textId="77777777" w:rsidR="007969B5" w:rsidRPr="00630AA9" w:rsidRDefault="007969B5" w:rsidP="007969B5">
      <w:pPr>
        <w:rPr>
          <w:lang w:val="sv-SE"/>
        </w:rPr>
      </w:pPr>
      <w:r w:rsidRPr="00630AA9">
        <w:rPr>
          <w:lang w:val="sv-SE"/>
        </w:rPr>
        <w:t xml:space="preserve">Epidemiologi och global hälsa, </w:t>
      </w:r>
    </w:p>
    <w:p w14:paraId="6C652513" w14:textId="77777777" w:rsidR="007969B5" w:rsidRPr="00630AA9" w:rsidRDefault="007969B5" w:rsidP="007969B5">
      <w:pPr>
        <w:rPr>
          <w:lang w:val="sv-SE"/>
        </w:rPr>
      </w:pPr>
      <w:r w:rsidRPr="00630AA9">
        <w:rPr>
          <w:lang w:val="sv-SE"/>
        </w:rPr>
        <w:t>Umeå Universitet, 90185 Umeå, Sweden</w:t>
      </w:r>
    </w:p>
    <w:p w14:paraId="7F4C4CA6" w14:textId="77777777" w:rsidR="007969B5" w:rsidRPr="00700307" w:rsidRDefault="007969B5" w:rsidP="007969B5">
      <w:r w:rsidRPr="00700307">
        <w:t xml:space="preserve">Email: </w:t>
      </w:r>
      <w:r>
        <w:fldChar w:fldCharType="begin"/>
      </w:r>
      <w:r>
        <w:instrText>HYPERLINK "mailto:zia.farooq@umu.se" \h</w:instrText>
      </w:r>
      <w:r>
        <w:fldChar w:fldCharType="separate"/>
      </w:r>
      <w:r w:rsidRPr="00700307">
        <w:t>zia.farooq@umu.se</w:t>
      </w:r>
      <w:r>
        <w:fldChar w:fldCharType="end"/>
      </w:r>
    </w:p>
    <w:p w14:paraId="68AF38DB" w14:textId="77777777" w:rsidR="007969B5" w:rsidRDefault="007969B5">
      <w:pPr>
        <w:pStyle w:val="Heading1"/>
        <w:spacing w:before="240" w:after="120"/>
        <w:rPr>
          <w:b w:val="0"/>
          <w:bCs/>
          <w:sz w:val="22"/>
          <w:szCs w:val="22"/>
        </w:rPr>
      </w:pPr>
    </w:p>
    <w:p w14:paraId="1D1FA8CE" w14:textId="77777777" w:rsidR="00B94AB0" w:rsidRDefault="00B94AB0">
      <w:pPr>
        <w:pStyle w:val="Heading1"/>
        <w:spacing w:before="240" w:after="120"/>
        <w:rPr>
          <w:b w:val="0"/>
          <w:bCs/>
          <w:sz w:val="22"/>
          <w:szCs w:val="22"/>
        </w:rPr>
      </w:pPr>
    </w:p>
    <w:p w14:paraId="06FFFACA" w14:textId="77777777" w:rsidR="00B94AB0" w:rsidRDefault="00B94AB0">
      <w:pPr>
        <w:pStyle w:val="Heading1"/>
        <w:spacing w:before="240" w:after="120"/>
        <w:rPr>
          <w:b w:val="0"/>
          <w:bCs/>
          <w:sz w:val="22"/>
          <w:szCs w:val="22"/>
        </w:rPr>
      </w:pPr>
    </w:p>
    <w:p w14:paraId="5B6C287D" w14:textId="77777777" w:rsidR="00B94AB0" w:rsidRDefault="00B94AB0">
      <w:pPr>
        <w:pStyle w:val="Heading1"/>
        <w:spacing w:before="240" w:after="120"/>
        <w:rPr>
          <w:b w:val="0"/>
          <w:bCs/>
          <w:sz w:val="22"/>
          <w:szCs w:val="22"/>
        </w:rPr>
      </w:pPr>
    </w:p>
    <w:p w14:paraId="217C96C4" w14:textId="77777777" w:rsidR="00B94AB0" w:rsidRDefault="00B94AB0">
      <w:pPr>
        <w:pStyle w:val="Heading1"/>
        <w:spacing w:before="240" w:after="120"/>
        <w:rPr>
          <w:b w:val="0"/>
          <w:bCs/>
          <w:sz w:val="22"/>
          <w:szCs w:val="22"/>
        </w:rPr>
      </w:pPr>
    </w:p>
    <w:p w14:paraId="6A23986E" w14:textId="77777777" w:rsidR="00B94AB0" w:rsidRDefault="00B94AB0">
      <w:pPr>
        <w:pStyle w:val="Heading1"/>
        <w:spacing w:before="240" w:after="120"/>
        <w:rPr>
          <w:b w:val="0"/>
          <w:bCs/>
          <w:sz w:val="22"/>
          <w:szCs w:val="22"/>
        </w:rPr>
      </w:pPr>
    </w:p>
    <w:p w14:paraId="56A6EB9B" w14:textId="77777777" w:rsidR="00B94AB0" w:rsidRDefault="00B94AB0">
      <w:pPr>
        <w:pStyle w:val="Heading1"/>
        <w:spacing w:before="240" w:after="120"/>
        <w:rPr>
          <w:b w:val="0"/>
          <w:bCs/>
          <w:sz w:val="22"/>
          <w:szCs w:val="22"/>
        </w:rPr>
      </w:pPr>
    </w:p>
    <w:p w14:paraId="6E372D81" w14:textId="77777777" w:rsidR="00B94AB0" w:rsidRDefault="00B94AB0">
      <w:pPr>
        <w:pStyle w:val="Heading1"/>
        <w:spacing w:before="240" w:after="120"/>
        <w:rPr>
          <w:b w:val="0"/>
          <w:bCs/>
          <w:sz w:val="22"/>
          <w:szCs w:val="22"/>
        </w:rPr>
      </w:pPr>
    </w:p>
    <w:p w14:paraId="1A8A58D7" w14:textId="77777777" w:rsidR="00B94AB0" w:rsidRDefault="00B94AB0">
      <w:pPr>
        <w:pStyle w:val="Heading1"/>
        <w:spacing w:before="240" w:after="120"/>
        <w:rPr>
          <w:b w:val="0"/>
          <w:bCs/>
          <w:sz w:val="22"/>
          <w:szCs w:val="22"/>
        </w:rPr>
      </w:pPr>
    </w:p>
    <w:p w14:paraId="48606C1E" w14:textId="77777777" w:rsidR="00B94AB0" w:rsidRDefault="00B94AB0">
      <w:pPr>
        <w:pStyle w:val="Heading1"/>
        <w:spacing w:before="240" w:after="120"/>
        <w:rPr>
          <w:b w:val="0"/>
          <w:bCs/>
          <w:sz w:val="22"/>
          <w:szCs w:val="22"/>
        </w:rPr>
      </w:pPr>
    </w:p>
    <w:p w14:paraId="1BB77FAB" w14:textId="77777777" w:rsidR="00B94AB0" w:rsidRDefault="00B94AB0">
      <w:pPr>
        <w:pStyle w:val="Heading1"/>
        <w:spacing w:before="240" w:after="120"/>
        <w:rPr>
          <w:b w:val="0"/>
          <w:bCs/>
          <w:sz w:val="22"/>
          <w:szCs w:val="22"/>
        </w:rPr>
      </w:pPr>
    </w:p>
    <w:p w14:paraId="29C3C8E1" w14:textId="77777777" w:rsidR="00B94AB0" w:rsidRDefault="00B94AB0">
      <w:pPr>
        <w:pStyle w:val="Heading1"/>
        <w:spacing w:before="240" w:after="120"/>
        <w:rPr>
          <w:b w:val="0"/>
          <w:bCs/>
          <w:sz w:val="22"/>
          <w:szCs w:val="22"/>
        </w:rPr>
      </w:pPr>
    </w:p>
    <w:p w14:paraId="6EF9F6B5" w14:textId="77777777" w:rsidR="00B94AB0" w:rsidRDefault="00B94AB0">
      <w:pPr>
        <w:pStyle w:val="Heading1"/>
        <w:spacing w:before="240" w:after="120"/>
        <w:rPr>
          <w:b w:val="0"/>
          <w:bCs/>
          <w:sz w:val="22"/>
          <w:szCs w:val="22"/>
        </w:rPr>
      </w:pPr>
    </w:p>
    <w:p w14:paraId="211CF5C3" w14:textId="77777777" w:rsidR="00B94AB0" w:rsidRDefault="00B94AB0">
      <w:pPr>
        <w:pStyle w:val="Heading1"/>
        <w:spacing w:before="240" w:after="120"/>
        <w:rPr>
          <w:b w:val="0"/>
          <w:bCs/>
          <w:sz w:val="22"/>
          <w:szCs w:val="22"/>
        </w:rPr>
      </w:pPr>
    </w:p>
    <w:p w14:paraId="5DBCB0D0" w14:textId="77777777" w:rsidR="00B94AB0" w:rsidRDefault="00B94AB0">
      <w:pPr>
        <w:pStyle w:val="Heading1"/>
        <w:spacing w:before="240" w:after="120"/>
        <w:rPr>
          <w:b w:val="0"/>
          <w:bCs/>
          <w:sz w:val="22"/>
          <w:szCs w:val="22"/>
        </w:rPr>
      </w:pPr>
    </w:p>
    <w:p w14:paraId="3B5871CC" w14:textId="77777777" w:rsidR="00B94AB0" w:rsidRDefault="00B94AB0">
      <w:pPr>
        <w:pStyle w:val="Heading1"/>
        <w:spacing w:before="240" w:after="120"/>
        <w:rPr>
          <w:b w:val="0"/>
          <w:bCs/>
          <w:sz w:val="22"/>
          <w:szCs w:val="22"/>
        </w:rPr>
      </w:pPr>
    </w:p>
    <w:p w14:paraId="75799BCF" w14:textId="77777777" w:rsidR="00306706" w:rsidRDefault="00306706">
      <w:pPr>
        <w:pStyle w:val="Heading1"/>
        <w:spacing w:before="240" w:after="120"/>
        <w:rPr>
          <w:b w:val="0"/>
          <w:bCs/>
          <w:sz w:val="22"/>
          <w:szCs w:val="22"/>
        </w:rPr>
      </w:pPr>
    </w:p>
    <w:p w14:paraId="28522CBD" w14:textId="77777777" w:rsidR="00306706" w:rsidRDefault="00306706">
      <w:pPr>
        <w:pStyle w:val="Heading1"/>
        <w:spacing w:before="240" w:after="120"/>
        <w:rPr>
          <w:b w:val="0"/>
          <w:bCs/>
          <w:sz w:val="22"/>
          <w:szCs w:val="22"/>
        </w:rPr>
      </w:pPr>
    </w:p>
    <w:p w14:paraId="46153A44" w14:textId="346BFC23" w:rsidR="005A0DF3" w:rsidRDefault="00000000" w:rsidP="00B94AB0">
      <w:pPr>
        <w:pStyle w:val="Heading2"/>
      </w:pPr>
      <w:r>
        <w:lastRenderedPageBreak/>
        <w:t>Supplementary Methods</w:t>
      </w:r>
    </w:p>
    <w:p w14:paraId="501AB1D6" w14:textId="77777777" w:rsidR="00EC4C4A" w:rsidRDefault="00EC4C4A" w:rsidP="00B94AB0">
      <w:pPr>
        <w:pStyle w:val="Heading2"/>
      </w:pPr>
    </w:p>
    <w:p w14:paraId="078F6218" w14:textId="77777777" w:rsidR="008A3916" w:rsidRDefault="008A3916" w:rsidP="008A3916">
      <w:pPr>
        <w:spacing w:before="120" w:after="80"/>
      </w:pPr>
      <w:r>
        <w:rPr>
          <w:b/>
          <w:sz w:val="24"/>
        </w:rPr>
        <w:t>S1. Diagnostic investigation of the proportional-hazards assumption and structural sensitivity of the invasion-pressure metric</w:t>
      </w:r>
    </w:p>
    <w:p w14:paraId="22B2EF1D" w14:textId="77777777" w:rsidR="008A3916" w:rsidRDefault="008A3916" w:rsidP="008A3916">
      <w:pPr>
        <w:spacing w:before="160" w:after="40"/>
      </w:pPr>
      <w:r>
        <w:rPr>
          <w:b/>
          <w:sz w:val="22"/>
        </w:rPr>
        <w:t>Proportional-hazards assessment.</w:t>
      </w:r>
    </w:p>
    <w:p w14:paraId="458BEE72" w14:textId="62C21A5E" w:rsidR="008A3916" w:rsidRDefault="008A3916" w:rsidP="008A3916">
      <w:pPr>
        <w:spacing w:after="120"/>
        <w:jc w:val="both"/>
      </w:pPr>
      <w:r>
        <w:t xml:space="preserve">The proportional-hazards assumption was evaluated for all covariates in the primary multivariable Cox model using scaled Schoenfeld residuals. A global departure from proportionality was identified (χ² = 25.77, df = 8, p = 0.001), with individual-covariate tests indicating non-proportionality for geographic distance (χ² = 4.35, p = 0.037), neighbourhood invasion pressure (χ² = 5.69, p = 0.017), precipitation (χ² = 6.11, p = 0.013), and </w:t>
      </w:r>
      <w:r w:rsidR="00482A58">
        <w:t>Urbanization</w:t>
      </w:r>
      <w:r>
        <w:t xml:space="preserve"> category (χ² = 6.28, df = 2, p = 0.043). Temperature and relative humidity, the covariates underlying the primary eco-climatic diffusion interaction, showed no evidence of non-proportionality (p = 0.667 and p = 0.231, respectively). Scaled Schoenfeld residual plots for geographic distance and neighbourhood invasion pressure are shown in Supplementary Figure S</w:t>
      </w:r>
      <w:r w:rsidR="00A61024">
        <w:t>4</w:t>
      </w:r>
      <w:r>
        <w:t xml:space="preserve">, and the full test is reported in Supplementary Table </w:t>
      </w:r>
      <w:r w:rsidR="002D667D">
        <w:t>S</w:t>
      </w:r>
      <w:r w:rsidR="00AF260C">
        <w:t>6</w:t>
      </w:r>
      <w:r w:rsidR="002D667D">
        <w:t>-S</w:t>
      </w:r>
      <w:r w:rsidR="00AF260C">
        <w:t>10</w:t>
      </w:r>
      <w:r>
        <w:t>.</w:t>
      </w:r>
    </w:p>
    <w:p w14:paraId="6C3B8251" w14:textId="77777777" w:rsidR="008A3916" w:rsidRDefault="008A3916" w:rsidP="008A3916">
      <w:pPr>
        <w:spacing w:before="160" w:after="40"/>
      </w:pPr>
      <w:r>
        <w:rPr>
          <w:b/>
          <w:sz w:val="22"/>
        </w:rPr>
        <w:t>Time-varying coefficient analysis.</w:t>
      </w:r>
    </w:p>
    <w:p w14:paraId="42035098" w14:textId="4DD20170" w:rsidR="008A3916" w:rsidRDefault="008A3916" w:rsidP="008A3916">
      <w:pPr>
        <w:spacing w:after="120"/>
        <w:jc w:val="both"/>
      </w:pPr>
      <w:r>
        <w:t xml:space="preserve">Because geographic distance and neighbourhood invasion pressure are the principal spatial-diffusion metrics and the dominant predictors of invasion risk, their time-dependent behaviour was characterised using a time-varying coefficient extension of the Cox model, in which each metric was interacted with a logarithmic function of follow-up time </w:t>
      </w:r>
      <m:oMath>
        <m:d>
          <m:dPr>
            <m:ctrlPr>
              <w:rPr>
                <w:rFonts w:ascii="Cambria Math" w:hAnsi="Cambria Math"/>
              </w:rPr>
            </m:ctrlPr>
          </m:dPr>
          <m:e>
            <m:r>
              <w:rPr>
                <w:rFonts w:ascii="Cambria Math" w:hAnsi="Cambria Math"/>
              </w:rPr>
              <m:t>covariate×log</m:t>
            </m:r>
            <m:d>
              <m:dPr>
                <m:begChr m:val="["/>
                <m:endChr m:val="]"/>
                <m:ctrlPr>
                  <w:rPr>
                    <w:rFonts w:ascii="Cambria Math" w:hAnsi="Cambria Math"/>
                  </w:rPr>
                </m:ctrlPr>
              </m:dPr>
              <m:e>
                <m:r>
                  <w:rPr>
                    <w:rFonts w:ascii="Cambria Math" w:hAnsi="Cambria Math"/>
                  </w:rPr>
                  <m:t>t+1</m:t>
                </m:r>
              </m:e>
            </m:d>
          </m:e>
        </m:d>
      </m:oMath>
      <w:r>
        <w:t xml:space="preserve">. Under this specification, neither metric exhibited a statistically significant time-varying coefficient: the interaction with log follow-up time was non-significant for invasion pressure (HR 0.88, 95% CI 0.71–1.09, p = 0.231) and for geographic distance (HR 1.18, 95% CI 0.98–1.42, p = 0.080). The point estimates are directionally consistent with a weakening of the pressure effect and an attenuation of the distance penalty over follow-up, but the evidence for a defined temporal trend of this form is weak, indicating that the departure detected by the Schoenfeld test is modest and not well described by a smooth logarithmic time trend. Both metrics remained strongly associated with invasion hazard throughout the observation period, with study-entry hazard ratios of 0.41 (95% CI 0.27–0.62) for distance and 1.88 (95% CI 1.02–3.43) for pressure (concordance = 0.878; </w:t>
      </w:r>
      <w:r w:rsidRPr="0000756D">
        <w:t>Supplementary Table S</w:t>
      </w:r>
      <w:r w:rsidR="00A71671">
        <w:t>7</w:t>
      </w:r>
      <w:r>
        <w:t>). These study-entry values are the conditional effects at t = 0 under the time-varying parameterisation and are therefore distinct from the period-averaged estimates of the primary model (distance 0.56 and pressure 1.26 per standard deviation, on average across the study period).</w:t>
      </w:r>
    </w:p>
    <w:p w14:paraId="0A2E049C" w14:textId="77777777" w:rsidR="008A3916" w:rsidRDefault="008A3916" w:rsidP="008A3916">
      <w:pPr>
        <w:spacing w:before="160" w:after="40"/>
      </w:pPr>
      <w:r>
        <w:rPr>
          <w:b/>
          <w:sz w:val="22"/>
        </w:rPr>
        <w:t>Structural investigation of the invasion-pressure distance-decay kernel.</w:t>
      </w:r>
    </w:p>
    <w:p w14:paraId="7660299E" w14:textId="33C59949" w:rsidR="00CC5790" w:rsidRDefault="008A3916" w:rsidP="008A3916">
      <w:pPr>
        <w:spacing w:after="120"/>
        <w:jc w:val="both"/>
      </w:pPr>
      <w:r>
        <w:t>We next examined whether the</w:t>
      </w:r>
      <w:r w:rsidR="004C45A6">
        <w:t xml:space="preserve"> modest</w:t>
      </w:r>
      <w:r>
        <w:t xml:space="preserve"> departure </w:t>
      </w:r>
      <w:r w:rsidR="004C45A6">
        <w:t xml:space="preserve">from proportional hazard </w:t>
      </w:r>
      <w:r>
        <w:t xml:space="preserve">was attributable to an assumption embedded in the unweighted invasion-pressure kernel, namely that all previously invaded regions contribute equally to a focal region’s exposure per unit of distance, irrespective of transmission intensity in the source region. As a control, we first confirmed that including source-region case intensity as an additive covariate (log of reported cases in the nearest invaded region) did not resolve the departure: the primary model, which already contains this term, retains non-proportionality for distance (p = 0.037) and pressure (p = 0.017), establishing that the departure is specific to the structural form of distance-exposure aggregation within the kernel rather than to the presence of case-intensity information. We then constructed two alternative kernels in which source-region contributions were weighted by an index of local transmission intensity, by </w:t>
      </w:r>
      <m:oMath>
        <m:r>
          <w:rPr>
            <w:rFonts w:ascii="Cambria Math" w:hAnsi="Cambria Math"/>
          </w:rPr>
          <m:t>log</m:t>
        </m:r>
        <m:d>
          <m:dPr>
            <m:ctrlPr>
              <w:rPr>
                <w:rFonts w:ascii="Cambria Math" w:hAnsi="Cambria Math"/>
              </w:rPr>
            </m:ctrlPr>
          </m:dPr>
          <m:e>
            <m:r>
              <w:rPr>
                <w:rFonts w:ascii="Cambria Math" w:hAnsi="Cambria Math"/>
              </w:rPr>
              <m:t>cases+1</m:t>
            </m:r>
          </m:e>
        </m:d>
      </m:oMath>
      <w:r>
        <w:t xml:space="preserve"> and by </w:t>
      </w:r>
      <m:oMath>
        <m:r>
          <w:rPr>
            <w:rFonts w:ascii="Cambria Math" w:hAnsi="Cambria Math"/>
          </w:rPr>
          <m:t xml:space="preserve">√cases </m:t>
        </m:r>
      </m:oMath>
      <w:r>
        <w:t xml:space="preserve">observed in each source region in the preceding year, and refitted the primary model substituting each weighted kernel for the unweighted </w:t>
      </w:r>
      <m:oMath>
        <m:r>
          <w:rPr>
            <w:rFonts w:ascii="Cambria Math" w:hAnsi="Cambria Math"/>
          </w:rPr>
          <m:t>Φ</m:t>
        </m:r>
      </m:oMath>
      <w:r>
        <w:t xml:space="preserve"> (</w:t>
      </w:r>
      <w:r w:rsidRPr="0000756D">
        <w:t>Supplementary Table S</w:t>
      </w:r>
      <w:r w:rsidR="00A71671" w:rsidRPr="0000756D">
        <w:t>8</w:t>
      </w:r>
      <w:r>
        <w:t xml:space="preserve">). Both weighted formulations resolved the departures in the diffusion metrics (distance p = 0.509 and 0.591; pressure p = 0.159 and 0.365, for the </w:t>
      </w:r>
      <m:oMath>
        <m:r>
          <w:rPr>
            <w:rFonts w:ascii="Cambria Math" w:hAnsi="Cambria Math"/>
          </w:rPr>
          <m:t>log</m:t>
        </m:r>
        <m:d>
          <m:dPr>
            <m:ctrlPr>
              <w:rPr>
                <w:rFonts w:ascii="Cambria Math" w:hAnsi="Cambria Math"/>
              </w:rPr>
            </m:ctrlPr>
          </m:dPr>
          <m:e>
            <m:r>
              <w:rPr>
                <w:rFonts w:ascii="Cambria Math" w:hAnsi="Cambria Math"/>
              </w:rPr>
              <m:t>cases+1</m:t>
            </m:r>
          </m:e>
        </m:d>
      </m:oMath>
      <w:r>
        <w:t xml:space="preserve">- and </w:t>
      </w:r>
      <m:oMath>
        <m:r>
          <w:rPr>
            <w:rFonts w:ascii="Cambria Math" w:hAnsi="Cambria Math"/>
          </w:rPr>
          <m:t>√cases-</m:t>
        </m:r>
        <m:r>
          <m:rPr>
            <m:sty m:val="p"/>
          </m:rPr>
          <w:rPr>
            <w:rFonts w:ascii="Cambria Math" w:hAnsi="Cambria Math"/>
          </w:rPr>
          <m:t>weighted</m:t>
        </m:r>
        <m:r>
          <w:rPr>
            <w:rFonts w:ascii="Cambria Math" w:hAnsi="Cambria Math"/>
          </w:rPr>
          <m:t xml:space="preserve"> </m:t>
        </m:r>
      </m:oMath>
      <w:r>
        <w:t xml:space="preserve">kernels respectively), but neither eliminated the global departure (p = 0.013 and 0.023). In both weighted models the residual global departure localised to precipitation, whose non-proportionality was essentially unchanged by the re-weighting (p = 0.013 and 0.017), whereas the </w:t>
      </w:r>
      <w:r w:rsidR="00482A58">
        <w:t>Urbanization</w:t>
      </w:r>
      <w:r>
        <w:t xml:space="preserve"> departure seen in the primary model did not persist under re-specification (p = 0.161 and 0.152); precipitation is therefore the principal, but not the sole, residual source. Critically, both weighted kernels produced substantially poorer fit than the unweighted kernel by AIC (ΔAIC = 21.3 and 24.1) at essentially unchanged concordance (0.873 versus 0.875), and yielded attenuated pressure effect sizes (HR 1.09–1.11 versus 1.26). The unweighted </w:t>
      </w:r>
      <m:oMath>
        <m:r>
          <w:rPr>
            <w:rFonts w:ascii="Cambria Math" w:hAnsi="Cambria Math"/>
          </w:rPr>
          <m:t xml:space="preserve">Φ </m:t>
        </m:r>
      </m:oMath>
      <w:r>
        <w:t xml:space="preserve">is therefore retained as the primary invasion-pressure metric on the basis of its superior fit, with the weighted kernels reported as complementary sensitivity analyses characterising the structural assumptions of the kernel. </w:t>
      </w:r>
    </w:p>
    <w:p w14:paraId="589CFDE5" w14:textId="1ADB07DB" w:rsidR="00786DD2" w:rsidRDefault="00CC5790" w:rsidP="00786DD2">
      <w:pPr>
        <w:spacing w:after="120"/>
        <w:jc w:val="both"/>
      </w:pPr>
      <w:r w:rsidRPr="00CC5790">
        <w:t xml:space="preserve">The two weighted metrics were strongly correlated with the unweighted Φ (r = 0.72 and 0.71 for the log(cases + 1)- and √cases-weighted kernels, respectively), indicating that they largely capture the same spatial-exposure </w:t>
      </w:r>
      <w:r w:rsidRPr="00CC5790">
        <w:lastRenderedPageBreak/>
        <w:t xml:space="preserve">structure and differ </w:t>
      </w:r>
      <w:r>
        <w:t>mainly</w:t>
      </w:r>
      <w:r w:rsidRPr="00CC5790">
        <w:t xml:space="preserve"> in up-weighting source regions with higher recent incidence; their poorer fit therefore reflects that this case-intensity re-weighting adds noise rather than signal relative to the geographic density of surrounding invaded regions.</w:t>
      </w:r>
    </w:p>
    <w:p w14:paraId="5FD5A767" w14:textId="77777777" w:rsidR="008A3916" w:rsidRDefault="008A3916" w:rsidP="008A3916">
      <w:pPr>
        <w:spacing w:before="160" w:after="40"/>
      </w:pPr>
      <w:r>
        <w:rPr>
          <w:b/>
          <w:sz w:val="22"/>
        </w:rPr>
        <w:t>Phase-stratified assessment.</w:t>
      </w:r>
    </w:p>
    <w:p w14:paraId="22841108" w14:textId="34273B93" w:rsidR="008A3916" w:rsidRDefault="008A3916" w:rsidP="008A3916">
      <w:pPr>
        <w:spacing w:after="120"/>
        <w:jc w:val="both"/>
      </w:pPr>
      <w:r>
        <w:t xml:space="preserve">To determine whether the departure arose from differences in baseline hazard across the successive phases of the epidemic rather than from effect-level time dependence, the primary model was refitted with the baseline hazard stratified by invasion phase. The covariate hazard ratios were essentially unchanged from the primary model (distance 0.56, 95% CI 0.50–0.62; pressure 1.26, 95% CI 1.17–1.35, on average across the study period; Supplementary Table </w:t>
      </w:r>
      <w:r w:rsidR="001C4CC8">
        <w:t>S</w:t>
      </w:r>
      <w:r w:rsidR="00A71671">
        <w:t>9</w:t>
      </w:r>
      <w:r>
        <w:t>), indicating that the covariate effects are stable across phases and that the departure reflects effect-level time dependence rather than phase-specific differences in baseline hazard.</w:t>
      </w:r>
    </w:p>
    <w:p w14:paraId="3F6047F2" w14:textId="77777777" w:rsidR="008A3916" w:rsidRDefault="008A3916" w:rsidP="008A3916">
      <w:pPr>
        <w:spacing w:before="160" w:after="40"/>
      </w:pPr>
      <w:r>
        <w:rPr>
          <w:b/>
          <w:sz w:val="22"/>
        </w:rPr>
        <w:t>Precipitation non-proportionality sensitivity.</w:t>
      </w:r>
    </w:p>
    <w:p w14:paraId="2ACFC6B4" w14:textId="51F0FF05" w:rsidR="003E2B24" w:rsidRPr="00C55CFB" w:rsidRDefault="008A3916" w:rsidP="00C55CFB">
      <w:pPr>
        <w:spacing w:after="120"/>
        <w:jc w:val="both"/>
      </w:pPr>
      <w:r>
        <w:t xml:space="preserve">Because precipitation was the principal residual violator, we refitted the primary model allowing its coefficient to vary over follow-up time </w:t>
      </w:r>
      <m:oMath>
        <m:d>
          <m:dPr>
            <m:ctrlPr>
              <w:rPr>
                <w:rFonts w:ascii="Cambria Math" w:hAnsi="Cambria Math"/>
              </w:rPr>
            </m:ctrlPr>
          </m:dPr>
          <m:e>
            <m:r>
              <w:rPr>
                <w:rFonts w:ascii="Cambria Math" w:hAnsi="Cambria Math"/>
              </w:rPr>
              <m:t>precipitation×log</m:t>
            </m:r>
            <m:d>
              <m:dPr>
                <m:begChr m:val="["/>
                <m:endChr m:val="]"/>
                <m:ctrlPr>
                  <w:rPr>
                    <w:rFonts w:ascii="Cambria Math" w:hAnsi="Cambria Math"/>
                  </w:rPr>
                </m:ctrlPr>
              </m:dPr>
              <m:e>
                <m:r>
                  <w:rPr>
                    <w:rFonts w:ascii="Cambria Math" w:hAnsi="Cambria Math"/>
                  </w:rPr>
                  <m:t>t+1</m:t>
                </m:r>
              </m:e>
            </m:d>
          </m:e>
        </m:d>
        <m:r>
          <w:rPr>
            <w:rFonts w:ascii="Cambria Math" w:hAnsi="Cambria Math"/>
          </w:rPr>
          <m:t>.</m:t>
        </m:r>
      </m:oMath>
      <w:r>
        <w:t xml:space="preserve"> The precipitation time-interaction was significant (HR 0.78, 95% CI 0.61–1.00, p = 0.047), consistent with its residual non-proportionality, but the distance, pressure, temperature, and humidity hazard ratios were unchanged from the primary model (Supplementary Table S</w:t>
      </w:r>
      <w:r w:rsidR="00A71671">
        <w:t>10</w:t>
      </w:r>
      <w:r>
        <w:t>). The residual non-proportionality attributable to precipitation, an adjustment covariate, therefore does not affect the interpreted eco-climatic or diffusion effects.</w:t>
      </w:r>
    </w:p>
    <w:p w14:paraId="780ABA5D" w14:textId="32E58944" w:rsidR="005A0DF3" w:rsidRDefault="00000000" w:rsidP="00E34444">
      <w:pPr>
        <w:rPr>
          <w:b/>
          <w:bCs/>
          <w:sz w:val="22"/>
          <w:szCs w:val="22"/>
        </w:rPr>
      </w:pPr>
      <w:r>
        <w:rPr>
          <w:b/>
          <w:bCs/>
          <w:sz w:val="22"/>
          <w:szCs w:val="22"/>
        </w:rPr>
        <w:t>Supplementary Figures</w:t>
      </w:r>
    </w:p>
    <w:p w14:paraId="7D9F3E10" w14:textId="77777777" w:rsidR="008930EE" w:rsidRDefault="008930EE" w:rsidP="00E34444"/>
    <w:p w14:paraId="6D568C9E" w14:textId="4788C18D" w:rsidR="004C45A6" w:rsidRPr="004C45A6" w:rsidRDefault="00000000" w:rsidP="00FC4952">
      <w:pPr>
        <w:spacing w:after="200"/>
        <w:rPr>
          <w:b/>
          <w:bCs/>
        </w:rPr>
      </w:pPr>
      <w:r>
        <w:rPr>
          <w:b/>
          <w:bCs/>
        </w:rPr>
        <w:t xml:space="preserve">Note: </w:t>
      </w:r>
      <w:r w:rsidRPr="004C45A6">
        <w:t>Supplementary Figures S</w:t>
      </w:r>
      <w:r w:rsidR="00234FB5" w:rsidRPr="004C45A6">
        <w:t>1</w:t>
      </w:r>
      <w:r w:rsidRPr="004C45A6">
        <w:t>–S</w:t>
      </w:r>
      <w:r w:rsidR="004C45A6" w:rsidRPr="004C45A6">
        <w:t>9</w:t>
      </w:r>
      <w:r w:rsidRPr="004C45A6">
        <w:t xml:space="preserve"> are embedded in this document.</w:t>
      </w:r>
      <w:r w:rsidR="00234FB5" w:rsidRPr="004C45A6">
        <w:t xml:space="preserve"> Figure S1 represents the overall conceptual</w:t>
      </w:r>
      <w:r w:rsidR="003E2B24" w:rsidRPr="004C45A6">
        <w:t xml:space="preserve"> framework</w:t>
      </w:r>
      <w:r w:rsidR="00234FB5" w:rsidRPr="004C45A6">
        <w:t xml:space="preserve"> (illustrative) of this study.</w:t>
      </w:r>
      <w:r w:rsidRPr="004C45A6">
        <w:t xml:space="preserve"> Figure S</w:t>
      </w:r>
      <w:r w:rsidR="008930EE" w:rsidRPr="004C45A6">
        <w:t>2</w:t>
      </w:r>
      <w:r w:rsidRPr="004C45A6">
        <w:t xml:space="preserve"> shows the profile-likelihood curve for the spatial decay parameter λ</w:t>
      </w:r>
      <w:r w:rsidR="004C45A6" w:rsidRPr="004C45A6">
        <w:t>, along with the AIC and Concordance</w:t>
      </w:r>
      <w:r w:rsidRPr="004C45A6">
        <w:t>. Figure S</w:t>
      </w:r>
      <w:r w:rsidR="004C45A6" w:rsidRPr="004C45A6">
        <w:t>3</w:t>
      </w:r>
      <w:r w:rsidRPr="004C45A6">
        <w:t xml:space="preserve"> shows the </w:t>
      </w:r>
      <w:r w:rsidR="004C45A6" w:rsidRPr="004C45A6">
        <w:t>stability of primary hazard ratio estimates across leave-one-country-out sensitivity analysis</w:t>
      </w:r>
      <w:r w:rsidRPr="004C45A6">
        <w:t xml:space="preserve">. </w:t>
      </w:r>
      <w:r w:rsidR="004C45A6" w:rsidRPr="004C45A6">
        <w:t xml:space="preserve">Figure S4 shows scaled Schoenfeld residual plots for geographic distance and neighbourhood invasion pressure. </w:t>
      </w:r>
      <w:r w:rsidRPr="004C45A6">
        <w:t>Figure S</w:t>
      </w:r>
      <w:r w:rsidR="008930EE" w:rsidRPr="004C45A6">
        <w:t>5</w:t>
      </w:r>
      <w:r w:rsidRPr="004C45A6">
        <w:t xml:space="preserve"> shows the distribution of geographic </w:t>
      </w:r>
      <w:r w:rsidR="001C4CC8">
        <w:t>annual mean temperature stratified by neighbourhood pressure quintile</w:t>
      </w:r>
      <w:r w:rsidRPr="004C45A6">
        <w:t>.</w:t>
      </w:r>
      <w:r w:rsidR="004C45A6" w:rsidRPr="004C45A6">
        <w:t xml:space="preserve"> Figure S6 shows the distribution of the distance between each newly invaded NUTS3 region and its nearest previously invaded neighbour at the time of first emergence, stratified by invasion phase: Early (2006–2010), Middle (2011–2015), Pre-COVID (2016–2019), and Post-COVID (2020–2024). Figure S7 shows </w:t>
      </w:r>
      <w:r w:rsidR="00482A58">
        <w:rPr>
          <w:rStyle w:val="Strong"/>
          <w:b w:val="0"/>
          <w:bCs w:val="0"/>
        </w:rPr>
        <w:t>Urbanization</w:t>
      </w:r>
      <w:r w:rsidR="004C45A6" w:rsidRPr="004C45A6">
        <w:rPr>
          <w:rStyle w:val="Strong"/>
          <w:b w:val="0"/>
          <w:bCs w:val="0"/>
        </w:rPr>
        <w:t xml:space="preserve"> composition of first-invaded regions compared with the at-risk regional background. Figure S8 shows </w:t>
      </w:r>
      <w:r w:rsidR="00482A58">
        <w:rPr>
          <w:rStyle w:val="Strong"/>
          <w:b w:val="0"/>
          <w:bCs w:val="0"/>
        </w:rPr>
        <w:t>Urbanization</w:t>
      </w:r>
      <w:r w:rsidR="004C45A6" w:rsidRPr="004C45A6">
        <w:rPr>
          <w:rStyle w:val="Strong"/>
          <w:b w:val="0"/>
          <w:bCs w:val="0"/>
        </w:rPr>
        <w:t xml:space="preserve"> composition of first-invaded regions by invasion phase. Figure S9 shows</w:t>
      </w:r>
      <w:r w:rsidR="004C45A6" w:rsidRPr="004C45A6">
        <w:rPr>
          <w:b/>
          <w:bCs/>
        </w:rPr>
        <w:t xml:space="preserve">. </w:t>
      </w:r>
      <w:r w:rsidR="004C45A6" w:rsidRPr="004C45A6">
        <w:rPr>
          <w:rStyle w:val="Strong"/>
          <w:b w:val="0"/>
          <w:bCs w:val="0"/>
        </w:rPr>
        <w:t xml:space="preserve">Phase-specific first-invasion rate by </w:t>
      </w:r>
      <w:r w:rsidR="00482A58">
        <w:rPr>
          <w:rStyle w:val="Strong"/>
          <w:b w:val="0"/>
          <w:bCs w:val="0"/>
        </w:rPr>
        <w:t>Urbanization</w:t>
      </w:r>
      <w:r w:rsidR="004C45A6" w:rsidRPr="004C45A6">
        <w:rPr>
          <w:rStyle w:val="Strong"/>
          <w:b w:val="0"/>
          <w:bCs w:val="0"/>
        </w:rPr>
        <w:t xml:space="preserve"> category.</w:t>
      </w:r>
    </w:p>
    <w:p w14:paraId="0CAF17C9" w14:textId="77777777" w:rsidR="00234FB5" w:rsidRDefault="00234FB5" w:rsidP="00234FB5">
      <w:pPr>
        <w:rPr>
          <w:lang w:val="en-US" w:eastAsia="en-US"/>
        </w:rPr>
      </w:pPr>
      <w:r>
        <w:rPr>
          <w:noProof/>
          <w:lang w:val="en-US" w:eastAsia="en-US"/>
        </w:rPr>
        <w:drawing>
          <wp:inline distT="0" distB="0" distL="0" distR="0" wp14:anchorId="36E3D798" wp14:editId="01284710">
            <wp:extent cx="5249712" cy="3035523"/>
            <wp:effectExtent l="0" t="0" r="0" b="0"/>
            <wp:docPr id="1198993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93104" name="Picture 1198993104"/>
                    <pic:cNvPicPr/>
                  </pic:nvPicPr>
                  <pic:blipFill rotWithShape="1">
                    <a:blip r:embed="rId7"/>
                    <a:srcRect l="965" t="868" r="1022" b="14117"/>
                    <a:stretch>
                      <a:fillRect/>
                    </a:stretch>
                  </pic:blipFill>
                  <pic:spPr bwMode="auto">
                    <a:xfrm>
                      <a:off x="0" y="0"/>
                      <a:ext cx="5251938" cy="3036810"/>
                    </a:xfrm>
                    <a:prstGeom prst="rect">
                      <a:avLst/>
                    </a:prstGeom>
                    <a:ln>
                      <a:noFill/>
                    </a:ln>
                    <a:extLst>
                      <a:ext uri="{53640926-AAD7-44D8-BBD7-CCE9431645EC}">
                        <a14:shadowObscured xmlns:a14="http://schemas.microsoft.com/office/drawing/2010/main"/>
                      </a:ext>
                    </a:extLst>
                  </pic:spPr>
                </pic:pic>
              </a:graphicData>
            </a:graphic>
          </wp:inline>
        </w:drawing>
      </w:r>
    </w:p>
    <w:p w14:paraId="34302AB9" w14:textId="77777777" w:rsidR="00234FB5" w:rsidRPr="00361B93" w:rsidRDefault="00234FB5" w:rsidP="00234FB5">
      <w:pPr>
        <w:pStyle w:val="p1"/>
        <w:rPr>
          <w:i/>
          <w:iCs/>
          <w:sz w:val="20"/>
          <w:szCs w:val="20"/>
        </w:rPr>
      </w:pPr>
      <w:r w:rsidRPr="00CB31FB">
        <w:rPr>
          <w:b/>
          <w:bCs/>
          <w:i/>
          <w:iCs/>
          <w:sz w:val="20"/>
          <w:szCs w:val="20"/>
        </w:rPr>
        <w:t>Figure S1. Overview of the analytical framework used to quantify the invasion risk of West Nile virus (WNV) across European NUTS3 regions (2006–2024).</w:t>
      </w:r>
      <w:r w:rsidRPr="00CB31FB">
        <w:rPr>
          <w:i/>
          <w:iCs/>
          <w:sz w:val="20"/>
          <w:szCs w:val="20"/>
        </w:rPr>
        <w:t xml:space="preserve"> The workflow integrates WNV occurrence records, climatic </w:t>
      </w:r>
      <w:r>
        <w:rPr>
          <w:i/>
          <w:iCs/>
          <w:sz w:val="20"/>
          <w:szCs w:val="20"/>
        </w:rPr>
        <w:t>covariates</w:t>
      </w:r>
      <w:r w:rsidRPr="00CB31FB">
        <w:rPr>
          <w:i/>
          <w:iCs/>
          <w:sz w:val="20"/>
          <w:szCs w:val="20"/>
        </w:rPr>
        <w:t xml:space="preserve"> from ERA5, urbanization data from Eurostat, and geographic distances derived from NUTS3 boundary shapefiles. Spatial diffusion covariates were constructed as (i) distance to the nearest </w:t>
      </w:r>
      <w:r w:rsidRPr="00CB31FB">
        <w:rPr>
          <w:i/>
          <w:iCs/>
          <w:sz w:val="20"/>
          <w:szCs w:val="20"/>
        </w:rPr>
        <w:lastRenderedPageBreak/>
        <w:t>previously invaded region and (ii) neighbourhood invasion pressure, calculated using a spatial-decay kernel that weights the influence of all previously invaded regions according to geographic distance. Time-varying climatic and urbanization covariates were linked to annual observations and organized in a start–stop survival framework. Associations between covariates and first WNV invasion were evaluated using Cox proportional hazards models, Kaplan–Meier analyses, and interaction analyses. Model performance was assessed using Akaike’s Information Criterion (AIC) and concordance statistics, while robustness was evaluated through sensitivity analyses including alternative spatial-decay parameters and kernels, shared frailty models, climate anomaly models, and leave-one-country-out analyses.</w:t>
      </w:r>
      <w:r>
        <w:rPr>
          <w:i/>
          <w:iCs/>
          <w:sz w:val="20"/>
          <w:szCs w:val="20"/>
        </w:rPr>
        <w:t xml:space="preserve"> Note : The figure is illustrative only.</w:t>
      </w:r>
    </w:p>
    <w:p w14:paraId="4AA14276" w14:textId="6370F092" w:rsidR="00E31E8D" w:rsidRDefault="004C3E13">
      <w:pPr>
        <w:spacing w:after="200"/>
      </w:pPr>
      <w:r>
        <w:rPr>
          <w:noProof/>
        </w:rPr>
        <w:drawing>
          <wp:inline distT="0" distB="0" distL="0" distR="0" wp14:anchorId="7ECA00AE" wp14:editId="268905C7">
            <wp:extent cx="5486400" cy="2743200"/>
            <wp:effectExtent l="0" t="0" r="0" b="0"/>
            <wp:docPr id="1101410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0568" name="Picture 1101410568"/>
                    <pic:cNvPicPr/>
                  </pic:nvPicPr>
                  <pic:blipFill>
                    <a:blip r:embed="rId8"/>
                    <a:stretch>
                      <a:fillRect/>
                    </a:stretch>
                  </pic:blipFill>
                  <pic:spPr>
                    <a:xfrm>
                      <a:off x="0" y="0"/>
                      <a:ext cx="5486400" cy="2743200"/>
                    </a:xfrm>
                    <a:prstGeom prst="rect">
                      <a:avLst/>
                    </a:prstGeom>
                  </pic:spPr>
                </pic:pic>
              </a:graphicData>
            </a:graphic>
          </wp:inline>
        </w:drawing>
      </w:r>
    </w:p>
    <w:p w14:paraId="6A5B38F5" w14:textId="2EF5640A" w:rsidR="004C3E13" w:rsidRDefault="009E431C">
      <w:pPr>
        <w:spacing w:after="200"/>
        <w:rPr>
          <w:i/>
          <w:iCs/>
        </w:rPr>
      </w:pPr>
      <w:r w:rsidRPr="009E431C">
        <w:rPr>
          <w:b/>
          <w:bCs/>
          <w:i/>
          <w:iCs/>
        </w:rPr>
        <w:t xml:space="preserve">Supplementary Figure </w:t>
      </w:r>
      <w:r w:rsidR="004C3E13" w:rsidRPr="009E431C">
        <w:rPr>
          <w:b/>
          <w:bCs/>
          <w:i/>
          <w:iCs/>
        </w:rPr>
        <w:t>S2:</w:t>
      </w:r>
      <w:r w:rsidR="004C3E13" w:rsidRPr="009E431C">
        <w:rPr>
          <w:i/>
          <w:iCs/>
        </w:rPr>
        <w:t xml:space="preserve"> </w:t>
      </w:r>
      <w:r w:rsidR="004C3E13" w:rsidRPr="009E431C">
        <w:rPr>
          <w:b/>
          <w:bCs/>
          <w:i/>
          <w:iCs/>
        </w:rPr>
        <w:t>Sensitivity of the invasion pressure metric to the spatial-decay parameter (λ).</w:t>
      </w:r>
      <w:r w:rsidR="004C3E13" w:rsidRPr="009E431C">
        <w:rPr>
          <w:i/>
          <w:iCs/>
        </w:rPr>
        <w:t xml:space="preserve"> (A) Hazard ratios (HRs) and 95% confidence intervals for neighbourhood invasion pressure estimated from multivariable Cox models across alternative decay distances. (B) Model fit assessed using Akaike’s Information Criterion (AIC). Lower values indicate better fit. (C) Model discrimination assessed using Harrell’s concordance statistic. Across all tested decay distances, invasion pressure remained positively associated with invasion risk, while model fit and predictive performance remained stable, indicating that the results are robust to the specification of the spatial decay parameter</w:t>
      </w:r>
      <w:r w:rsidR="00B2482B">
        <w:rPr>
          <w:i/>
          <w:iCs/>
        </w:rPr>
        <w:t>.</w:t>
      </w:r>
    </w:p>
    <w:p w14:paraId="7C32C21C" w14:textId="77777777" w:rsidR="00B2482B" w:rsidRDefault="00B2482B" w:rsidP="00B2482B">
      <w:pPr>
        <w:rPr>
          <w:b/>
          <w:bCs/>
        </w:rPr>
      </w:pPr>
      <w:r>
        <w:rPr>
          <w:b/>
          <w:bCs/>
          <w:noProof/>
        </w:rPr>
        <w:drawing>
          <wp:inline distT="0" distB="0" distL="0" distR="0" wp14:anchorId="482BFED8" wp14:editId="5ADC8367">
            <wp:extent cx="5264727" cy="3158957"/>
            <wp:effectExtent l="0" t="0" r="0" b="3810"/>
            <wp:docPr id="9411825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2598" name="Picture 941182598"/>
                    <pic:cNvPicPr/>
                  </pic:nvPicPr>
                  <pic:blipFill>
                    <a:blip r:embed="rId9"/>
                    <a:stretch>
                      <a:fillRect/>
                    </a:stretch>
                  </pic:blipFill>
                  <pic:spPr>
                    <a:xfrm>
                      <a:off x="0" y="0"/>
                      <a:ext cx="5269094" cy="3161577"/>
                    </a:xfrm>
                    <a:prstGeom prst="rect">
                      <a:avLst/>
                    </a:prstGeom>
                  </pic:spPr>
                </pic:pic>
              </a:graphicData>
            </a:graphic>
          </wp:inline>
        </w:drawing>
      </w:r>
    </w:p>
    <w:p w14:paraId="345A3018" w14:textId="17AD152B" w:rsidR="00B2482B" w:rsidRDefault="00B2482B" w:rsidP="00B725F6">
      <w:pPr>
        <w:rPr>
          <w:i/>
          <w:iCs/>
        </w:rPr>
      </w:pPr>
      <w:r w:rsidRPr="00FB3C3A">
        <w:rPr>
          <w:b/>
          <w:bCs/>
          <w:i/>
          <w:iCs/>
        </w:rPr>
        <w:lastRenderedPageBreak/>
        <w:t>Supplementary Figure S</w:t>
      </w:r>
      <w:r>
        <w:rPr>
          <w:b/>
          <w:bCs/>
          <w:i/>
          <w:iCs/>
        </w:rPr>
        <w:t>3</w:t>
      </w:r>
      <w:r w:rsidRPr="00FB3C3A">
        <w:rPr>
          <w:i/>
          <w:iCs/>
        </w:rPr>
        <w:t>. Stability of primary hazard ratio estimates across leave-one-country-out analyses. Each point represents the hazard ratio estimated from the primary multivariable Cox proportional hazards model after sequentially excluding one of the 18 countries contributing to the dataset. Three key predictors are shown: geographic distance to the nearest previously invaded region (purple), neighbourhood invasion pressure ( teal), and annual mean temperature (orange). Vertical dashed lines indicate the primary full-dataset estimate for each predictor. The tight clustering of country-specific estimates around the primary values confirms that no single country's epidemic, surveillance system, or geographic distribution of NUTS3 regions disproportionately influenced the main findings.</w:t>
      </w:r>
    </w:p>
    <w:p w14:paraId="34F78B70" w14:textId="77777777" w:rsidR="00B725F6" w:rsidRPr="00B725F6" w:rsidRDefault="00B725F6" w:rsidP="00B725F6">
      <w:pPr>
        <w:rPr>
          <w:i/>
          <w:iCs/>
        </w:rPr>
      </w:pPr>
    </w:p>
    <w:p w14:paraId="02362BDA" w14:textId="7814E55A" w:rsidR="004C3E13" w:rsidRDefault="000935CA" w:rsidP="00BA7382">
      <w:pPr>
        <w:spacing w:after="200"/>
        <w:jc w:val="center"/>
      </w:pPr>
      <w:r>
        <w:rPr>
          <w:noProof/>
        </w:rPr>
        <w:drawing>
          <wp:inline distT="0" distB="0" distL="0" distR="0" wp14:anchorId="54AFB4F1" wp14:editId="1DA70413">
            <wp:extent cx="5150050" cy="2405751"/>
            <wp:effectExtent l="0" t="0" r="0" b="0"/>
            <wp:docPr id="1878615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15915" name="Picture 1878615915"/>
                    <pic:cNvPicPr/>
                  </pic:nvPicPr>
                  <pic:blipFill rotWithShape="1">
                    <a:blip r:embed="rId10"/>
                    <a:srcRect t="5455" r="3395" b="4289"/>
                    <a:stretch>
                      <a:fillRect/>
                    </a:stretch>
                  </pic:blipFill>
                  <pic:spPr bwMode="auto">
                    <a:xfrm>
                      <a:off x="0" y="0"/>
                      <a:ext cx="5162517" cy="2411575"/>
                    </a:xfrm>
                    <a:prstGeom prst="rect">
                      <a:avLst/>
                    </a:prstGeom>
                    <a:ln>
                      <a:noFill/>
                    </a:ln>
                    <a:extLst>
                      <a:ext uri="{53640926-AAD7-44D8-BBD7-CCE9431645EC}">
                        <a14:shadowObscured xmlns:a14="http://schemas.microsoft.com/office/drawing/2010/main"/>
                      </a:ext>
                    </a:extLst>
                  </pic:spPr>
                </pic:pic>
              </a:graphicData>
            </a:graphic>
          </wp:inline>
        </w:drawing>
      </w:r>
    </w:p>
    <w:p w14:paraId="0A15D819" w14:textId="21426B4A" w:rsidR="005A0DF3" w:rsidRPr="005153A1" w:rsidRDefault="00000000">
      <w:pPr>
        <w:spacing w:after="200"/>
        <w:rPr>
          <w:i/>
          <w:iCs/>
        </w:rPr>
      </w:pPr>
      <w:r w:rsidRPr="005153A1">
        <w:rPr>
          <w:b/>
          <w:bCs/>
          <w:i/>
          <w:iCs/>
        </w:rPr>
        <w:t>Supplementary Figure S</w:t>
      </w:r>
      <w:r w:rsidR="00B2482B">
        <w:rPr>
          <w:b/>
          <w:bCs/>
          <w:i/>
          <w:iCs/>
        </w:rPr>
        <w:t>4</w:t>
      </w:r>
      <w:r w:rsidRPr="005153A1">
        <w:rPr>
          <w:b/>
          <w:bCs/>
          <w:i/>
          <w:iCs/>
        </w:rPr>
        <w:t xml:space="preserve">. </w:t>
      </w:r>
      <w:r w:rsidRPr="005153A1">
        <w:rPr>
          <w:i/>
          <w:iCs/>
        </w:rPr>
        <w:t xml:space="preserve">Scaled Schoenfeld residual plots for the proportional hazards assumption diagnostic. (A) Geographic distance to the nearest previously invaded region (distance100). (B) Neighbourhood invasion pressure (pressure_z). In each panel, points represent scaled Schoenfeld residuals for individual first-invasion events plotted against event time (years since 2006); the smooth line (LOESS fit) and shaded 95% confidence band indicate the estimated time-varying pattern of the covariate's coefficient. Departure of the smooth line from a horizontal trajectory indicates non-proportionality. Both covariates show a systematic temporal trend, confirming a genuine, </w:t>
      </w:r>
      <w:r w:rsidR="00FA7931" w:rsidRPr="005153A1">
        <w:rPr>
          <w:i/>
          <w:iCs/>
        </w:rPr>
        <w:t>modest</w:t>
      </w:r>
      <w:r w:rsidRPr="005153A1">
        <w:rPr>
          <w:i/>
          <w:iCs/>
        </w:rPr>
        <w:t xml:space="preserve"> departure from the proportional hazards assumption (see Supplementary Methods S1).</w:t>
      </w:r>
    </w:p>
    <w:p w14:paraId="0F16BE75" w14:textId="22065D32" w:rsidR="00FC3777" w:rsidRDefault="00527EDE">
      <w:pPr>
        <w:spacing w:after="200"/>
        <w:rPr>
          <w:b/>
          <w:bCs/>
        </w:rPr>
      </w:pPr>
      <w:r>
        <w:rPr>
          <w:b/>
          <w:bCs/>
          <w:noProof/>
        </w:rPr>
        <w:drawing>
          <wp:inline distT="0" distB="0" distL="0" distR="0" wp14:anchorId="693209FF" wp14:editId="23218064">
            <wp:extent cx="5347663" cy="3342136"/>
            <wp:effectExtent l="0" t="0" r="0" b="0"/>
            <wp:docPr id="2141117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17263" name="Picture 2141117263"/>
                    <pic:cNvPicPr/>
                  </pic:nvPicPr>
                  <pic:blipFill>
                    <a:blip r:embed="rId11"/>
                    <a:stretch>
                      <a:fillRect/>
                    </a:stretch>
                  </pic:blipFill>
                  <pic:spPr>
                    <a:xfrm>
                      <a:off x="0" y="0"/>
                      <a:ext cx="5359118" cy="3349295"/>
                    </a:xfrm>
                    <a:prstGeom prst="rect">
                      <a:avLst/>
                    </a:prstGeom>
                  </pic:spPr>
                </pic:pic>
              </a:graphicData>
            </a:graphic>
          </wp:inline>
        </w:drawing>
      </w:r>
    </w:p>
    <w:p w14:paraId="030FEFA8" w14:textId="76899876" w:rsidR="005A0DF3" w:rsidRPr="00FB3C3A" w:rsidRDefault="00000000">
      <w:pPr>
        <w:spacing w:after="200"/>
        <w:rPr>
          <w:i/>
          <w:iCs/>
        </w:rPr>
      </w:pPr>
      <w:r w:rsidRPr="00FB3C3A">
        <w:rPr>
          <w:b/>
          <w:bCs/>
          <w:i/>
          <w:iCs/>
        </w:rPr>
        <w:lastRenderedPageBreak/>
        <w:t>Supplementary Figure S</w:t>
      </w:r>
      <w:r w:rsidR="00B2482B">
        <w:rPr>
          <w:b/>
          <w:bCs/>
          <w:i/>
          <w:iCs/>
        </w:rPr>
        <w:t>5</w:t>
      </w:r>
      <w:r w:rsidRPr="00FB3C3A">
        <w:rPr>
          <w:b/>
          <w:bCs/>
          <w:i/>
          <w:iCs/>
        </w:rPr>
        <w:t xml:space="preserve">. </w:t>
      </w:r>
      <w:r w:rsidRPr="00FB3C3A">
        <w:rPr>
          <w:i/>
          <w:iCs/>
        </w:rPr>
        <w:t>Distribution of annual mean temperatures at the time of first human WNV emergence, stratified by quintile of neighbourhood invasion pressure (Φ) at the focal region in the year of invasion (Very low, Low, Moderate, High, Very high; n = 53–54 per category). Violin shapes show the full density distribution of temperatures within each pressure category; internal boxplots indicate medians and interquartile ranges; individual points represent observed first invasion events. Temperature differed significantly across pressure categories (Kruskal–Wallis χ² = 43.1, df = 4, p = 9.9 × 10⁻⁹). Pairwise post-hoc comparisons (Wilcoxon rank-sum tests, Benjamini–Hochberg adjusted) showed that the Very Low category differed significantly from all four higher categories (all adjusted p &lt; 2.1 × 10⁻⁵), whereas the Low, Moderate, High, and Very High categories were largely statistically indistinguishable (all pairwise adjusted p &gt; 0.07, with the exception of Low vs. Very High, adjusted p = 0.021). This pattern indicates that elevated temperature at first invasion is associated with the presence of any meaningful neighbourhood invasion pressure, rather than increasing progressively across higher pressure levels — a step-like relationship that contrasts with the more continuous temperature gradient observed across categories of geographic distance to the nearest invaded region (Figure 4A, main text).</w:t>
      </w:r>
    </w:p>
    <w:p w14:paraId="6B6720A1" w14:textId="3E553B77" w:rsidR="00FC3777" w:rsidRDefault="00527EDE" w:rsidP="00F86271">
      <w:pPr>
        <w:spacing w:after="200"/>
        <w:jc w:val="center"/>
        <w:rPr>
          <w:b/>
          <w:bCs/>
        </w:rPr>
      </w:pPr>
      <w:r>
        <w:rPr>
          <w:b/>
          <w:bCs/>
          <w:noProof/>
        </w:rPr>
        <w:drawing>
          <wp:inline distT="0" distB="0" distL="0" distR="0" wp14:anchorId="66D728A2" wp14:editId="6F29BD58">
            <wp:extent cx="5548630" cy="3467735"/>
            <wp:effectExtent l="0" t="0" r="1270" b="0"/>
            <wp:docPr id="726338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38272" name="Picture 9"/>
                    <pic:cNvPicPr/>
                  </pic:nvPicPr>
                  <pic:blipFill>
                    <a:blip r:embed="rId12"/>
                    <a:stretch>
                      <a:fillRect/>
                    </a:stretch>
                  </pic:blipFill>
                  <pic:spPr>
                    <a:xfrm>
                      <a:off x="0" y="0"/>
                      <a:ext cx="5548630" cy="3467735"/>
                    </a:xfrm>
                    <a:prstGeom prst="rect">
                      <a:avLst/>
                    </a:prstGeom>
                  </pic:spPr>
                </pic:pic>
              </a:graphicData>
            </a:graphic>
          </wp:inline>
        </w:drawing>
      </w:r>
    </w:p>
    <w:p w14:paraId="1569B8D4" w14:textId="106CE65D" w:rsidR="005A0DF3" w:rsidRPr="00FB3C3A" w:rsidRDefault="00000000">
      <w:pPr>
        <w:spacing w:after="200"/>
        <w:rPr>
          <w:i/>
          <w:iCs/>
        </w:rPr>
      </w:pPr>
      <w:r w:rsidRPr="00FB3C3A">
        <w:rPr>
          <w:b/>
          <w:bCs/>
          <w:i/>
          <w:iCs/>
        </w:rPr>
        <w:t>Supplementary Figure S</w:t>
      </w:r>
      <w:r w:rsidR="00B2482B">
        <w:rPr>
          <w:b/>
          <w:bCs/>
          <w:i/>
          <w:iCs/>
        </w:rPr>
        <w:t>6</w:t>
      </w:r>
      <w:r w:rsidRPr="00FB3C3A">
        <w:rPr>
          <w:b/>
          <w:bCs/>
          <w:i/>
          <w:iCs/>
        </w:rPr>
        <w:t xml:space="preserve">. </w:t>
      </w:r>
      <w:r w:rsidRPr="00FB3C3A">
        <w:rPr>
          <w:i/>
          <w:iCs/>
        </w:rPr>
        <w:t>Distribution of the distance between each newly invaded NUTS3 region and its nearest previously invaded neighbour at the time of first emergence, stratified by invasion phase: Early (2006–2010), Middle (2011–2015), Pre-COVID (2016–2019), and Post-COVID (2020–2024). Violin shapes show the full density distribution of distances within each phase, plotted on a log scale to accommodate the right-skewed distribution; internal boxplots indicate medians and interquartile ranges; individual points represent observed first invasion events. Distance differed significantly across invasion phases overall (Kruskal–Wallis χ² = 25.1, df = 3, p = 1.5 × 10⁻⁵). Pairwise post-hoc comparisons (Wilcoxon rank-sum tests, Benjamini–Hochberg adjusted) showed that the Early phase differed significantly from all three subsequent phases (Early vs. Middle, adjusted p = 7.1 × 10⁻⁴; Early vs. Pre-COVID, adjusted p = 9.2 × 10⁻⁶; Early vs. Post-COVID, adjusted p = 1.8 × 10⁻⁴), whereas the Middle, Pre-COVID, and Post-COVID phases were statistically indistinguishable (all pairwise adjusted p &gt; 0.16). Invasions during the Early phase occurred at consistently greater distances from existing foci — reflecting the sparse invasion landscape of this period when few source regions existed — after which typical invasion distances stabilised at shorter and consistent ranges as the endemic belt consolidated across southeastern and central Europe.</w:t>
      </w:r>
    </w:p>
    <w:p w14:paraId="13E46AB9" w14:textId="77777777" w:rsidR="005A0DF3" w:rsidRDefault="00000000">
      <w:r>
        <w:br w:type="page"/>
      </w:r>
    </w:p>
    <w:p w14:paraId="3BAF1664" w14:textId="17D41783" w:rsidR="00CB548B" w:rsidRDefault="00186983" w:rsidP="00FC4952">
      <w:pPr>
        <w:rPr>
          <w:rStyle w:val="Strong"/>
        </w:rPr>
      </w:pPr>
      <w:r>
        <w:rPr>
          <w:b/>
          <w:bCs/>
          <w:noProof/>
        </w:rPr>
        <w:lastRenderedPageBreak/>
        <w:drawing>
          <wp:inline distT="0" distB="0" distL="0" distR="0" wp14:anchorId="3E96A98C" wp14:editId="6B4B256D">
            <wp:extent cx="5264150" cy="3837200"/>
            <wp:effectExtent l="0" t="0" r="0" b="0"/>
            <wp:docPr id="12096916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1682" name="Picture 1209691682"/>
                    <pic:cNvPicPr/>
                  </pic:nvPicPr>
                  <pic:blipFill rotWithShape="1">
                    <a:blip r:embed="rId13"/>
                    <a:srcRect t="3175" r="5127"/>
                    <a:stretch>
                      <a:fillRect/>
                    </a:stretch>
                  </pic:blipFill>
                  <pic:spPr bwMode="auto">
                    <a:xfrm>
                      <a:off x="0" y="0"/>
                      <a:ext cx="5264150" cy="3837200"/>
                    </a:xfrm>
                    <a:prstGeom prst="rect">
                      <a:avLst/>
                    </a:prstGeom>
                    <a:ln>
                      <a:noFill/>
                    </a:ln>
                    <a:extLst>
                      <a:ext uri="{53640926-AAD7-44D8-BBD7-CCE9431645EC}">
                        <a14:shadowObscured xmlns:a14="http://schemas.microsoft.com/office/drawing/2010/main"/>
                      </a:ext>
                    </a:extLst>
                  </pic:spPr>
                </pic:pic>
              </a:graphicData>
            </a:graphic>
          </wp:inline>
        </w:drawing>
      </w:r>
    </w:p>
    <w:p w14:paraId="2EB86825" w14:textId="279AC9A3" w:rsidR="00286C32" w:rsidRPr="00A271E5" w:rsidRDefault="00CB548B" w:rsidP="00FC4952">
      <w:pPr>
        <w:rPr>
          <w:i/>
          <w:iCs/>
        </w:rPr>
      </w:pPr>
      <w:r w:rsidRPr="00286C32">
        <w:rPr>
          <w:rStyle w:val="Strong"/>
          <w:i/>
          <w:iCs/>
        </w:rPr>
        <w:t>Supplementary Figure S</w:t>
      </w:r>
      <w:r w:rsidR="00B2482B">
        <w:rPr>
          <w:rStyle w:val="Strong"/>
          <w:i/>
          <w:iCs/>
        </w:rPr>
        <w:t>7</w:t>
      </w:r>
      <w:r w:rsidRPr="00286C32">
        <w:rPr>
          <w:rStyle w:val="Strong"/>
          <w:i/>
          <w:iCs/>
        </w:rPr>
        <w:t xml:space="preserve">. </w:t>
      </w:r>
      <w:r w:rsidR="00482A58">
        <w:rPr>
          <w:rStyle w:val="Strong"/>
          <w:i/>
          <w:iCs/>
        </w:rPr>
        <w:t>Urbanization</w:t>
      </w:r>
      <w:r w:rsidRPr="00286C32">
        <w:rPr>
          <w:rStyle w:val="Strong"/>
          <w:i/>
          <w:iCs/>
        </w:rPr>
        <w:t xml:space="preserve"> composition of first-invaded regions compared with the at-risk regional background.</w:t>
      </w:r>
      <w:r w:rsidRPr="00286C32">
        <w:rPr>
          <w:i/>
          <w:iCs/>
        </w:rPr>
        <w:t xml:space="preserve"> Percentage of regions in each Eurostat degree-of-</w:t>
      </w:r>
      <w:r w:rsidR="00482A58">
        <w:rPr>
          <w:i/>
          <w:iCs/>
        </w:rPr>
        <w:t>Urbanization</w:t>
      </w:r>
      <w:r w:rsidRPr="00286C32">
        <w:rPr>
          <w:i/>
          <w:iCs/>
        </w:rPr>
        <w:t xml:space="preserve"> category (urban, intermediate, rural) among first-invaded regions (red; n = 269) and among all at-risk regions in the study area (grey; n = 1,011). Bars show the percentage within each group; counts (n) are indicated above each bar. First-invaded regions are those recording their first documented human WNV outbreak during the study period; the at-risk background comprises all regions contributing region-years to the analysis. The two distributions did not differ (χ² test of independence between </w:t>
      </w:r>
      <w:r w:rsidR="00482A58">
        <w:rPr>
          <w:i/>
          <w:iCs/>
        </w:rPr>
        <w:t>Urbanization</w:t>
      </w:r>
      <w:r w:rsidRPr="00286C32">
        <w:rPr>
          <w:i/>
          <w:iCs/>
        </w:rPr>
        <w:t xml:space="preserve"> category and invasion status, p = 0.52), indicating that the position of the invasion front is not structured by degree of </w:t>
      </w:r>
      <w:r w:rsidR="00482A58">
        <w:rPr>
          <w:i/>
          <w:iCs/>
        </w:rPr>
        <w:t>Urbanization</w:t>
      </w:r>
      <w:r w:rsidRPr="00286C32">
        <w:rPr>
          <w:i/>
          <w:iCs/>
        </w:rPr>
        <w:t xml:space="preserve">. This descriptive result is consistent with the non-significant </w:t>
      </w:r>
      <w:r w:rsidR="00482A58">
        <w:rPr>
          <w:i/>
          <w:iCs/>
        </w:rPr>
        <w:t>Urbanization</w:t>
      </w:r>
      <w:r w:rsidRPr="00286C32">
        <w:rPr>
          <w:i/>
          <w:iCs/>
        </w:rPr>
        <w:t xml:space="preserve"> hazard ratios in the primary multivariable model (Fig. 3A).</w:t>
      </w:r>
    </w:p>
    <w:p w14:paraId="29D1CB1A" w14:textId="312C54D3" w:rsidR="00BB0510" w:rsidRDefault="00EB5F26" w:rsidP="00FC4952">
      <w:r>
        <w:rPr>
          <w:noProof/>
        </w:rPr>
        <w:drawing>
          <wp:inline distT="0" distB="0" distL="0" distR="0" wp14:anchorId="0CBEE1E5" wp14:editId="216D75DE">
            <wp:extent cx="5548630" cy="3467735"/>
            <wp:effectExtent l="0" t="0" r="1270" b="0"/>
            <wp:docPr id="5647298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29810" name="Picture 564729810"/>
                    <pic:cNvPicPr/>
                  </pic:nvPicPr>
                  <pic:blipFill>
                    <a:blip r:embed="rId14"/>
                    <a:stretch>
                      <a:fillRect/>
                    </a:stretch>
                  </pic:blipFill>
                  <pic:spPr>
                    <a:xfrm>
                      <a:off x="0" y="0"/>
                      <a:ext cx="5548630" cy="3467735"/>
                    </a:xfrm>
                    <a:prstGeom prst="rect">
                      <a:avLst/>
                    </a:prstGeom>
                  </pic:spPr>
                </pic:pic>
              </a:graphicData>
            </a:graphic>
          </wp:inline>
        </w:drawing>
      </w:r>
    </w:p>
    <w:p w14:paraId="5C1F886E" w14:textId="739D505A" w:rsidR="00BB0510" w:rsidRPr="00BB0510" w:rsidRDefault="00BB0510" w:rsidP="00FC4952">
      <w:pPr>
        <w:rPr>
          <w:i/>
          <w:iCs/>
        </w:rPr>
      </w:pPr>
      <w:r w:rsidRPr="00BB0510">
        <w:rPr>
          <w:b/>
          <w:bCs/>
          <w:i/>
          <w:iCs/>
        </w:rPr>
        <w:lastRenderedPageBreak/>
        <w:t>Supplementary Figure S</w:t>
      </w:r>
      <w:r w:rsidR="00D00E4F">
        <w:rPr>
          <w:b/>
          <w:bCs/>
          <w:i/>
          <w:iCs/>
        </w:rPr>
        <w:t>8</w:t>
      </w:r>
      <w:r w:rsidRPr="00BB0510">
        <w:rPr>
          <w:b/>
          <w:bCs/>
          <w:i/>
          <w:iCs/>
        </w:rPr>
        <w:t>.</w:t>
      </w:r>
      <w:r w:rsidRPr="00BB0510">
        <w:rPr>
          <w:i/>
          <w:iCs/>
        </w:rPr>
        <w:t xml:space="preserve"> </w:t>
      </w:r>
      <w:r w:rsidR="00482A58">
        <w:rPr>
          <w:rStyle w:val="Strong"/>
          <w:i/>
          <w:iCs/>
        </w:rPr>
        <w:t>Urbanization</w:t>
      </w:r>
      <w:r w:rsidRPr="00BB0510">
        <w:rPr>
          <w:rStyle w:val="Strong"/>
          <w:i/>
          <w:iCs/>
        </w:rPr>
        <w:t xml:space="preserve"> composition of first-invaded regions by invasion phase.</w:t>
      </w:r>
      <w:r w:rsidRPr="00BB0510">
        <w:rPr>
          <w:i/>
          <w:iCs/>
        </w:rPr>
        <w:t xml:space="preserve"> Percentage of first-invaded regions in each Eurostat degree-of-</w:t>
      </w:r>
      <w:r w:rsidR="00482A58">
        <w:rPr>
          <w:i/>
          <w:iCs/>
        </w:rPr>
        <w:t>Urbanization</w:t>
      </w:r>
      <w:r w:rsidRPr="00BB0510">
        <w:rPr>
          <w:i/>
          <w:iCs/>
        </w:rPr>
        <w:t xml:space="preserve"> category (urban, intermediate, rural) within each invasion phase (Early, 200</w:t>
      </w:r>
      <w:r w:rsidR="00E4506B">
        <w:rPr>
          <w:i/>
          <w:iCs/>
        </w:rPr>
        <w:t>6</w:t>
      </w:r>
      <w:r w:rsidRPr="00BB0510">
        <w:rPr>
          <w:i/>
          <w:iCs/>
        </w:rPr>
        <w:t>–2010; Middle, 2011–2015; Pre-COVID, 2016–2019; Post-COVID, 2020–2024). Counts (n) are shown within bars and the phase total above each bar. The composition differed across phases (χ² test of independence, p = 0.007), reflecting a shift toward urban regions in the 2020–2024 period. Because this compositional measure does not account for the changing at-risk regional pool, the phase-specific rate analysis (Supplementary Figure S</w:t>
      </w:r>
      <w:r w:rsidR="00417E5C">
        <w:rPr>
          <w:i/>
          <w:iCs/>
        </w:rPr>
        <w:t>9</w:t>
      </w:r>
      <w:r w:rsidRPr="00BB0510">
        <w:rPr>
          <w:i/>
          <w:iCs/>
        </w:rPr>
        <w:t>) is required for interpretation.</w:t>
      </w:r>
    </w:p>
    <w:p w14:paraId="662D7587" w14:textId="582D3583" w:rsidR="00BB0510" w:rsidRDefault="00EB5F26" w:rsidP="00FC4952">
      <w:r>
        <w:rPr>
          <w:noProof/>
        </w:rPr>
        <w:drawing>
          <wp:inline distT="0" distB="0" distL="0" distR="0" wp14:anchorId="596AC14C" wp14:editId="6A482BC2">
            <wp:extent cx="5548630" cy="3467735"/>
            <wp:effectExtent l="0" t="0" r="1270" b="0"/>
            <wp:docPr id="1815077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335" name="Picture 1815077335"/>
                    <pic:cNvPicPr/>
                  </pic:nvPicPr>
                  <pic:blipFill>
                    <a:blip r:embed="rId15"/>
                    <a:stretch>
                      <a:fillRect/>
                    </a:stretch>
                  </pic:blipFill>
                  <pic:spPr>
                    <a:xfrm>
                      <a:off x="0" y="0"/>
                      <a:ext cx="5548630" cy="3467735"/>
                    </a:xfrm>
                    <a:prstGeom prst="rect">
                      <a:avLst/>
                    </a:prstGeom>
                  </pic:spPr>
                </pic:pic>
              </a:graphicData>
            </a:graphic>
          </wp:inline>
        </w:drawing>
      </w:r>
    </w:p>
    <w:p w14:paraId="198ECEA9" w14:textId="30F64D34" w:rsidR="00BB0510" w:rsidRPr="00C02E3D" w:rsidRDefault="00C02E3D" w:rsidP="00FC4952">
      <w:pPr>
        <w:rPr>
          <w:i/>
          <w:iCs/>
        </w:rPr>
      </w:pPr>
      <w:r w:rsidRPr="00C02E3D">
        <w:rPr>
          <w:b/>
          <w:bCs/>
          <w:i/>
          <w:iCs/>
        </w:rPr>
        <w:t>Supplementary Figure S</w:t>
      </w:r>
      <w:r w:rsidR="00D00E4F">
        <w:rPr>
          <w:b/>
          <w:bCs/>
          <w:i/>
          <w:iCs/>
        </w:rPr>
        <w:t>9</w:t>
      </w:r>
      <w:r w:rsidRPr="00C02E3D">
        <w:rPr>
          <w:b/>
          <w:bCs/>
          <w:i/>
          <w:iCs/>
        </w:rPr>
        <w:t>.</w:t>
      </w:r>
      <w:r w:rsidRPr="00C02E3D">
        <w:rPr>
          <w:i/>
          <w:iCs/>
        </w:rPr>
        <w:t xml:space="preserve"> </w:t>
      </w:r>
      <w:r w:rsidRPr="00C02E3D">
        <w:rPr>
          <w:rStyle w:val="Strong"/>
          <w:i/>
          <w:iCs/>
        </w:rPr>
        <w:t xml:space="preserve">Phase-specific first-invasion rate by </w:t>
      </w:r>
      <w:r w:rsidR="00482A58">
        <w:rPr>
          <w:rStyle w:val="Strong"/>
          <w:i/>
          <w:iCs/>
        </w:rPr>
        <w:t>Urbanization</w:t>
      </w:r>
      <w:r w:rsidRPr="00C02E3D">
        <w:rPr>
          <w:rStyle w:val="Strong"/>
          <w:i/>
          <w:iCs/>
        </w:rPr>
        <w:t xml:space="preserve"> category.</w:t>
      </w:r>
      <w:r w:rsidRPr="00C02E3D">
        <w:rPr>
          <w:i/>
          <w:iCs/>
        </w:rPr>
        <w:t xml:space="preserve"> First-invasion rate (per 1,000 at-risk region-years; log scale; points with exact Poisson 95% confidence intervals) for urban, intermediate, and rural regions across invasion phases. Using at-risk region-years as the denominator accounts for depletion of the susceptible pool as regions are invaded, so this analysis, unlike the composition in Supplementary Figure S</w:t>
      </w:r>
      <w:r w:rsidR="003E06D9">
        <w:rPr>
          <w:i/>
          <w:iCs/>
        </w:rPr>
        <w:t>8</w:t>
      </w:r>
      <w:r w:rsidRPr="00C02E3D">
        <w:rPr>
          <w:i/>
          <w:iCs/>
        </w:rPr>
        <w:t xml:space="preserve">, is not confounded by pool depletion. The </w:t>
      </w:r>
      <w:r w:rsidR="00482A58">
        <w:rPr>
          <w:i/>
          <w:iCs/>
        </w:rPr>
        <w:t>Urbanization</w:t>
      </w:r>
      <w:r w:rsidRPr="00C02E3D">
        <w:rPr>
          <w:i/>
          <w:iCs/>
        </w:rPr>
        <w:t>-specific rate varied across phases (</w:t>
      </w:r>
      <w:r w:rsidR="00482A58">
        <w:rPr>
          <w:i/>
          <w:iCs/>
        </w:rPr>
        <w:t>Urbanization</w:t>
      </w:r>
      <w:r w:rsidRPr="00C02E3D">
        <w:rPr>
          <w:i/>
          <w:iCs/>
        </w:rPr>
        <w:t xml:space="preserve"> × phase interaction, Poisson likelihood-ratio test, p = 0.006), an effect driven by the 2020–2024 period: the interaction was not significant when this period was excluded (p = 0.54), indicating that </w:t>
      </w:r>
      <w:r w:rsidR="00482A58">
        <w:rPr>
          <w:i/>
          <w:iCs/>
        </w:rPr>
        <w:t>Urbanization</w:t>
      </w:r>
      <w:r w:rsidRPr="00C02E3D">
        <w:rPr>
          <w:i/>
          <w:iCs/>
        </w:rPr>
        <w:t>-specific rates were stable from 2007 to 2019. This recent shift coincides with pandemic-related changes in WNV surveillance and cannot be attributed to transmission ecology with these data (see Discussion).</w:t>
      </w:r>
    </w:p>
    <w:p w14:paraId="3CDEED2F" w14:textId="323334F6" w:rsidR="005A0DF3" w:rsidRPr="001F4136" w:rsidRDefault="00000000">
      <w:pPr>
        <w:pStyle w:val="Heading1"/>
        <w:spacing w:before="240" w:after="120"/>
      </w:pPr>
      <w:r w:rsidRPr="001F4136">
        <w:rPr>
          <w:bCs/>
        </w:rPr>
        <w:t>Supplementary Tables</w:t>
      </w:r>
    </w:p>
    <w:p w14:paraId="3B64E5DA" w14:textId="3DFF57D0" w:rsidR="00154696" w:rsidRDefault="00000000">
      <w:pPr>
        <w:spacing w:after="200"/>
      </w:pPr>
      <w:r>
        <w:rPr>
          <w:b/>
          <w:bCs/>
        </w:rPr>
        <w:t xml:space="preserve">Supplementary Table S1. </w:t>
      </w:r>
      <w:r>
        <w:t xml:space="preserve">Sensitivity of the neighbourhood invasion pressure hazard ratio to the spatial decay parameter λ. Cox proportional hazards models were fitted iteratively using λ values from 25 to 500 km; all models included geographic distance, invasion pressure, annual mean temperature, precipitation, relative humidity, and </w:t>
      </w:r>
      <w:r w:rsidR="00482A58">
        <w:t>Urbanization</w:t>
      </w:r>
      <w:r>
        <w:t xml:space="preserve"> category as covariates. HR: hazard ratio for a one standard-deviation increase in neighbourhood invasion pressure; CIs: 95% confidence intervals. The optimal λ minimising the AIC was 50 km, selected for the primary analysis. Invasion pressure remained a significant positive predictor of first WNV emergence across all tested decay scales.</w:t>
      </w:r>
    </w:p>
    <w:tbl>
      <w:tblPr>
        <w:tblW w:w="4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97"/>
        <w:gridCol w:w="1378"/>
        <w:gridCol w:w="1080"/>
        <w:gridCol w:w="720"/>
        <w:gridCol w:w="1080"/>
      </w:tblGrid>
      <w:tr w:rsidR="00C23C7E" w:rsidRPr="00154696" w14:paraId="21903882" w14:textId="77777777" w:rsidTr="00143EC0">
        <w:trPr>
          <w:trHeight w:val="273"/>
        </w:trPr>
        <w:tc>
          <w:tcPr>
            <w:tcW w:w="597" w:type="dxa"/>
            <w:shd w:val="clear" w:color="auto" w:fill="D9D9D9"/>
          </w:tcPr>
          <w:p w14:paraId="1925E177" w14:textId="77777777" w:rsidR="00C23C7E" w:rsidRPr="00154696" w:rsidRDefault="00C23C7E" w:rsidP="00FD2078">
            <w:pPr>
              <w:spacing w:before="40" w:after="40"/>
            </w:pPr>
            <w:r w:rsidRPr="00154696">
              <w:rPr>
                <w:b/>
                <w:bCs/>
                <w:sz w:val="18"/>
                <w:szCs w:val="18"/>
              </w:rPr>
              <w:t>λ (km)</w:t>
            </w:r>
          </w:p>
        </w:tc>
        <w:tc>
          <w:tcPr>
            <w:tcW w:w="1378" w:type="dxa"/>
            <w:shd w:val="clear" w:color="auto" w:fill="D9D9D9"/>
          </w:tcPr>
          <w:p w14:paraId="5D4758F6" w14:textId="5111A296" w:rsidR="00C23C7E" w:rsidRPr="00154696" w:rsidRDefault="00C23C7E" w:rsidP="00FD2078">
            <w:pPr>
              <w:spacing w:before="40" w:after="40"/>
            </w:pPr>
            <w:r w:rsidRPr="00154696">
              <w:rPr>
                <w:b/>
                <w:bCs/>
                <w:sz w:val="18"/>
                <w:szCs w:val="18"/>
              </w:rPr>
              <w:t>HR</w:t>
            </w:r>
            <w:r>
              <w:rPr>
                <w:b/>
                <w:bCs/>
                <w:sz w:val="18"/>
                <w:szCs w:val="18"/>
              </w:rPr>
              <w:t xml:space="preserve"> (</w:t>
            </w:r>
            <w:r w:rsidRPr="00154696">
              <w:rPr>
                <w:b/>
                <w:bCs/>
                <w:sz w:val="18"/>
                <w:szCs w:val="18"/>
              </w:rPr>
              <w:t>95% CI</w:t>
            </w:r>
            <w:r>
              <w:rPr>
                <w:b/>
                <w:bCs/>
                <w:sz w:val="18"/>
                <w:szCs w:val="18"/>
              </w:rPr>
              <w:t>)</w:t>
            </w:r>
          </w:p>
        </w:tc>
        <w:tc>
          <w:tcPr>
            <w:tcW w:w="1080" w:type="dxa"/>
            <w:shd w:val="clear" w:color="auto" w:fill="D9D9D9"/>
          </w:tcPr>
          <w:p w14:paraId="16D28440" w14:textId="77777777" w:rsidR="00C23C7E" w:rsidRPr="00154696" w:rsidRDefault="00C23C7E" w:rsidP="00FD2078">
            <w:pPr>
              <w:spacing w:before="40" w:after="40"/>
            </w:pPr>
            <w:r w:rsidRPr="00154696">
              <w:rPr>
                <w:b/>
                <w:bCs/>
                <w:sz w:val="18"/>
                <w:szCs w:val="18"/>
              </w:rPr>
              <w:t>p-value</w:t>
            </w:r>
          </w:p>
        </w:tc>
        <w:tc>
          <w:tcPr>
            <w:tcW w:w="720" w:type="dxa"/>
            <w:shd w:val="clear" w:color="auto" w:fill="D9D9D9"/>
          </w:tcPr>
          <w:p w14:paraId="25284060" w14:textId="77777777" w:rsidR="00C23C7E" w:rsidRPr="00154696" w:rsidRDefault="00C23C7E" w:rsidP="00FD2078">
            <w:pPr>
              <w:spacing w:before="40" w:after="40"/>
            </w:pPr>
            <w:r w:rsidRPr="00154696">
              <w:rPr>
                <w:b/>
                <w:bCs/>
                <w:sz w:val="18"/>
                <w:szCs w:val="18"/>
              </w:rPr>
              <w:t>AIC</w:t>
            </w:r>
          </w:p>
        </w:tc>
        <w:tc>
          <w:tcPr>
            <w:tcW w:w="1080" w:type="dxa"/>
            <w:shd w:val="clear" w:color="auto" w:fill="D9D9D9"/>
          </w:tcPr>
          <w:p w14:paraId="143A7466" w14:textId="77777777" w:rsidR="00C23C7E" w:rsidRPr="00154696" w:rsidRDefault="00C23C7E" w:rsidP="00FD2078">
            <w:pPr>
              <w:spacing w:before="40" w:after="40"/>
            </w:pPr>
            <w:r w:rsidRPr="00154696">
              <w:rPr>
                <w:b/>
                <w:bCs/>
                <w:sz w:val="18"/>
                <w:szCs w:val="18"/>
              </w:rPr>
              <w:t>Concordance</w:t>
            </w:r>
          </w:p>
        </w:tc>
      </w:tr>
      <w:tr w:rsidR="00C23C7E" w:rsidRPr="00154696" w14:paraId="608C1921" w14:textId="77777777" w:rsidTr="00143EC0">
        <w:trPr>
          <w:trHeight w:val="286"/>
        </w:trPr>
        <w:tc>
          <w:tcPr>
            <w:tcW w:w="597" w:type="dxa"/>
            <w:shd w:val="clear" w:color="auto" w:fill="FFFFFF"/>
          </w:tcPr>
          <w:p w14:paraId="34D4A9B2" w14:textId="77777777" w:rsidR="00C23C7E" w:rsidRPr="00154696" w:rsidRDefault="00C23C7E" w:rsidP="00154696">
            <w:pPr>
              <w:spacing w:before="40" w:after="40"/>
              <w:rPr>
                <w:sz w:val="18"/>
                <w:szCs w:val="18"/>
              </w:rPr>
            </w:pPr>
            <w:r w:rsidRPr="00154696">
              <w:rPr>
                <w:sz w:val="18"/>
                <w:szCs w:val="18"/>
              </w:rPr>
              <w:t>25</w:t>
            </w:r>
          </w:p>
        </w:tc>
        <w:tc>
          <w:tcPr>
            <w:tcW w:w="1378" w:type="dxa"/>
            <w:shd w:val="clear" w:color="auto" w:fill="FFFFFF"/>
            <w:vAlign w:val="center"/>
          </w:tcPr>
          <w:p w14:paraId="5D7EDCAA" w14:textId="45F194C4" w:rsidR="00C23C7E" w:rsidRPr="00154696" w:rsidRDefault="00C23C7E" w:rsidP="00154696">
            <w:pPr>
              <w:spacing w:before="40" w:after="40"/>
              <w:rPr>
                <w:sz w:val="18"/>
                <w:szCs w:val="18"/>
              </w:rPr>
            </w:pPr>
            <w:r w:rsidRPr="00154696">
              <w:rPr>
                <w:rFonts w:eastAsia="Helvetica"/>
                <w:color w:val="000000"/>
                <w:sz w:val="18"/>
                <w:szCs w:val="18"/>
              </w:rPr>
              <w:t>1.16</w:t>
            </w:r>
            <w:r>
              <w:rPr>
                <w:rFonts w:eastAsia="Helvetica"/>
                <w:color w:val="000000"/>
                <w:sz w:val="18"/>
                <w:szCs w:val="18"/>
              </w:rPr>
              <w:t xml:space="preserve"> (1.10-1.22)</w:t>
            </w:r>
          </w:p>
        </w:tc>
        <w:tc>
          <w:tcPr>
            <w:tcW w:w="1080" w:type="dxa"/>
            <w:shd w:val="clear" w:color="auto" w:fill="FFFFFF"/>
          </w:tcPr>
          <w:p w14:paraId="6BF194F8" w14:textId="77777777" w:rsidR="00C23C7E" w:rsidRPr="00154696" w:rsidRDefault="00C23C7E" w:rsidP="00154696">
            <w:pPr>
              <w:spacing w:before="40" w:after="40"/>
              <w:rPr>
                <w:sz w:val="18"/>
                <w:szCs w:val="18"/>
              </w:rPr>
            </w:pPr>
            <w:r w:rsidRPr="00154696">
              <w:rPr>
                <w:sz w:val="18"/>
                <w:szCs w:val="18"/>
              </w:rPr>
              <w:t>1.77 × 10⁻⁸</w:t>
            </w:r>
          </w:p>
        </w:tc>
        <w:tc>
          <w:tcPr>
            <w:tcW w:w="720" w:type="dxa"/>
            <w:shd w:val="clear" w:color="auto" w:fill="FFFFFF"/>
            <w:vAlign w:val="center"/>
          </w:tcPr>
          <w:p w14:paraId="2DECE6F4" w14:textId="671548C2" w:rsidR="00C23C7E" w:rsidRPr="00154696" w:rsidRDefault="00C23C7E" w:rsidP="00154696">
            <w:pPr>
              <w:spacing w:before="40" w:after="40"/>
              <w:rPr>
                <w:sz w:val="18"/>
                <w:szCs w:val="18"/>
              </w:rPr>
            </w:pPr>
            <w:r w:rsidRPr="00154696">
              <w:rPr>
                <w:rFonts w:eastAsia="Helvetica"/>
                <w:color w:val="000000"/>
                <w:sz w:val="18"/>
                <w:szCs w:val="18"/>
              </w:rPr>
              <w:t>3,110.03</w:t>
            </w:r>
          </w:p>
        </w:tc>
        <w:tc>
          <w:tcPr>
            <w:tcW w:w="1080" w:type="dxa"/>
            <w:shd w:val="clear" w:color="auto" w:fill="FFFFFF"/>
            <w:vAlign w:val="center"/>
          </w:tcPr>
          <w:p w14:paraId="7464F807" w14:textId="130AB8A4" w:rsidR="00C23C7E" w:rsidRPr="00154696" w:rsidRDefault="00C23C7E" w:rsidP="00154696">
            <w:pPr>
              <w:spacing w:before="40" w:after="40"/>
              <w:rPr>
                <w:sz w:val="18"/>
                <w:szCs w:val="18"/>
              </w:rPr>
            </w:pPr>
            <w:r w:rsidRPr="00154696">
              <w:rPr>
                <w:rFonts w:eastAsia="Helvetica"/>
                <w:color w:val="000000"/>
                <w:sz w:val="18"/>
                <w:szCs w:val="18"/>
              </w:rPr>
              <w:t>0.87</w:t>
            </w:r>
          </w:p>
        </w:tc>
      </w:tr>
      <w:tr w:rsidR="00C23C7E" w:rsidRPr="00C23C7E" w14:paraId="16440D75" w14:textId="77777777" w:rsidTr="00143EC0">
        <w:trPr>
          <w:trHeight w:val="273"/>
        </w:trPr>
        <w:tc>
          <w:tcPr>
            <w:tcW w:w="597" w:type="dxa"/>
            <w:shd w:val="clear" w:color="auto" w:fill="FFFFFF"/>
          </w:tcPr>
          <w:p w14:paraId="79ACF91A" w14:textId="77777777" w:rsidR="00C23C7E" w:rsidRPr="00C23C7E" w:rsidRDefault="00C23C7E" w:rsidP="00154696">
            <w:pPr>
              <w:spacing w:before="40" w:after="40"/>
              <w:rPr>
                <w:b/>
                <w:bCs/>
                <w:sz w:val="18"/>
                <w:szCs w:val="18"/>
              </w:rPr>
            </w:pPr>
            <w:r w:rsidRPr="00C23C7E">
              <w:rPr>
                <w:b/>
                <w:bCs/>
                <w:sz w:val="18"/>
                <w:szCs w:val="18"/>
              </w:rPr>
              <w:t>50</w:t>
            </w:r>
          </w:p>
        </w:tc>
        <w:tc>
          <w:tcPr>
            <w:tcW w:w="1378" w:type="dxa"/>
            <w:shd w:val="clear" w:color="auto" w:fill="FFFFFF"/>
            <w:vAlign w:val="center"/>
          </w:tcPr>
          <w:p w14:paraId="7BDD4CC8" w14:textId="113B5095" w:rsidR="00C23C7E" w:rsidRPr="00C23C7E" w:rsidRDefault="00C23C7E" w:rsidP="00154696">
            <w:pPr>
              <w:spacing w:before="40" w:after="40"/>
              <w:rPr>
                <w:b/>
                <w:bCs/>
                <w:sz w:val="18"/>
                <w:szCs w:val="18"/>
              </w:rPr>
            </w:pPr>
            <w:r w:rsidRPr="00C23C7E">
              <w:rPr>
                <w:rFonts w:eastAsia="Helvetica"/>
                <w:b/>
                <w:bCs/>
                <w:color w:val="000000"/>
                <w:sz w:val="18"/>
                <w:szCs w:val="18"/>
              </w:rPr>
              <w:t>1.26</w:t>
            </w:r>
            <w:r>
              <w:rPr>
                <w:rFonts w:eastAsia="Helvetica"/>
                <w:b/>
                <w:bCs/>
                <w:color w:val="000000"/>
                <w:sz w:val="18"/>
                <w:szCs w:val="18"/>
              </w:rPr>
              <w:t xml:space="preserve"> (1.17-1.35)</w:t>
            </w:r>
          </w:p>
        </w:tc>
        <w:tc>
          <w:tcPr>
            <w:tcW w:w="1080" w:type="dxa"/>
            <w:shd w:val="clear" w:color="auto" w:fill="FFFFFF"/>
          </w:tcPr>
          <w:p w14:paraId="4D009B47" w14:textId="77777777" w:rsidR="00C23C7E" w:rsidRPr="00C23C7E" w:rsidRDefault="00C23C7E" w:rsidP="00154696">
            <w:pPr>
              <w:spacing w:before="40" w:after="40"/>
              <w:rPr>
                <w:b/>
                <w:bCs/>
                <w:sz w:val="18"/>
                <w:szCs w:val="18"/>
              </w:rPr>
            </w:pPr>
            <w:r w:rsidRPr="00C23C7E">
              <w:rPr>
                <w:b/>
                <w:bCs/>
                <w:sz w:val="18"/>
                <w:szCs w:val="18"/>
              </w:rPr>
              <w:t>5.78 × 10⁻¹¹</w:t>
            </w:r>
          </w:p>
        </w:tc>
        <w:tc>
          <w:tcPr>
            <w:tcW w:w="720" w:type="dxa"/>
            <w:shd w:val="clear" w:color="auto" w:fill="FFFFFF"/>
            <w:vAlign w:val="center"/>
          </w:tcPr>
          <w:p w14:paraId="2B51C0B8" w14:textId="258B8C14" w:rsidR="00C23C7E" w:rsidRPr="00C23C7E" w:rsidRDefault="00C23C7E" w:rsidP="00154696">
            <w:pPr>
              <w:spacing w:before="40" w:after="40"/>
              <w:rPr>
                <w:b/>
                <w:bCs/>
                <w:sz w:val="18"/>
                <w:szCs w:val="18"/>
              </w:rPr>
            </w:pPr>
            <w:r w:rsidRPr="00C23C7E">
              <w:rPr>
                <w:rFonts w:eastAsia="Helvetica"/>
                <w:b/>
                <w:bCs/>
                <w:color w:val="000000"/>
                <w:sz w:val="18"/>
                <w:szCs w:val="18"/>
              </w:rPr>
              <w:t>3,099.66</w:t>
            </w:r>
          </w:p>
        </w:tc>
        <w:tc>
          <w:tcPr>
            <w:tcW w:w="1080" w:type="dxa"/>
            <w:shd w:val="clear" w:color="auto" w:fill="FFFFFF"/>
            <w:vAlign w:val="center"/>
          </w:tcPr>
          <w:p w14:paraId="7A5B2915" w14:textId="3C9CD983" w:rsidR="00C23C7E" w:rsidRPr="00C23C7E" w:rsidRDefault="00C23C7E" w:rsidP="00154696">
            <w:pPr>
              <w:spacing w:before="40" w:after="40"/>
              <w:rPr>
                <w:b/>
                <w:bCs/>
                <w:sz w:val="18"/>
                <w:szCs w:val="18"/>
              </w:rPr>
            </w:pPr>
            <w:r w:rsidRPr="00C23C7E">
              <w:rPr>
                <w:rFonts w:eastAsia="Helvetica"/>
                <w:b/>
                <w:bCs/>
                <w:color w:val="000000"/>
                <w:sz w:val="18"/>
                <w:szCs w:val="18"/>
              </w:rPr>
              <w:t>0.88</w:t>
            </w:r>
          </w:p>
        </w:tc>
      </w:tr>
      <w:tr w:rsidR="00C23C7E" w:rsidRPr="00154696" w14:paraId="3BB9B74E" w14:textId="77777777" w:rsidTr="00143EC0">
        <w:trPr>
          <w:trHeight w:val="273"/>
        </w:trPr>
        <w:tc>
          <w:tcPr>
            <w:tcW w:w="597" w:type="dxa"/>
            <w:shd w:val="clear" w:color="auto" w:fill="FFFFFF"/>
          </w:tcPr>
          <w:p w14:paraId="4BC4FA86" w14:textId="77777777" w:rsidR="00C23C7E" w:rsidRPr="00154696" w:rsidRDefault="00C23C7E" w:rsidP="00154696">
            <w:pPr>
              <w:spacing w:before="40" w:after="40"/>
              <w:rPr>
                <w:sz w:val="18"/>
                <w:szCs w:val="18"/>
              </w:rPr>
            </w:pPr>
            <w:r w:rsidRPr="00154696">
              <w:rPr>
                <w:sz w:val="18"/>
                <w:szCs w:val="18"/>
              </w:rPr>
              <w:t>75</w:t>
            </w:r>
          </w:p>
        </w:tc>
        <w:tc>
          <w:tcPr>
            <w:tcW w:w="1378" w:type="dxa"/>
            <w:shd w:val="clear" w:color="auto" w:fill="FFFFFF"/>
            <w:vAlign w:val="center"/>
          </w:tcPr>
          <w:p w14:paraId="5ECBC949" w14:textId="27F8BF70" w:rsidR="00C23C7E" w:rsidRPr="00154696" w:rsidRDefault="00C23C7E" w:rsidP="00154696">
            <w:pPr>
              <w:spacing w:before="40" w:after="40"/>
              <w:rPr>
                <w:sz w:val="18"/>
                <w:szCs w:val="18"/>
              </w:rPr>
            </w:pPr>
            <w:r w:rsidRPr="00154696">
              <w:rPr>
                <w:rFonts w:eastAsia="Helvetica"/>
                <w:color w:val="000000"/>
                <w:sz w:val="18"/>
                <w:szCs w:val="18"/>
              </w:rPr>
              <w:t>1.30</w:t>
            </w:r>
            <w:r>
              <w:rPr>
                <w:rFonts w:eastAsia="Helvetica"/>
                <w:color w:val="000000"/>
                <w:sz w:val="18"/>
                <w:szCs w:val="18"/>
              </w:rPr>
              <w:t xml:space="preserve"> (1.19-1.42)</w:t>
            </w:r>
          </w:p>
        </w:tc>
        <w:tc>
          <w:tcPr>
            <w:tcW w:w="1080" w:type="dxa"/>
            <w:shd w:val="clear" w:color="auto" w:fill="FFFFFF"/>
          </w:tcPr>
          <w:p w14:paraId="4A0F8DEC" w14:textId="77777777" w:rsidR="00C23C7E" w:rsidRPr="00154696" w:rsidRDefault="00C23C7E" w:rsidP="00154696">
            <w:pPr>
              <w:spacing w:before="40" w:after="40"/>
              <w:rPr>
                <w:sz w:val="18"/>
                <w:szCs w:val="18"/>
              </w:rPr>
            </w:pPr>
            <w:r w:rsidRPr="00154696">
              <w:rPr>
                <w:sz w:val="18"/>
                <w:szCs w:val="18"/>
              </w:rPr>
              <w:t>4.17 × 10⁻¹⁰</w:t>
            </w:r>
          </w:p>
        </w:tc>
        <w:tc>
          <w:tcPr>
            <w:tcW w:w="720" w:type="dxa"/>
            <w:shd w:val="clear" w:color="auto" w:fill="FFFFFF"/>
            <w:vAlign w:val="center"/>
          </w:tcPr>
          <w:p w14:paraId="51C46C74" w14:textId="0F5142A0" w:rsidR="00C23C7E" w:rsidRPr="00154696" w:rsidRDefault="00C23C7E" w:rsidP="00154696">
            <w:pPr>
              <w:spacing w:before="40" w:after="40"/>
              <w:rPr>
                <w:sz w:val="18"/>
                <w:szCs w:val="18"/>
              </w:rPr>
            </w:pPr>
            <w:r w:rsidRPr="00154696">
              <w:rPr>
                <w:rFonts w:eastAsia="Helvetica"/>
                <w:color w:val="000000"/>
                <w:sz w:val="18"/>
                <w:szCs w:val="18"/>
              </w:rPr>
              <w:t>3,100.83</w:t>
            </w:r>
          </w:p>
        </w:tc>
        <w:tc>
          <w:tcPr>
            <w:tcW w:w="1080" w:type="dxa"/>
            <w:shd w:val="clear" w:color="auto" w:fill="FFFFFF"/>
            <w:vAlign w:val="center"/>
          </w:tcPr>
          <w:p w14:paraId="7781702F" w14:textId="2A0223C2" w:rsidR="00C23C7E" w:rsidRPr="00154696" w:rsidRDefault="00C23C7E" w:rsidP="00154696">
            <w:pPr>
              <w:spacing w:before="40" w:after="40"/>
              <w:rPr>
                <w:sz w:val="18"/>
                <w:szCs w:val="18"/>
              </w:rPr>
            </w:pPr>
            <w:r w:rsidRPr="00154696">
              <w:rPr>
                <w:rFonts w:eastAsia="Helvetica"/>
                <w:color w:val="000000"/>
                <w:sz w:val="18"/>
                <w:szCs w:val="18"/>
              </w:rPr>
              <w:t>0.87</w:t>
            </w:r>
          </w:p>
        </w:tc>
      </w:tr>
      <w:tr w:rsidR="00C23C7E" w:rsidRPr="00154696" w14:paraId="4B974AAF" w14:textId="77777777" w:rsidTr="00143EC0">
        <w:trPr>
          <w:trHeight w:val="286"/>
        </w:trPr>
        <w:tc>
          <w:tcPr>
            <w:tcW w:w="597" w:type="dxa"/>
            <w:shd w:val="clear" w:color="auto" w:fill="FFFFFF"/>
          </w:tcPr>
          <w:p w14:paraId="5EBA0B51" w14:textId="77777777" w:rsidR="00C23C7E" w:rsidRPr="00154696" w:rsidRDefault="00C23C7E" w:rsidP="00154696">
            <w:pPr>
              <w:spacing w:before="40" w:after="40"/>
              <w:rPr>
                <w:sz w:val="18"/>
                <w:szCs w:val="18"/>
              </w:rPr>
            </w:pPr>
            <w:r w:rsidRPr="00154696">
              <w:rPr>
                <w:sz w:val="18"/>
                <w:szCs w:val="18"/>
              </w:rPr>
              <w:t>100</w:t>
            </w:r>
          </w:p>
        </w:tc>
        <w:tc>
          <w:tcPr>
            <w:tcW w:w="1378" w:type="dxa"/>
            <w:shd w:val="clear" w:color="auto" w:fill="FFFFFF"/>
            <w:vAlign w:val="center"/>
          </w:tcPr>
          <w:p w14:paraId="2251166B" w14:textId="457FABC0" w:rsidR="00C23C7E" w:rsidRPr="00154696" w:rsidRDefault="00C23C7E" w:rsidP="00154696">
            <w:pPr>
              <w:spacing w:before="40" w:after="40"/>
              <w:rPr>
                <w:sz w:val="18"/>
                <w:szCs w:val="18"/>
              </w:rPr>
            </w:pPr>
            <w:r w:rsidRPr="00154696">
              <w:rPr>
                <w:rFonts w:eastAsia="Helvetica"/>
                <w:color w:val="000000"/>
                <w:sz w:val="18"/>
                <w:szCs w:val="18"/>
              </w:rPr>
              <w:t>1.33</w:t>
            </w:r>
            <w:r>
              <w:rPr>
                <w:rFonts w:eastAsia="Helvetica"/>
                <w:color w:val="000000"/>
                <w:sz w:val="18"/>
                <w:szCs w:val="18"/>
              </w:rPr>
              <w:t xml:space="preserve"> (1.20-1.47)</w:t>
            </w:r>
          </w:p>
        </w:tc>
        <w:tc>
          <w:tcPr>
            <w:tcW w:w="1080" w:type="dxa"/>
            <w:shd w:val="clear" w:color="auto" w:fill="FFFFFF"/>
          </w:tcPr>
          <w:p w14:paraId="61EC9FB1" w14:textId="77777777" w:rsidR="00C23C7E" w:rsidRPr="00154696" w:rsidRDefault="00C23C7E" w:rsidP="00154696">
            <w:pPr>
              <w:spacing w:before="40" w:after="40"/>
              <w:rPr>
                <w:sz w:val="18"/>
                <w:szCs w:val="18"/>
              </w:rPr>
            </w:pPr>
            <w:r w:rsidRPr="00154696">
              <w:rPr>
                <w:sz w:val="18"/>
                <w:szCs w:val="18"/>
              </w:rPr>
              <w:t>1.10 × 10⁻⁸</w:t>
            </w:r>
          </w:p>
        </w:tc>
        <w:tc>
          <w:tcPr>
            <w:tcW w:w="720" w:type="dxa"/>
            <w:shd w:val="clear" w:color="auto" w:fill="FFFFFF"/>
            <w:vAlign w:val="center"/>
          </w:tcPr>
          <w:p w14:paraId="4DB73A11" w14:textId="5E397399" w:rsidR="00C23C7E" w:rsidRPr="00154696" w:rsidRDefault="00C23C7E" w:rsidP="00154696">
            <w:pPr>
              <w:spacing w:before="40" w:after="40"/>
              <w:rPr>
                <w:sz w:val="18"/>
                <w:szCs w:val="18"/>
              </w:rPr>
            </w:pPr>
            <w:r w:rsidRPr="00154696">
              <w:rPr>
                <w:rFonts w:eastAsia="Helvetica"/>
                <w:color w:val="000000"/>
                <w:sz w:val="18"/>
                <w:szCs w:val="18"/>
              </w:rPr>
              <w:t>3,104.69</w:t>
            </w:r>
          </w:p>
        </w:tc>
        <w:tc>
          <w:tcPr>
            <w:tcW w:w="1080" w:type="dxa"/>
            <w:shd w:val="clear" w:color="auto" w:fill="FFFFFF"/>
            <w:vAlign w:val="center"/>
          </w:tcPr>
          <w:p w14:paraId="093B862E" w14:textId="79EA886B" w:rsidR="00C23C7E" w:rsidRPr="00154696" w:rsidRDefault="00C23C7E" w:rsidP="00154696">
            <w:pPr>
              <w:spacing w:before="40" w:after="40"/>
              <w:rPr>
                <w:sz w:val="18"/>
                <w:szCs w:val="18"/>
              </w:rPr>
            </w:pPr>
            <w:r w:rsidRPr="00154696">
              <w:rPr>
                <w:rFonts w:eastAsia="Helvetica"/>
                <w:color w:val="000000"/>
                <w:sz w:val="18"/>
                <w:szCs w:val="18"/>
              </w:rPr>
              <w:t>0.87</w:t>
            </w:r>
          </w:p>
        </w:tc>
      </w:tr>
      <w:tr w:rsidR="00C23C7E" w:rsidRPr="00154696" w14:paraId="07DC447C" w14:textId="77777777" w:rsidTr="00143EC0">
        <w:trPr>
          <w:trHeight w:val="273"/>
        </w:trPr>
        <w:tc>
          <w:tcPr>
            <w:tcW w:w="597" w:type="dxa"/>
            <w:shd w:val="clear" w:color="auto" w:fill="FFFFFF"/>
          </w:tcPr>
          <w:p w14:paraId="0618E95B" w14:textId="77777777" w:rsidR="00C23C7E" w:rsidRPr="00154696" w:rsidRDefault="00C23C7E" w:rsidP="00154696">
            <w:pPr>
              <w:spacing w:before="40" w:after="40"/>
              <w:rPr>
                <w:sz w:val="18"/>
                <w:szCs w:val="18"/>
              </w:rPr>
            </w:pPr>
            <w:r w:rsidRPr="00154696">
              <w:rPr>
                <w:sz w:val="18"/>
                <w:szCs w:val="18"/>
              </w:rPr>
              <w:t>150</w:t>
            </w:r>
          </w:p>
        </w:tc>
        <w:tc>
          <w:tcPr>
            <w:tcW w:w="1378" w:type="dxa"/>
            <w:shd w:val="clear" w:color="auto" w:fill="FFFFFF"/>
            <w:vAlign w:val="center"/>
          </w:tcPr>
          <w:p w14:paraId="04BCEA01" w14:textId="16F615CD" w:rsidR="00C23C7E" w:rsidRPr="00154696" w:rsidRDefault="00C23C7E" w:rsidP="00154696">
            <w:pPr>
              <w:spacing w:before="40" w:after="40"/>
              <w:rPr>
                <w:sz w:val="18"/>
                <w:szCs w:val="18"/>
              </w:rPr>
            </w:pPr>
            <w:r w:rsidRPr="00154696">
              <w:rPr>
                <w:rFonts w:eastAsia="Helvetica"/>
                <w:color w:val="000000"/>
                <w:sz w:val="18"/>
                <w:szCs w:val="18"/>
              </w:rPr>
              <w:t>1.33</w:t>
            </w:r>
            <w:r>
              <w:rPr>
                <w:rFonts w:eastAsia="Helvetica"/>
                <w:color w:val="000000"/>
                <w:sz w:val="18"/>
                <w:szCs w:val="18"/>
              </w:rPr>
              <w:t xml:space="preserve"> (1.17-1.52)</w:t>
            </w:r>
          </w:p>
        </w:tc>
        <w:tc>
          <w:tcPr>
            <w:tcW w:w="1080" w:type="dxa"/>
            <w:shd w:val="clear" w:color="auto" w:fill="FFFFFF"/>
          </w:tcPr>
          <w:p w14:paraId="4C8ADDD4" w14:textId="77777777" w:rsidR="00C23C7E" w:rsidRPr="00154696" w:rsidRDefault="00C23C7E" w:rsidP="00154696">
            <w:pPr>
              <w:spacing w:before="40" w:after="40"/>
              <w:rPr>
                <w:sz w:val="18"/>
                <w:szCs w:val="18"/>
              </w:rPr>
            </w:pPr>
            <w:r w:rsidRPr="00154696">
              <w:rPr>
                <w:sz w:val="18"/>
                <w:szCs w:val="18"/>
              </w:rPr>
              <w:t>5.00 × 10⁻⁶</w:t>
            </w:r>
          </w:p>
        </w:tc>
        <w:tc>
          <w:tcPr>
            <w:tcW w:w="720" w:type="dxa"/>
            <w:shd w:val="clear" w:color="auto" w:fill="FFFFFF"/>
            <w:vAlign w:val="center"/>
          </w:tcPr>
          <w:p w14:paraId="066CEC34" w14:textId="1B3F7A7F" w:rsidR="00C23C7E" w:rsidRPr="00154696" w:rsidRDefault="00C23C7E" w:rsidP="00154696">
            <w:pPr>
              <w:spacing w:before="40" w:after="40"/>
              <w:rPr>
                <w:sz w:val="18"/>
                <w:szCs w:val="18"/>
              </w:rPr>
            </w:pPr>
            <w:r w:rsidRPr="00154696">
              <w:rPr>
                <w:rFonts w:eastAsia="Helvetica"/>
                <w:color w:val="000000"/>
                <w:sz w:val="18"/>
                <w:szCs w:val="18"/>
              </w:rPr>
              <w:t>3,113.05</w:t>
            </w:r>
          </w:p>
        </w:tc>
        <w:tc>
          <w:tcPr>
            <w:tcW w:w="1080" w:type="dxa"/>
            <w:shd w:val="clear" w:color="auto" w:fill="FFFFFF"/>
            <w:vAlign w:val="center"/>
          </w:tcPr>
          <w:p w14:paraId="1BAE46BB" w14:textId="7666CE66" w:rsidR="00C23C7E" w:rsidRPr="00154696" w:rsidRDefault="00C23C7E" w:rsidP="00154696">
            <w:pPr>
              <w:spacing w:before="40" w:after="40"/>
              <w:rPr>
                <w:sz w:val="18"/>
                <w:szCs w:val="18"/>
              </w:rPr>
            </w:pPr>
            <w:r w:rsidRPr="00154696">
              <w:rPr>
                <w:rFonts w:eastAsia="Helvetica"/>
                <w:color w:val="000000"/>
                <w:sz w:val="18"/>
                <w:szCs w:val="18"/>
              </w:rPr>
              <w:t>0.87</w:t>
            </w:r>
          </w:p>
        </w:tc>
      </w:tr>
      <w:tr w:rsidR="00C23C7E" w:rsidRPr="00154696" w14:paraId="78104EE3" w14:textId="77777777" w:rsidTr="00143EC0">
        <w:trPr>
          <w:trHeight w:val="273"/>
        </w:trPr>
        <w:tc>
          <w:tcPr>
            <w:tcW w:w="597" w:type="dxa"/>
            <w:shd w:val="clear" w:color="auto" w:fill="FFFFFF"/>
          </w:tcPr>
          <w:p w14:paraId="283C06A4" w14:textId="77777777" w:rsidR="00C23C7E" w:rsidRPr="00154696" w:rsidRDefault="00C23C7E" w:rsidP="00154696">
            <w:pPr>
              <w:spacing w:before="40" w:after="40"/>
              <w:rPr>
                <w:sz w:val="18"/>
                <w:szCs w:val="18"/>
              </w:rPr>
            </w:pPr>
            <w:r w:rsidRPr="00154696">
              <w:rPr>
                <w:sz w:val="18"/>
                <w:szCs w:val="18"/>
              </w:rPr>
              <w:lastRenderedPageBreak/>
              <w:t>200</w:t>
            </w:r>
          </w:p>
        </w:tc>
        <w:tc>
          <w:tcPr>
            <w:tcW w:w="1378" w:type="dxa"/>
            <w:shd w:val="clear" w:color="auto" w:fill="FFFFFF"/>
            <w:vAlign w:val="center"/>
          </w:tcPr>
          <w:p w14:paraId="21D780E5" w14:textId="303FE8B4" w:rsidR="00C23C7E" w:rsidRPr="00154696" w:rsidRDefault="00C23C7E" w:rsidP="00154696">
            <w:pPr>
              <w:spacing w:before="40" w:after="40"/>
              <w:rPr>
                <w:sz w:val="18"/>
                <w:szCs w:val="18"/>
              </w:rPr>
            </w:pPr>
            <w:r w:rsidRPr="00154696">
              <w:rPr>
                <w:rFonts w:eastAsia="Helvetica"/>
                <w:color w:val="000000"/>
                <w:sz w:val="18"/>
                <w:szCs w:val="18"/>
              </w:rPr>
              <w:t>1.31</w:t>
            </w:r>
            <w:r>
              <w:rPr>
                <w:rFonts w:eastAsia="Helvetica"/>
                <w:color w:val="000000"/>
                <w:sz w:val="18"/>
                <w:szCs w:val="18"/>
              </w:rPr>
              <w:t xml:space="preserve"> (1.13-1.51)</w:t>
            </w:r>
          </w:p>
        </w:tc>
        <w:tc>
          <w:tcPr>
            <w:tcW w:w="1080" w:type="dxa"/>
            <w:shd w:val="clear" w:color="auto" w:fill="FFFFFF"/>
          </w:tcPr>
          <w:p w14:paraId="7E78F4E8" w14:textId="77777777" w:rsidR="00C23C7E" w:rsidRPr="00154696" w:rsidRDefault="00C23C7E" w:rsidP="00154696">
            <w:pPr>
              <w:spacing w:before="40" w:after="40"/>
              <w:rPr>
                <w:sz w:val="18"/>
                <w:szCs w:val="18"/>
              </w:rPr>
            </w:pPr>
            <w:r w:rsidRPr="00154696">
              <w:rPr>
                <w:sz w:val="18"/>
                <w:szCs w:val="18"/>
              </w:rPr>
              <w:t>2.36 × 10⁻⁴</w:t>
            </w:r>
          </w:p>
        </w:tc>
        <w:tc>
          <w:tcPr>
            <w:tcW w:w="720" w:type="dxa"/>
            <w:shd w:val="clear" w:color="auto" w:fill="FFFFFF"/>
            <w:vAlign w:val="center"/>
          </w:tcPr>
          <w:p w14:paraId="01586D6F" w14:textId="34128EF8" w:rsidR="00C23C7E" w:rsidRPr="00154696" w:rsidRDefault="00C23C7E" w:rsidP="00154696">
            <w:pPr>
              <w:spacing w:before="40" w:after="40"/>
              <w:rPr>
                <w:sz w:val="18"/>
                <w:szCs w:val="18"/>
              </w:rPr>
            </w:pPr>
            <w:r w:rsidRPr="00154696">
              <w:rPr>
                <w:rFonts w:eastAsia="Helvetica"/>
                <w:color w:val="000000"/>
                <w:sz w:val="18"/>
                <w:szCs w:val="18"/>
              </w:rPr>
              <w:t>3,118.95</w:t>
            </w:r>
          </w:p>
        </w:tc>
        <w:tc>
          <w:tcPr>
            <w:tcW w:w="1080" w:type="dxa"/>
            <w:shd w:val="clear" w:color="auto" w:fill="FFFFFF"/>
            <w:vAlign w:val="center"/>
          </w:tcPr>
          <w:p w14:paraId="386AE642" w14:textId="6E2CEEE7" w:rsidR="00C23C7E" w:rsidRPr="00154696" w:rsidRDefault="00C23C7E" w:rsidP="00154696">
            <w:pPr>
              <w:spacing w:before="40" w:after="40"/>
              <w:rPr>
                <w:sz w:val="18"/>
                <w:szCs w:val="18"/>
              </w:rPr>
            </w:pPr>
            <w:r w:rsidRPr="00154696">
              <w:rPr>
                <w:rFonts w:eastAsia="Helvetica"/>
                <w:color w:val="000000"/>
                <w:sz w:val="18"/>
                <w:szCs w:val="18"/>
              </w:rPr>
              <w:t>0.87</w:t>
            </w:r>
          </w:p>
        </w:tc>
      </w:tr>
      <w:tr w:rsidR="00C23C7E" w:rsidRPr="00154696" w14:paraId="1E2AF1D0" w14:textId="77777777" w:rsidTr="00143EC0">
        <w:trPr>
          <w:trHeight w:val="273"/>
        </w:trPr>
        <w:tc>
          <w:tcPr>
            <w:tcW w:w="597" w:type="dxa"/>
            <w:shd w:val="clear" w:color="auto" w:fill="FFFFFF"/>
          </w:tcPr>
          <w:p w14:paraId="24AF48C3" w14:textId="77777777" w:rsidR="00C23C7E" w:rsidRPr="00154696" w:rsidRDefault="00C23C7E" w:rsidP="00154696">
            <w:pPr>
              <w:spacing w:before="40" w:after="40"/>
              <w:rPr>
                <w:sz w:val="18"/>
                <w:szCs w:val="18"/>
              </w:rPr>
            </w:pPr>
            <w:r w:rsidRPr="00154696">
              <w:rPr>
                <w:sz w:val="18"/>
                <w:szCs w:val="18"/>
              </w:rPr>
              <w:t>250</w:t>
            </w:r>
          </w:p>
        </w:tc>
        <w:tc>
          <w:tcPr>
            <w:tcW w:w="1378" w:type="dxa"/>
            <w:shd w:val="clear" w:color="auto" w:fill="FFFFFF"/>
            <w:vAlign w:val="center"/>
          </w:tcPr>
          <w:p w14:paraId="738722B3" w14:textId="2FF0BB19" w:rsidR="00C23C7E" w:rsidRPr="00154696" w:rsidRDefault="00C23C7E" w:rsidP="00154696">
            <w:pPr>
              <w:spacing w:before="40" w:after="40"/>
              <w:rPr>
                <w:sz w:val="18"/>
                <w:szCs w:val="18"/>
              </w:rPr>
            </w:pPr>
            <w:r w:rsidRPr="00154696">
              <w:rPr>
                <w:rFonts w:eastAsia="Helvetica"/>
                <w:color w:val="000000"/>
                <w:sz w:val="18"/>
                <w:szCs w:val="18"/>
              </w:rPr>
              <w:t>1.28</w:t>
            </w:r>
            <w:r>
              <w:rPr>
                <w:rFonts w:eastAsia="Helvetica"/>
                <w:color w:val="000000"/>
                <w:sz w:val="18"/>
                <w:szCs w:val="18"/>
              </w:rPr>
              <w:t xml:space="preserve"> (1.09-1.50)</w:t>
            </w:r>
          </w:p>
        </w:tc>
        <w:tc>
          <w:tcPr>
            <w:tcW w:w="1080" w:type="dxa"/>
            <w:shd w:val="clear" w:color="auto" w:fill="FFFFFF"/>
          </w:tcPr>
          <w:p w14:paraId="23AF101E" w14:textId="77777777" w:rsidR="00C23C7E" w:rsidRPr="00154696" w:rsidRDefault="00C23C7E" w:rsidP="00154696">
            <w:pPr>
              <w:spacing w:before="40" w:after="40"/>
              <w:rPr>
                <w:sz w:val="18"/>
                <w:szCs w:val="18"/>
              </w:rPr>
            </w:pPr>
            <w:r w:rsidRPr="00154696">
              <w:rPr>
                <w:sz w:val="18"/>
                <w:szCs w:val="18"/>
              </w:rPr>
              <w:t>2.03 × 10⁻³</w:t>
            </w:r>
          </w:p>
        </w:tc>
        <w:tc>
          <w:tcPr>
            <w:tcW w:w="720" w:type="dxa"/>
            <w:shd w:val="clear" w:color="auto" w:fill="FFFFFF"/>
            <w:vAlign w:val="center"/>
          </w:tcPr>
          <w:p w14:paraId="0E0A02AD" w14:textId="488A4091" w:rsidR="00C23C7E" w:rsidRPr="00154696" w:rsidRDefault="00C23C7E" w:rsidP="00154696">
            <w:pPr>
              <w:spacing w:before="40" w:after="40"/>
              <w:rPr>
                <w:sz w:val="18"/>
                <w:szCs w:val="18"/>
              </w:rPr>
            </w:pPr>
            <w:r w:rsidRPr="00154696">
              <w:rPr>
                <w:rFonts w:eastAsia="Helvetica"/>
                <w:color w:val="000000"/>
                <w:sz w:val="18"/>
                <w:szCs w:val="18"/>
              </w:rPr>
              <w:t>3,122.41</w:t>
            </w:r>
          </w:p>
        </w:tc>
        <w:tc>
          <w:tcPr>
            <w:tcW w:w="1080" w:type="dxa"/>
            <w:shd w:val="clear" w:color="auto" w:fill="FFFFFF"/>
            <w:vAlign w:val="center"/>
          </w:tcPr>
          <w:p w14:paraId="31156E08" w14:textId="5FE1AD33" w:rsidR="00C23C7E" w:rsidRPr="00154696" w:rsidRDefault="00C23C7E" w:rsidP="00154696">
            <w:pPr>
              <w:spacing w:before="40" w:after="40"/>
              <w:rPr>
                <w:sz w:val="18"/>
                <w:szCs w:val="18"/>
              </w:rPr>
            </w:pPr>
            <w:r w:rsidRPr="00154696">
              <w:rPr>
                <w:rFonts w:eastAsia="Helvetica"/>
                <w:color w:val="000000"/>
                <w:sz w:val="18"/>
                <w:szCs w:val="18"/>
              </w:rPr>
              <w:t>0.87</w:t>
            </w:r>
          </w:p>
        </w:tc>
      </w:tr>
      <w:tr w:rsidR="00C23C7E" w14:paraId="0D330B25" w14:textId="77777777" w:rsidTr="00143EC0">
        <w:trPr>
          <w:trHeight w:val="286"/>
        </w:trPr>
        <w:tc>
          <w:tcPr>
            <w:tcW w:w="597" w:type="dxa"/>
            <w:shd w:val="clear" w:color="auto" w:fill="FFFFFF"/>
          </w:tcPr>
          <w:p w14:paraId="708B8849" w14:textId="77777777" w:rsidR="00C23C7E" w:rsidRPr="00154696" w:rsidRDefault="00C23C7E" w:rsidP="00154696">
            <w:pPr>
              <w:spacing w:before="40" w:after="40"/>
              <w:rPr>
                <w:sz w:val="18"/>
                <w:szCs w:val="18"/>
              </w:rPr>
            </w:pPr>
            <w:r w:rsidRPr="00154696">
              <w:rPr>
                <w:sz w:val="18"/>
                <w:szCs w:val="18"/>
              </w:rPr>
              <w:t>500</w:t>
            </w:r>
          </w:p>
        </w:tc>
        <w:tc>
          <w:tcPr>
            <w:tcW w:w="1378" w:type="dxa"/>
            <w:shd w:val="clear" w:color="auto" w:fill="FFFFFF"/>
            <w:vAlign w:val="center"/>
          </w:tcPr>
          <w:p w14:paraId="33F83C8D" w14:textId="72FB1423" w:rsidR="00C23C7E" w:rsidRPr="00154696" w:rsidRDefault="00C23C7E" w:rsidP="00154696">
            <w:pPr>
              <w:spacing w:before="40" w:after="40"/>
              <w:rPr>
                <w:sz w:val="18"/>
                <w:szCs w:val="18"/>
              </w:rPr>
            </w:pPr>
            <w:r w:rsidRPr="00154696">
              <w:rPr>
                <w:rFonts w:eastAsia="Helvetica"/>
                <w:color w:val="000000"/>
                <w:sz w:val="18"/>
                <w:szCs w:val="18"/>
              </w:rPr>
              <w:t>1.23</w:t>
            </w:r>
            <w:r>
              <w:rPr>
                <w:rFonts w:eastAsia="Helvetica"/>
                <w:color w:val="000000"/>
                <w:sz w:val="18"/>
                <w:szCs w:val="18"/>
              </w:rPr>
              <w:t xml:space="preserve"> (1.02-1.49)</w:t>
            </w:r>
          </w:p>
        </w:tc>
        <w:tc>
          <w:tcPr>
            <w:tcW w:w="1080" w:type="dxa"/>
            <w:shd w:val="clear" w:color="auto" w:fill="FFFFFF"/>
          </w:tcPr>
          <w:p w14:paraId="42031CDD" w14:textId="77777777" w:rsidR="00C23C7E" w:rsidRPr="00154696" w:rsidRDefault="00C23C7E" w:rsidP="00154696">
            <w:pPr>
              <w:spacing w:before="40" w:after="40"/>
              <w:rPr>
                <w:sz w:val="18"/>
                <w:szCs w:val="18"/>
              </w:rPr>
            </w:pPr>
            <w:r w:rsidRPr="00154696">
              <w:rPr>
                <w:sz w:val="18"/>
                <w:szCs w:val="18"/>
              </w:rPr>
              <w:t>4.07 × 10⁻²</w:t>
            </w:r>
          </w:p>
        </w:tc>
        <w:tc>
          <w:tcPr>
            <w:tcW w:w="720" w:type="dxa"/>
            <w:shd w:val="clear" w:color="auto" w:fill="FFFFFF"/>
            <w:vAlign w:val="center"/>
          </w:tcPr>
          <w:p w14:paraId="0C772A32" w14:textId="762A2BCC" w:rsidR="00C23C7E" w:rsidRPr="00154696" w:rsidRDefault="00C23C7E" w:rsidP="00154696">
            <w:pPr>
              <w:spacing w:before="40" w:after="40"/>
              <w:rPr>
                <w:sz w:val="18"/>
                <w:szCs w:val="18"/>
              </w:rPr>
            </w:pPr>
            <w:r w:rsidRPr="00154696">
              <w:rPr>
                <w:rFonts w:eastAsia="Helvetica"/>
                <w:color w:val="000000"/>
                <w:sz w:val="18"/>
                <w:szCs w:val="18"/>
              </w:rPr>
              <w:t>3,127.16</w:t>
            </w:r>
          </w:p>
        </w:tc>
        <w:tc>
          <w:tcPr>
            <w:tcW w:w="1080" w:type="dxa"/>
            <w:shd w:val="clear" w:color="auto" w:fill="FFFFFF"/>
            <w:vAlign w:val="center"/>
          </w:tcPr>
          <w:p w14:paraId="529A86D2" w14:textId="6EB0249A" w:rsidR="00C23C7E" w:rsidRPr="00154696" w:rsidRDefault="00C23C7E" w:rsidP="00154696">
            <w:pPr>
              <w:spacing w:before="40" w:after="40"/>
              <w:rPr>
                <w:sz w:val="18"/>
                <w:szCs w:val="18"/>
              </w:rPr>
            </w:pPr>
            <w:r w:rsidRPr="00154696">
              <w:rPr>
                <w:rFonts w:eastAsia="Helvetica"/>
                <w:color w:val="000000"/>
                <w:sz w:val="18"/>
                <w:szCs w:val="18"/>
              </w:rPr>
              <w:t>0.87</w:t>
            </w:r>
          </w:p>
        </w:tc>
      </w:tr>
    </w:tbl>
    <w:p w14:paraId="66E70C4F" w14:textId="77777777" w:rsidR="00D21CF7" w:rsidRDefault="00D21CF7">
      <w:pPr>
        <w:spacing w:after="200"/>
        <w:rPr>
          <w:b/>
          <w:bCs/>
        </w:rPr>
      </w:pPr>
    </w:p>
    <w:p w14:paraId="7C4B120C" w14:textId="2624A552" w:rsidR="005A0DF3" w:rsidRDefault="00000000">
      <w:pPr>
        <w:spacing w:after="200"/>
      </w:pPr>
      <w:r>
        <w:rPr>
          <w:b/>
          <w:bCs/>
        </w:rPr>
        <w:t xml:space="preserve">Supplementary Table S2. </w:t>
      </w:r>
      <w:r>
        <w:t>Sensitivity of the neighbourhood invasion pressure hazard ratio to the mathematical specification of the distance-decay connectivity kernel. Three kernel formulations were evaluated: exponential (primary), Gaussian, and inverse-distance. All models used the optimal decay scale (λ = 50 km) and included the same covariate set as the primary analysis. HR: hazard ratio for a one standard-deviation increase in neighbourhood invasion pressure. All three kernel specifications produced qualitatively similar conclusions, confirming that the neighbourhood effect was not sensitive to the mathematical form of spatial connectivity assumed.</w:t>
      </w: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25"/>
        <w:gridCol w:w="1620"/>
        <w:gridCol w:w="810"/>
        <w:gridCol w:w="900"/>
        <w:gridCol w:w="1260"/>
      </w:tblGrid>
      <w:tr w:rsidR="00A3169D" w:rsidRPr="00EB510C" w14:paraId="1452FD0A" w14:textId="77777777" w:rsidTr="00143EC0">
        <w:trPr>
          <w:trHeight w:val="280"/>
        </w:trPr>
        <w:tc>
          <w:tcPr>
            <w:tcW w:w="1525" w:type="dxa"/>
            <w:shd w:val="clear" w:color="auto" w:fill="D9D9D9"/>
          </w:tcPr>
          <w:p w14:paraId="67005BE1" w14:textId="77777777" w:rsidR="00A3169D" w:rsidRPr="00EB510C" w:rsidRDefault="00A3169D" w:rsidP="00497454">
            <w:pPr>
              <w:spacing w:before="40" w:after="40"/>
              <w:rPr>
                <w:sz w:val="18"/>
                <w:szCs w:val="18"/>
              </w:rPr>
            </w:pPr>
            <w:r w:rsidRPr="00EB510C">
              <w:rPr>
                <w:b/>
                <w:bCs/>
                <w:sz w:val="18"/>
                <w:szCs w:val="18"/>
              </w:rPr>
              <w:t>Kernel</w:t>
            </w:r>
          </w:p>
        </w:tc>
        <w:tc>
          <w:tcPr>
            <w:tcW w:w="1620" w:type="dxa"/>
            <w:shd w:val="clear" w:color="auto" w:fill="D9D9D9"/>
          </w:tcPr>
          <w:p w14:paraId="13D1BACE" w14:textId="015F3AE8" w:rsidR="00A3169D" w:rsidRPr="00EB510C" w:rsidRDefault="00A3169D" w:rsidP="00497454">
            <w:pPr>
              <w:spacing w:before="40" w:after="40"/>
              <w:rPr>
                <w:sz w:val="18"/>
                <w:szCs w:val="18"/>
              </w:rPr>
            </w:pPr>
            <w:r w:rsidRPr="00EB510C">
              <w:rPr>
                <w:b/>
                <w:bCs/>
                <w:sz w:val="18"/>
                <w:szCs w:val="18"/>
              </w:rPr>
              <w:t>HR</w:t>
            </w:r>
            <w:r w:rsidR="00841F66" w:rsidRPr="00EB510C">
              <w:rPr>
                <w:b/>
                <w:bCs/>
                <w:sz w:val="18"/>
                <w:szCs w:val="18"/>
              </w:rPr>
              <w:t xml:space="preserve"> (95% CI)</w:t>
            </w:r>
          </w:p>
        </w:tc>
        <w:tc>
          <w:tcPr>
            <w:tcW w:w="810" w:type="dxa"/>
            <w:shd w:val="clear" w:color="auto" w:fill="D9D9D9"/>
          </w:tcPr>
          <w:p w14:paraId="4B0AA589" w14:textId="77777777" w:rsidR="00A3169D" w:rsidRPr="00EB510C" w:rsidRDefault="00A3169D" w:rsidP="00497454">
            <w:pPr>
              <w:spacing w:before="40" w:after="40"/>
              <w:rPr>
                <w:sz w:val="18"/>
                <w:szCs w:val="18"/>
              </w:rPr>
            </w:pPr>
            <w:r w:rsidRPr="00EB510C">
              <w:rPr>
                <w:b/>
                <w:bCs/>
                <w:sz w:val="18"/>
                <w:szCs w:val="18"/>
              </w:rPr>
              <w:t>p-value</w:t>
            </w:r>
          </w:p>
        </w:tc>
        <w:tc>
          <w:tcPr>
            <w:tcW w:w="900" w:type="dxa"/>
            <w:shd w:val="clear" w:color="auto" w:fill="D9D9D9"/>
          </w:tcPr>
          <w:p w14:paraId="727D468B" w14:textId="77777777" w:rsidR="00A3169D" w:rsidRPr="00EB510C" w:rsidRDefault="00A3169D" w:rsidP="00497454">
            <w:pPr>
              <w:spacing w:before="40" w:after="40"/>
              <w:rPr>
                <w:sz w:val="18"/>
                <w:szCs w:val="18"/>
              </w:rPr>
            </w:pPr>
            <w:r w:rsidRPr="00EB510C">
              <w:rPr>
                <w:b/>
                <w:bCs/>
                <w:sz w:val="18"/>
                <w:szCs w:val="18"/>
              </w:rPr>
              <w:t>AIC</w:t>
            </w:r>
          </w:p>
        </w:tc>
        <w:tc>
          <w:tcPr>
            <w:tcW w:w="1260" w:type="dxa"/>
            <w:shd w:val="clear" w:color="auto" w:fill="D9D9D9"/>
          </w:tcPr>
          <w:p w14:paraId="4B08312A" w14:textId="77777777" w:rsidR="00A3169D" w:rsidRPr="00EB510C" w:rsidRDefault="00A3169D" w:rsidP="00497454">
            <w:pPr>
              <w:spacing w:before="40" w:after="40"/>
              <w:rPr>
                <w:sz w:val="18"/>
                <w:szCs w:val="18"/>
              </w:rPr>
            </w:pPr>
            <w:r w:rsidRPr="00EB510C">
              <w:rPr>
                <w:b/>
                <w:bCs/>
                <w:sz w:val="18"/>
                <w:szCs w:val="18"/>
              </w:rPr>
              <w:t>Concordance</w:t>
            </w:r>
          </w:p>
        </w:tc>
      </w:tr>
      <w:tr w:rsidR="00841F66" w:rsidRPr="005829AD" w14:paraId="5548AAE1" w14:textId="77777777" w:rsidTr="00143EC0">
        <w:trPr>
          <w:trHeight w:val="280"/>
        </w:trPr>
        <w:tc>
          <w:tcPr>
            <w:tcW w:w="1525" w:type="dxa"/>
            <w:tcBorders>
              <w:top w:val="single" w:sz="4" w:space="0" w:color="auto"/>
              <w:left w:val="single" w:sz="4" w:space="0" w:color="auto"/>
              <w:bottom w:val="single" w:sz="4" w:space="0" w:color="auto"/>
              <w:right w:val="single" w:sz="4" w:space="0" w:color="auto"/>
            </w:tcBorders>
            <w:shd w:val="clear" w:color="auto" w:fill="FFFFFF"/>
          </w:tcPr>
          <w:p w14:paraId="7A3E1F1D" w14:textId="77777777" w:rsidR="00841F66" w:rsidRPr="005829AD" w:rsidRDefault="00841F66" w:rsidP="00841F66">
            <w:pPr>
              <w:spacing w:before="40" w:after="40"/>
              <w:rPr>
                <w:b/>
                <w:bCs/>
                <w:sz w:val="18"/>
                <w:szCs w:val="18"/>
              </w:rPr>
            </w:pPr>
            <w:r w:rsidRPr="005829AD">
              <w:rPr>
                <w:b/>
                <w:bCs/>
                <w:sz w:val="18"/>
                <w:szCs w:val="18"/>
              </w:rPr>
              <w:t>Exponential</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3C3C8C14" w14:textId="77777777" w:rsidR="00841F66" w:rsidRPr="005829AD" w:rsidRDefault="00841F66" w:rsidP="00841F66">
            <w:pPr>
              <w:spacing w:before="40" w:after="40"/>
              <w:rPr>
                <w:b/>
                <w:bCs/>
                <w:sz w:val="18"/>
                <w:szCs w:val="18"/>
              </w:rPr>
            </w:pPr>
            <w:r w:rsidRPr="005829AD">
              <w:rPr>
                <w:b/>
                <w:bCs/>
                <w:sz w:val="18"/>
                <w:szCs w:val="18"/>
              </w:rPr>
              <w:t>1.26 (1.17–1.35)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9D6AE5C" w14:textId="77777777" w:rsidR="00841F66" w:rsidRPr="005829AD" w:rsidRDefault="00841F66" w:rsidP="00841F66">
            <w:pPr>
              <w:spacing w:before="40" w:after="40"/>
              <w:rPr>
                <w:b/>
                <w:bCs/>
                <w:sz w:val="18"/>
                <w:szCs w:val="18"/>
              </w:rPr>
            </w:pPr>
            <w:r w:rsidRPr="005829AD">
              <w:rPr>
                <w:b/>
                <w:bCs/>
                <w:sz w:val="18"/>
                <w:szCs w:val="18"/>
              </w:rPr>
              <w:t>&lt;0.001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3BEBEA1F" w14:textId="77777777" w:rsidR="00841F66" w:rsidRPr="005829AD" w:rsidRDefault="00841F66" w:rsidP="00841F66">
            <w:pPr>
              <w:spacing w:before="40" w:after="40"/>
              <w:rPr>
                <w:b/>
                <w:bCs/>
                <w:sz w:val="18"/>
                <w:szCs w:val="18"/>
              </w:rPr>
            </w:pPr>
            <w:r w:rsidRPr="005829AD">
              <w:rPr>
                <w:b/>
                <w:bCs/>
                <w:sz w:val="18"/>
                <w:szCs w:val="18"/>
              </w:rPr>
              <w:t>3,099.7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48173E9" w14:textId="77777777" w:rsidR="00841F66" w:rsidRPr="005829AD" w:rsidRDefault="00841F66" w:rsidP="00841F66">
            <w:pPr>
              <w:spacing w:before="40" w:after="40"/>
              <w:rPr>
                <w:b/>
                <w:bCs/>
                <w:sz w:val="18"/>
                <w:szCs w:val="18"/>
              </w:rPr>
            </w:pPr>
            <w:r w:rsidRPr="005829AD">
              <w:rPr>
                <w:b/>
                <w:bCs/>
                <w:sz w:val="18"/>
                <w:szCs w:val="18"/>
              </w:rPr>
              <w:t>0.875</w:t>
            </w:r>
          </w:p>
        </w:tc>
      </w:tr>
      <w:tr w:rsidR="00841F66" w:rsidRPr="00EB510C" w14:paraId="2B9FE813" w14:textId="77777777" w:rsidTr="00143EC0">
        <w:trPr>
          <w:trHeight w:val="280"/>
        </w:trPr>
        <w:tc>
          <w:tcPr>
            <w:tcW w:w="1525" w:type="dxa"/>
            <w:tcBorders>
              <w:top w:val="single" w:sz="4" w:space="0" w:color="auto"/>
              <w:left w:val="single" w:sz="4" w:space="0" w:color="auto"/>
              <w:bottom w:val="single" w:sz="4" w:space="0" w:color="auto"/>
              <w:right w:val="single" w:sz="4" w:space="0" w:color="auto"/>
            </w:tcBorders>
            <w:shd w:val="clear" w:color="auto" w:fill="FFFFFF"/>
          </w:tcPr>
          <w:p w14:paraId="5FD04F88" w14:textId="77777777" w:rsidR="00841F66" w:rsidRPr="00EB510C" w:rsidRDefault="00841F66" w:rsidP="00841F66">
            <w:pPr>
              <w:spacing w:before="40" w:after="40"/>
              <w:rPr>
                <w:sz w:val="18"/>
                <w:szCs w:val="18"/>
              </w:rPr>
            </w:pPr>
            <w:r w:rsidRPr="00EB510C">
              <w:rPr>
                <w:sz w:val="18"/>
                <w:szCs w:val="18"/>
              </w:rPr>
              <w:t>Gaussian</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587ED6C" w14:textId="77777777" w:rsidR="00841F66" w:rsidRPr="00EB510C" w:rsidRDefault="00841F66" w:rsidP="00841F66">
            <w:pPr>
              <w:spacing w:before="40" w:after="40"/>
              <w:rPr>
                <w:sz w:val="18"/>
                <w:szCs w:val="18"/>
              </w:rPr>
            </w:pPr>
            <w:r w:rsidRPr="00EB510C">
              <w:rPr>
                <w:sz w:val="18"/>
                <w:szCs w:val="18"/>
              </w:rPr>
              <w:t>1.21 (1.14–1.29)</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5AAC19FB" w14:textId="77777777" w:rsidR="00841F66" w:rsidRPr="00EB510C" w:rsidRDefault="00841F66" w:rsidP="00841F66">
            <w:pPr>
              <w:spacing w:before="40" w:after="40"/>
              <w:rPr>
                <w:sz w:val="18"/>
                <w:szCs w:val="18"/>
              </w:rPr>
            </w:pPr>
            <w:r w:rsidRPr="00EB510C">
              <w:rPr>
                <w:sz w:val="18"/>
                <w:szCs w:val="18"/>
              </w:rPr>
              <w:t>&lt;0.001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176D928B" w14:textId="77777777" w:rsidR="00841F66" w:rsidRPr="00EB510C" w:rsidRDefault="00841F66" w:rsidP="00841F66">
            <w:pPr>
              <w:spacing w:before="40" w:after="40"/>
              <w:rPr>
                <w:sz w:val="18"/>
                <w:szCs w:val="18"/>
              </w:rPr>
            </w:pPr>
            <w:r w:rsidRPr="00EB510C">
              <w:rPr>
                <w:sz w:val="18"/>
                <w:szCs w:val="18"/>
              </w:rPr>
              <w:t>3,101.4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619BA899" w14:textId="77777777" w:rsidR="00841F66" w:rsidRPr="00EB510C" w:rsidRDefault="00841F66" w:rsidP="00841F66">
            <w:pPr>
              <w:spacing w:before="40" w:after="40"/>
              <w:rPr>
                <w:sz w:val="18"/>
                <w:szCs w:val="18"/>
              </w:rPr>
            </w:pPr>
            <w:r w:rsidRPr="00EB510C">
              <w:rPr>
                <w:sz w:val="18"/>
                <w:szCs w:val="18"/>
              </w:rPr>
              <w:t>0.875</w:t>
            </w:r>
          </w:p>
        </w:tc>
      </w:tr>
      <w:tr w:rsidR="00841F66" w:rsidRPr="00EB510C" w14:paraId="47BCFC9C" w14:textId="77777777" w:rsidTr="00143EC0">
        <w:trPr>
          <w:trHeight w:val="280"/>
        </w:trPr>
        <w:tc>
          <w:tcPr>
            <w:tcW w:w="1525" w:type="dxa"/>
            <w:tcBorders>
              <w:top w:val="single" w:sz="4" w:space="0" w:color="auto"/>
              <w:left w:val="single" w:sz="4" w:space="0" w:color="auto"/>
              <w:bottom w:val="single" w:sz="4" w:space="0" w:color="auto"/>
              <w:right w:val="single" w:sz="4" w:space="0" w:color="auto"/>
            </w:tcBorders>
            <w:shd w:val="clear" w:color="auto" w:fill="FFFFFF"/>
          </w:tcPr>
          <w:p w14:paraId="3096E95C" w14:textId="77777777" w:rsidR="00841F66" w:rsidRPr="00EB510C" w:rsidRDefault="00841F66" w:rsidP="00841F66">
            <w:pPr>
              <w:spacing w:before="40" w:after="40"/>
              <w:rPr>
                <w:sz w:val="18"/>
                <w:szCs w:val="18"/>
              </w:rPr>
            </w:pPr>
            <w:r w:rsidRPr="00EB510C">
              <w:rPr>
                <w:sz w:val="18"/>
                <w:szCs w:val="18"/>
              </w:rPr>
              <w:t>Inverse-distance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28833AB3" w14:textId="77777777" w:rsidR="00841F66" w:rsidRPr="00EB510C" w:rsidRDefault="00841F66" w:rsidP="00841F66">
            <w:pPr>
              <w:spacing w:before="40" w:after="40"/>
              <w:rPr>
                <w:sz w:val="18"/>
                <w:szCs w:val="18"/>
              </w:rPr>
            </w:pPr>
            <w:r w:rsidRPr="00EB510C">
              <w:rPr>
                <w:sz w:val="18"/>
                <w:szCs w:val="18"/>
              </w:rPr>
              <w:t>1.53 (1.25–1.88)</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4D6FBB6B" w14:textId="77777777" w:rsidR="00841F66" w:rsidRPr="00EB510C" w:rsidRDefault="00841F66" w:rsidP="00841F66">
            <w:pPr>
              <w:spacing w:before="40" w:after="40"/>
              <w:rPr>
                <w:sz w:val="18"/>
                <w:szCs w:val="18"/>
              </w:rPr>
            </w:pPr>
            <w:r w:rsidRPr="00EB510C">
              <w:rPr>
                <w:sz w:val="18"/>
                <w:szCs w:val="18"/>
              </w:rPr>
              <w:t>&lt;0.001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14:paraId="5275E245" w14:textId="77777777" w:rsidR="00841F66" w:rsidRPr="00EB510C" w:rsidRDefault="00841F66" w:rsidP="00841F66">
            <w:pPr>
              <w:spacing w:before="40" w:after="40"/>
              <w:rPr>
                <w:sz w:val="18"/>
                <w:szCs w:val="18"/>
              </w:rPr>
            </w:pPr>
            <w:r w:rsidRPr="00EB510C">
              <w:rPr>
                <w:sz w:val="18"/>
                <w:szCs w:val="18"/>
              </w:rPr>
              <w:t>3,114.8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0F764836" w14:textId="77777777" w:rsidR="00841F66" w:rsidRPr="00EB510C" w:rsidRDefault="00841F66" w:rsidP="00841F66">
            <w:pPr>
              <w:spacing w:before="40" w:after="40"/>
              <w:rPr>
                <w:sz w:val="18"/>
                <w:szCs w:val="18"/>
              </w:rPr>
            </w:pPr>
            <w:r w:rsidRPr="00EB510C">
              <w:rPr>
                <w:sz w:val="18"/>
                <w:szCs w:val="18"/>
              </w:rPr>
              <w:t>0.870</w:t>
            </w:r>
          </w:p>
        </w:tc>
      </w:tr>
    </w:tbl>
    <w:p w14:paraId="5CAA9407" w14:textId="77777777" w:rsidR="00FB3C3A" w:rsidRDefault="00FB3C3A">
      <w:pPr>
        <w:spacing w:after="200"/>
        <w:rPr>
          <w:b/>
          <w:bCs/>
        </w:rPr>
      </w:pPr>
    </w:p>
    <w:p w14:paraId="07CA425A" w14:textId="47F9640A" w:rsidR="007B707A" w:rsidRPr="00631532" w:rsidRDefault="00000000">
      <w:pPr>
        <w:spacing w:after="200"/>
      </w:pPr>
      <w:r w:rsidRPr="00631532">
        <w:rPr>
          <w:b/>
          <w:bCs/>
        </w:rPr>
        <w:t xml:space="preserve">Supplementary Table S3. </w:t>
      </w:r>
      <w:r w:rsidRPr="00631532">
        <w:t>Results from the shared-frailty Cox proportional hazards model incorporating country-level gamma-distributed random effects to account for unobserved between-country heterogeneity in WNV surveillance intensity and ecological conditions. HR: hazard ratio; CI: confidence interval. The frailty variance estimate of 0.</w:t>
      </w:r>
      <w:r w:rsidR="001C4CC8">
        <w:t>54</w:t>
      </w:r>
      <w:r w:rsidRPr="00631532">
        <w:t xml:space="preserve"> indicates significant between-country heterogeneity (likelihood-ratio test p &lt; 0.001), consistent with variation in national surveillance systems. Despite this heterogeneity, the direction, magnitude, and significance of the primary spatial diffusion and climatic covariate effects were preserved relative to the primary model without frailty, confirming that observed diffusion patterns were not driven by unmeasured country-specific factors.</w:t>
      </w:r>
    </w:p>
    <w:tbl>
      <w:tblP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55"/>
        <w:gridCol w:w="1430"/>
        <w:gridCol w:w="810"/>
      </w:tblGrid>
      <w:tr w:rsidR="004F4620" w14:paraId="2E76F4B2" w14:textId="77777777" w:rsidTr="00143EC0">
        <w:trPr>
          <w:trHeight w:val="273"/>
        </w:trPr>
        <w:tc>
          <w:tcPr>
            <w:tcW w:w="3155" w:type="dxa"/>
            <w:shd w:val="clear" w:color="auto" w:fill="D9D9D9"/>
          </w:tcPr>
          <w:p w14:paraId="492933FC" w14:textId="1907BB44" w:rsidR="004F4620" w:rsidRDefault="004F4620" w:rsidP="00F63ED4">
            <w:pPr>
              <w:spacing w:before="40" w:after="40"/>
            </w:pPr>
            <w:r>
              <w:rPr>
                <w:b/>
                <w:bCs/>
                <w:sz w:val="18"/>
                <w:szCs w:val="18"/>
              </w:rPr>
              <w:t>Covariate</w:t>
            </w:r>
          </w:p>
        </w:tc>
        <w:tc>
          <w:tcPr>
            <w:tcW w:w="1430" w:type="dxa"/>
            <w:shd w:val="clear" w:color="auto" w:fill="D9D9D9"/>
          </w:tcPr>
          <w:p w14:paraId="4CBC1F24" w14:textId="23DAD8D9" w:rsidR="004F4620" w:rsidRDefault="004F4620" w:rsidP="00F63ED4">
            <w:pPr>
              <w:spacing w:before="40" w:after="40"/>
            </w:pPr>
            <w:r>
              <w:rPr>
                <w:b/>
                <w:bCs/>
                <w:sz w:val="18"/>
                <w:szCs w:val="18"/>
              </w:rPr>
              <w:t xml:space="preserve">HR </w:t>
            </w:r>
            <w:r w:rsidRPr="00841F66">
              <w:rPr>
                <w:b/>
                <w:bCs/>
              </w:rPr>
              <w:t>(95% CI)</w:t>
            </w:r>
          </w:p>
        </w:tc>
        <w:tc>
          <w:tcPr>
            <w:tcW w:w="810" w:type="dxa"/>
            <w:shd w:val="clear" w:color="auto" w:fill="D9D9D9"/>
          </w:tcPr>
          <w:p w14:paraId="680384B0" w14:textId="5B77A819" w:rsidR="004F4620" w:rsidRDefault="004F4620" w:rsidP="00F63ED4">
            <w:pPr>
              <w:spacing w:before="40" w:after="40"/>
            </w:pPr>
            <w:r>
              <w:rPr>
                <w:b/>
                <w:bCs/>
                <w:sz w:val="18"/>
                <w:szCs w:val="18"/>
              </w:rPr>
              <w:t>p-value</w:t>
            </w:r>
          </w:p>
        </w:tc>
      </w:tr>
      <w:tr w:rsidR="004F4620" w14:paraId="5FE51442" w14:textId="77777777" w:rsidTr="00143EC0">
        <w:trPr>
          <w:trHeight w:val="273"/>
        </w:trPr>
        <w:tc>
          <w:tcPr>
            <w:tcW w:w="3155" w:type="dxa"/>
            <w:shd w:val="clear" w:color="auto" w:fill="FFFFFF"/>
            <w:vAlign w:val="center"/>
          </w:tcPr>
          <w:p w14:paraId="5993B46B" w14:textId="23CCF157" w:rsidR="004F4620" w:rsidRDefault="004F4620" w:rsidP="004F4620">
            <w:pPr>
              <w:spacing w:before="40" w:after="40"/>
              <w:rPr>
                <w:sz w:val="18"/>
                <w:szCs w:val="18"/>
              </w:rPr>
            </w:pPr>
            <w:r w:rsidRPr="00740762">
              <w:rPr>
                <w:rFonts w:eastAsia="Helvetica"/>
                <w:color w:val="000000"/>
                <w:sz w:val="18"/>
                <w:szCs w:val="18"/>
              </w:rPr>
              <w:t>Distance (per 100 km)</w:t>
            </w:r>
          </w:p>
        </w:tc>
        <w:tc>
          <w:tcPr>
            <w:tcW w:w="1430" w:type="dxa"/>
            <w:shd w:val="clear" w:color="auto" w:fill="FFFFFF"/>
            <w:vAlign w:val="center"/>
          </w:tcPr>
          <w:p w14:paraId="127D5F4A" w14:textId="08534A29" w:rsidR="004F4620" w:rsidRDefault="004F4620" w:rsidP="004F4620">
            <w:pPr>
              <w:spacing w:before="40" w:after="40"/>
              <w:rPr>
                <w:sz w:val="18"/>
                <w:szCs w:val="18"/>
              </w:rPr>
            </w:pPr>
            <w:r w:rsidRPr="00740762">
              <w:rPr>
                <w:rFonts w:eastAsia="Helvetica"/>
                <w:color w:val="000000"/>
                <w:sz w:val="18"/>
                <w:szCs w:val="18"/>
              </w:rPr>
              <w:t>0.62 (0.56–0.69)</w:t>
            </w:r>
          </w:p>
        </w:tc>
        <w:tc>
          <w:tcPr>
            <w:tcW w:w="810" w:type="dxa"/>
            <w:shd w:val="clear" w:color="auto" w:fill="FFFFFF"/>
            <w:vAlign w:val="center"/>
          </w:tcPr>
          <w:p w14:paraId="6EBD5B5E" w14:textId="7E50B92B" w:rsidR="004F4620" w:rsidRDefault="004F4620" w:rsidP="004F4620">
            <w:pPr>
              <w:spacing w:before="40" w:after="40"/>
              <w:rPr>
                <w:sz w:val="18"/>
                <w:szCs w:val="18"/>
              </w:rPr>
            </w:pPr>
            <w:r w:rsidRPr="00740762">
              <w:rPr>
                <w:rFonts w:eastAsia="Helvetica"/>
                <w:color w:val="000000"/>
                <w:sz w:val="18"/>
                <w:szCs w:val="18"/>
              </w:rPr>
              <w:t>&lt;0.001</w:t>
            </w:r>
          </w:p>
        </w:tc>
      </w:tr>
      <w:tr w:rsidR="004F4620" w14:paraId="71330114" w14:textId="77777777" w:rsidTr="00143EC0">
        <w:trPr>
          <w:trHeight w:val="273"/>
        </w:trPr>
        <w:tc>
          <w:tcPr>
            <w:tcW w:w="3155" w:type="dxa"/>
            <w:shd w:val="clear" w:color="auto" w:fill="FFFFFF"/>
            <w:vAlign w:val="center"/>
          </w:tcPr>
          <w:p w14:paraId="727DB940" w14:textId="4CBD4C35"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Invasion pressure (per SD)</w:t>
            </w:r>
          </w:p>
        </w:tc>
        <w:tc>
          <w:tcPr>
            <w:tcW w:w="1430" w:type="dxa"/>
            <w:shd w:val="clear" w:color="auto" w:fill="FFFFFF"/>
            <w:vAlign w:val="center"/>
          </w:tcPr>
          <w:p w14:paraId="5C38D0CC" w14:textId="15217555"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1.20 (1.11–1.30)</w:t>
            </w:r>
          </w:p>
        </w:tc>
        <w:tc>
          <w:tcPr>
            <w:tcW w:w="810" w:type="dxa"/>
            <w:shd w:val="clear" w:color="auto" w:fill="FFFFFF"/>
            <w:vAlign w:val="center"/>
          </w:tcPr>
          <w:p w14:paraId="0AAF0864" w14:textId="3F9EFCD2"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&lt;0.001</w:t>
            </w:r>
          </w:p>
        </w:tc>
      </w:tr>
      <w:tr w:rsidR="004F4620" w14:paraId="2545F040" w14:textId="77777777" w:rsidTr="00143EC0">
        <w:trPr>
          <w:trHeight w:val="273"/>
        </w:trPr>
        <w:tc>
          <w:tcPr>
            <w:tcW w:w="3155" w:type="dxa"/>
            <w:shd w:val="clear" w:color="auto" w:fill="FFFFFF"/>
            <w:vAlign w:val="center"/>
          </w:tcPr>
          <w:p w14:paraId="7E2061C3" w14:textId="071E8BF7"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Source-region intensity (log cases)</w:t>
            </w:r>
          </w:p>
        </w:tc>
        <w:tc>
          <w:tcPr>
            <w:tcW w:w="1430" w:type="dxa"/>
            <w:shd w:val="clear" w:color="auto" w:fill="FFFFFF"/>
            <w:vAlign w:val="center"/>
          </w:tcPr>
          <w:p w14:paraId="3B53681B" w14:textId="39EC257F"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1.40 (1.19–1.65)</w:t>
            </w:r>
          </w:p>
        </w:tc>
        <w:tc>
          <w:tcPr>
            <w:tcW w:w="810" w:type="dxa"/>
            <w:shd w:val="clear" w:color="auto" w:fill="FFFFFF"/>
            <w:vAlign w:val="center"/>
          </w:tcPr>
          <w:p w14:paraId="09CDADCD" w14:textId="33675DC4"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&lt;0.001</w:t>
            </w:r>
          </w:p>
        </w:tc>
      </w:tr>
      <w:tr w:rsidR="004F4620" w14:paraId="3479548A" w14:textId="77777777" w:rsidTr="00143EC0">
        <w:trPr>
          <w:trHeight w:val="273"/>
        </w:trPr>
        <w:tc>
          <w:tcPr>
            <w:tcW w:w="3155" w:type="dxa"/>
            <w:shd w:val="clear" w:color="auto" w:fill="FFFFFF"/>
            <w:vAlign w:val="center"/>
          </w:tcPr>
          <w:p w14:paraId="33E358E7" w14:textId="2DAD0CA6"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Temperature (per °C)</w:t>
            </w:r>
          </w:p>
        </w:tc>
        <w:tc>
          <w:tcPr>
            <w:tcW w:w="1430" w:type="dxa"/>
            <w:shd w:val="clear" w:color="auto" w:fill="FFFFFF"/>
            <w:vAlign w:val="center"/>
          </w:tcPr>
          <w:p w14:paraId="33D666EB" w14:textId="62CAFFF7"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1.17 (1.08–1.27)</w:t>
            </w:r>
          </w:p>
        </w:tc>
        <w:tc>
          <w:tcPr>
            <w:tcW w:w="810" w:type="dxa"/>
            <w:shd w:val="clear" w:color="auto" w:fill="FFFFFF"/>
            <w:vAlign w:val="center"/>
          </w:tcPr>
          <w:p w14:paraId="43370669" w14:textId="20CA8165"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&lt;0.001</w:t>
            </w:r>
          </w:p>
        </w:tc>
      </w:tr>
      <w:tr w:rsidR="004F4620" w14:paraId="122CB5DC" w14:textId="77777777" w:rsidTr="00143EC0">
        <w:trPr>
          <w:trHeight w:val="273"/>
        </w:trPr>
        <w:tc>
          <w:tcPr>
            <w:tcW w:w="3155" w:type="dxa"/>
            <w:shd w:val="clear" w:color="auto" w:fill="FFFFFF"/>
            <w:vAlign w:val="center"/>
          </w:tcPr>
          <w:p w14:paraId="55CE7834" w14:textId="584972C4"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Relative humidity (per %)</w:t>
            </w:r>
          </w:p>
        </w:tc>
        <w:tc>
          <w:tcPr>
            <w:tcW w:w="1430" w:type="dxa"/>
            <w:shd w:val="clear" w:color="auto" w:fill="FFFFFF"/>
            <w:vAlign w:val="center"/>
          </w:tcPr>
          <w:p w14:paraId="6CE63589" w14:textId="14C4ABBD"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0.94 (0.90–0.98)</w:t>
            </w:r>
          </w:p>
        </w:tc>
        <w:tc>
          <w:tcPr>
            <w:tcW w:w="810" w:type="dxa"/>
            <w:shd w:val="clear" w:color="auto" w:fill="FFFFFF"/>
            <w:vAlign w:val="center"/>
          </w:tcPr>
          <w:p w14:paraId="56A0BB7C" w14:textId="57FD1FAA"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0.004</w:t>
            </w:r>
          </w:p>
        </w:tc>
      </w:tr>
      <w:tr w:rsidR="004F4620" w14:paraId="77A82A3F" w14:textId="77777777" w:rsidTr="00143EC0">
        <w:trPr>
          <w:trHeight w:val="273"/>
        </w:trPr>
        <w:tc>
          <w:tcPr>
            <w:tcW w:w="3155" w:type="dxa"/>
            <w:shd w:val="clear" w:color="auto" w:fill="FFFFFF"/>
            <w:vAlign w:val="center"/>
          </w:tcPr>
          <w:p w14:paraId="07FC4D64" w14:textId="0969A621"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Precipitation (per SD)</w:t>
            </w:r>
          </w:p>
        </w:tc>
        <w:tc>
          <w:tcPr>
            <w:tcW w:w="1430" w:type="dxa"/>
            <w:shd w:val="clear" w:color="auto" w:fill="FFFFFF"/>
            <w:vAlign w:val="center"/>
          </w:tcPr>
          <w:p w14:paraId="7531B6E3" w14:textId="35170167"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0.97 (0.81–1.15)</w:t>
            </w:r>
          </w:p>
        </w:tc>
        <w:tc>
          <w:tcPr>
            <w:tcW w:w="810" w:type="dxa"/>
            <w:shd w:val="clear" w:color="auto" w:fill="FFFFFF"/>
            <w:vAlign w:val="center"/>
          </w:tcPr>
          <w:p w14:paraId="0F422033" w14:textId="4E9D95D9"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0.692</w:t>
            </w:r>
          </w:p>
        </w:tc>
      </w:tr>
      <w:tr w:rsidR="004F4620" w14:paraId="62E56738" w14:textId="77777777" w:rsidTr="00143EC0">
        <w:trPr>
          <w:trHeight w:val="273"/>
        </w:trPr>
        <w:tc>
          <w:tcPr>
            <w:tcW w:w="3155" w:type="dxa"/>
            <w:shd w:val="clear" w:color="auto" w:fill="FFFFFF"/>
            <w:vAlign w:val="center"/>
          </w:tcPr>
          <w:p w14:paraId="0C1DECC2" w14:textId="1ABCB60B" w:rsidR="004F4620" w:rsidRPr="00740762" w:rsidRDefault="00482A58" w:rsidP="004F4620">
            <w:pPr>
              <w:spacing w:before="40" w:after="40"/>
              <w:rPr>
                <w:rFonts w:eastAsia="Helvetica"/>
                <w:color w:val="000000"/>
                <w:sz w:val="18"/>
                <w:szCs w:val="18"/>
              </w:rPr>
            </w:pPr>
            <w:r>
              <w:rPr>
                <w:rFonts w:eastAsia="Helvetica"/>
                <w:color w:val="000000"/>
                <w:sz w:val="18"/>
                <w:szCs w:val="18"/>
              </w:rPr>
              <w:t>Urbanization</w:t>
            </w:r>
            <w:r w:rsidR="004F4620" w:rsidRPr="00740762">
              <w:rPr>
                <w:rFonts w:eastAsia="Helvetica"/>
                <w:color w:val="000000"/>
                <w:sz w:val="18"/>
                <w:szCs w:val="18"/>
              </w:rPr>
              <w:t>: intermediate (vs urban)</w:t>
            </w:r>
          </w:p>
        </w:tc>
        <w:tc>
          <w:tcPr>
            <w:tcW w:w="1430" w:type="dxa"/>
            <w:shd w:val="clear" w:color="auto" w:fill="FFFFFF"/>
            <w:vAlign w:val="center"/>
          </w:tcPr>
          <w:p w14:paraId="731090DC" w14:textId="798C2F2D"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0.84 (0.61–1.18)</w:t>
            </w:r>
          </w:p>
        </w:tc>
        <w:tc>
          <w:tcPr>
            <w:tcW w:w="810" w:type="dxa"/>
            <w:shd w:val="clear" w:color="auto" w:fill="FFFFFF"/>
            <w:vAlign w:val="center"/>
          </w:tcPr>
          <w:p w14:paraId="5D924593" w14:textId="11FAD107"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0.317</w:t>
            </w:r>
          </w:p>
        </w:tc>
      </w:tr>
      <w:tr w:rsidR="004F4620" w14:paraId="612ACA82" w14:textId="77777777" w:rsidTr="00143EC0">
        <w:trPr>
          <w:trHeight w:val="273"/>
        </w:trPr>
        <w:tc>
          <w:tcPr>
            <w:tcW w:w="3155" w:type="dxa"/>
            <w:shd w:val="clear" w:color="auto" w:fill="FFFFFF"/>
            <w:vAlign w:val="center"/>
          </w:tcPr>
          <w:p w14:paraId="1443CDF0" w14:textId="2D5314C4" w:rsidR="004F4620" w:rsidRPr="00740762" w:rsidRDefault="00482A58" w:rsidP="004F4620">
            <w:pPr>
              <w:spacing w:before="40" w:after="40"/>
              <w:rPr>
                <w:rFonts w:eastAsia="Helvetica"/>
                <w:color w:val="000000"/>
                <w:sz w:val="18"/>
                <w:szCs w:val="18"/>
              </w:rPr>
            </w:pPr>
            <w:r>
              <w:rPr>
                <w:rFonts w:eastAsia="Helvetica"/>
                <w:color w:val="000000"/>
                <w:sz w:val="18"/>
                <w:szCs w:val="18"/>
              </w:rPr>
              <w:t>Urbanization</w:t>
            </w:r>
            <w:r w:rsidR="004F4620" w:rsidRPr="00740762">
              <w:rPr>
                <w:rFonts w:eastAsia="Helvetica"/>
                <w:color w:val="000000"/>
                <w:sz w:val="18"/>
                <w:szCs w:val="18"/>
              </w:rPr>
              <w:t>: rural (vs urban)</w:t>
            </w:r>
          </w:p>
        </w:tc>
        <w:tc>
          <w:tcPr>
            <w:tcW w:w="1430" w:type="dxa"/>
            <w:shd w:val="clear" w:color="auto" w:fill="FFFFFF"/>
            <w:vAlign w:val="center"/>
          </w:tcPr>
          <w:p w14:paraId="08402684" w14:textId="5B7A0996"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0.67 (0.46–1.00)</w:t>
            </w:r>
          </w:p>
        </w:tc>
        <w:tc>
          <w:tcPr>
            <w:tcW w:w="810" w:type="dxa"/>
            <w:shd w:val="clear" w:color="auto" w:fill="FFFFFF"/>
            <w:vAlign w:val="center"/>
          </w:tcPr>
          <w:p w14:paraId="20123D84" w14:textId="73CEA551" w:rsidR="004F4620" w:rsidRPr="00740762" w:rsidRDefault="004F4620" w:rsidP="004F4620">
            <w:pPr>
              <w:spacing w:before="40" w:after="40"/>
              <w:rPr>
                <w:rFonts w:eastAsia="Helvetica"/>
                <w:color w:val="000000"/>
                <w:sz w:val="18"/>
                <w:szCs w:val="18"/>
              </w:rPr>
            </w:pPr>
            <w:r w:rsidRPr="00740762">
              <w:rPr>
                <w:rFonts w:eastAsia="Helvetica"/>
                <w:color w:val="000000"/>
                <w:sz w:val="18"/>
                <w:szCs w:val="18"/>
              </w:rPr>
              <w:t>0.048</w:t>
            </w:r>
          </w:p>
        </w:tc>
      </w:tr>
      <w:tr w:rsidR="004F4620" w14:paraId="319A55BE" w14:textId="77777777" w:rsidTr="00143EC0">
        <w:trPr>
          <w:trHeight w:val="273"/>
        </w:trPr>
        <w:tc>
          <w:tcPr>
            <w:tcW w:w="3155" w:type="dxa"/>
            <w:shd w:val="clear" w:color="auto" w:fill="FFFFFF"/>
          </w:tcPr>
          <w:p w14:paraId="1869453B" w14:textId="77777777" w:rsidR="004F4620" w:rsidRPr="00D353F0" w:rsidRDefault="004F4620" w:rsidP="0071439C">
            <w:pPr>
              <w:spacing w:before="40" w:after="40"/>
              <w:rPr>
                <w:b/>
                <w:bCs/>
              </w:rPr>
            </w:pPr>
            <w:r w:rsidRPr="00D353F0">
              <w:rPr>
                <w:b/>
                <w:bCs/>
                <w:sz w:val="18"/>
                <w:szCs w:val="18"/>
              </w:rPr>
              <w:t>Frailty variance (between-country)</w:t>
            </w:r>
          </w:p>
        </w:tc>
        <w:tc>
          <w:tcPr>
            <w:tcW w:w="1430" w:type="dxa"/>
            <w:shd w:val="clear" w:color="auto" w:fill="FFFFFF"/>
          </w:tcPr>
          <w:p w14:paraId="19919FBC" w14:textId="5EFE2BAD" w:rsidR="004F4620" w:rsidRPr="00D353F0" w:rsidRDefault="004F4620" w:rsidP="0071439C">
            <w:pPr>
              <w:spacing w:before="40" w:after="40"/>
              <w:rPr>
                <w:b/>
                <w:bCs/>
              </w:rPr>
            </w:pPr>
            <w:r w:rsidRPr="00D353F0">
              <w:rPr>
                <w:b/>
                <w:bCs/>
                <w:sz w:val="18"/>
                <w:szCs w:val="18"/>
              </w:rPr>
              <w:t>0.5</w:t>
            </w:r>
            <w:r w:rsidR="000B7BD6">
              <w:rPr>
                <w:b/>
                <w:bCs/>
                <w:sz w:val="18"/>
                <w:szCs w:val="18"/>
              </w:rPr>
              <w:t>4</w:t>
            </w:r>
          </w:p>
        </w:tc>
        <w:tc>
          <w:tcPr>
            <w:tcW w:w="810" w:type="dxa"/>
            <w:shd w:val="clear" w:color="auto" w:fill="FFFFFF"/>
          </w:tcPr>
          <w:p w14:paraId="02A9A4BA" w14:textId="77777777" w:rsidR="004F4620" w:rsidRDefault="004F4620" w:rsidP="0071439C">
            <w:pPr>
              <w:spacing w:before="40" w:after="40"/>
            </w:pPr>
            <w:r>
              <w:rPr>
                <w:sz w:val="18"/>
                <w:szCs w:val="18"/>
              </w:rPr>
              <w:t>—</w:t>
            </w:r>
          </w:p>
        </w:tc>
      </w:tr>
    </w:tbl>
    <w:p w14:paraId="5D8E45AF" w14:textId="02E0778F" w:rsidR="005A0DF3" w:rsidRDefault="00000000">
      <w:pPr>
        <w:spacing w:after="200"/>
      </w:pPr>
      <w:r>
        <w:rPr>
          <w:i/>
          <w:iCs/>
        </w:rPr>
        <w:t>Concordance = 0.8</w:t>
      </w:r>
      <w:r w:rsidR="00C55CFB">
        <w:rPr>
          <w:i/>
          <w:iCs/>
        </w:rPr>
        <w:t>9</w:t>
      </w:r>
      <w:r w:rsidR="000B7BD6">
        <w:rPr>
          <w:i/>
          <w:iCs/>
        </w:rPr>
        <w:t>2</w:t>
      </w:r>
      <w:r>
        <w:rPr>
          <w:i/>
          <w:iCs/>
        </w:rPr>
        <w:t xml:space="preserve"> (SE = 0.</w:t>
      </w:r>
      <w:r w:rsidR="000B7BD6">
        <w:rPr>
          <w:i/>
          <w:iCs/>
        </w:rPr>
        <w:t>01</w:t>
      </w:r>
      <w:r>
        <w:rPr>
          <w:i/>
          <w:iCs/>
        </w:rPr>
        <w:t>). Model includes all covariates from the primary analysis</w:t>
      </w:r>
      <w:r w:rsidR="005E07E6">
        <w:rPr>
          <w:i/>
          <w:iCs/>
        </w:rPr>
        <w:t>.</w:t>
      </w:r>
    </w:p>
    <w:p w14:paraId="21232533" w14:textId="68FE264C" w:rsidR="00084E69" w:rsidRDefault="00000000">
      <w:pPr>
        <w:spacing w:after="200"/>
      </w:pPr>
      <w:r>
        <w:rPr>
          <w:b/>
          <w:bCs/>
        </w:rPr>
        <w:t xml:space="preserve">Supplementary Table S4. </w:t>
      </w:r>
      <w:r>
        <w:t>Sensitivity analysis using region-specific annual climatic anomalies (deviations from long-term regional means) in place of absolute climatic values. The absolute</w:t>
      </w:r>
      <w:r w:rsidR="00A202B1">
        <w:t xml:space="preserve"> climatic valu</w:t>
      </w:r>
      <w:r>
        <w:t xml:space="preserve">e primary model (AIC = </w:t>
      </w:r>
      <w:r w:rsidR="00541A16">
        <w:t>3099.66</w:t>
      </w:r>
      <w:r>
        <w:t>) substantially outperformed the anomaly-based model (AIC = 3</w:t>
      </w:r>
      <w:r w:rsidR="00541A16">
        <w:t>193.51</w:t>
      </w:r>
      <w:r>
        <w:t xml:space="preserve">, ΔAIC = </w:t>
      </w:r>
      <w:r w:rsidR="00541A16">
        <w:t>93.85</w:t>
      </w:r>
      <w:r>
        <w:t xml:space="preserve">), indicating that long-term climatic suitability rather than short-term departures from local norms governs regional permissiveness to WNV invasion. HR: hazard ratio; CI: confidence interval. Anomalies were calculated as the deviation of each annual observation from the region-specific </w:t>
      </w:r>
      <w:r w:rsidR="00AA2D8F">
        <w:t>2000</w:t>
      </w:r>
      <w:r>
        <w:t>–</w:t>
      </w:r>
      <w:r w:rsidR="00AA2D8F">
        <w:t>2006</w:t>
      </w:r>
      <w:r>
        <w:t xml:space="preserve"> mean.</w:t>
      </w:r>
    </w:p>
    <w:tbl>
      <w:tblP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55"/>
        <w:gridCol w:w="1430"/>
        <w:gridCol w:w="810"/>
      </w:tblGrid>
      <w:tr w:rsidR="0005435E" w:rsidRPr="0005435E" w14:paraId="7F1D6111" w14:textId="77777777" w:rsidTr="00143EC0">
        <w:trPr>
          <w:trHeight w:val="273"/>
        </w:trPr>
        <w:tc>
          <w:tcPr>
            <w:tcW w:w="3155" w:type="dxa"/>
            <w:shd w:val="clear" w:color="auto" w:fill="D9D9D9"/>
          </w:tcPr>
          <w:p w14:paraId="36291239" w14:textId="77777777" w:rsidR="0005435E" w:rsidRPr="0005435E" w:rsidRDefault="0005435E" w:rsidP="0071439C">
            <w:pPr>
              <w:spacing w:before="40" w:after="40"/>
              <w:rPr>
                <w:sz w:val="18"/>
                <w:szCs w:val="18"/>
              </w:rPr>
            </w:pPr>
            <w:r w:rsidRPr="0005435E">
              <w:rPr>
                <w:b/>
                <w:bCs/>
                <w:sz w:val="18"/>
                <w:szCs w:val="18"/>
              </w:rPr>
              <w:t>Covariate</w:t>
            </w:r>
          </w:p>
        </w:tc>
        <w:tc>
          <w:tcPr>
            <w:tcW w:w="1430" w:type="dxa"/>
            <w:shd w:val="clear" w:color="auto" w:fill="D9D9D9"/>
          </w:tcPr>
          <w:p w14:paraId="60ACDDE9" w14:textId="77777777" w:rsidR="0005435E" w:rsidRPr="0005435E" w:rsidRDefault="0005435E" w:rsidP="0071439C">
            <w:pPr>
              <w:spacing w:before="40" w:after="40"/>
              <w:rPr>
                <w:sz w:val="18"/>
                <w:szCs w:val="18"/>
              </w:rPr>
            </w:pPr>
            <w:r w:rsidRPr="0005435E">
              <w:rPr>
                <w:b/>
                <w:bCs/>
                <w:sz w:val="18"/>
                <w:szCs w:val="18"/>
              </w:rPr>
              <w:t>HR (95% CI)</w:t>
            </w:r>
          </w:p>
        </w:tc>
        <w:tc>
          <w:tcPr>
            <w:tcW w:w="810" w:type="dxa"/>
            <w:shd w:val="clear" w:color="auto" w:fill="D9D9D9"/>
          </w:tcPr>
          <w:p w14:paraId="62CA1F3D" w14:textId="77777777" w:rsidR="0005435E" w:rsidRPr="0005435E" w:rsidRDefault="0005435E" w:rsidP="0071439C">
            <w:pPr>
              <w:spacing w:before="40" w:after="40"/>
              <w:rPr>
                <w:sz w:val="18"/>
                <w:szCs w:val="18"/>
              </w:rPr>
            </w:pPr>
            <w:r w:rsidRPr="0005435E">
              <w:rPr>
                <w:b/>
                <w:bCs/>
                <w:sz w:val="18"/>
                <w:szCs w:val="18"/>
              </w:rPr>
              <w:t>p-value</w:t>
            </w:r>
          </w:p>
        </w:tc>
      </w:tr>
      <w:tr w:rsidR="0005435E" w:rsidRPr="0005435E" w14:paraId="614571A0" w14:textId="77777777" w:rsidTr="00143EC0">
        <w:trPr>
          <w:trHeight w:val="273"/>
        </w:trPr>
        <w:tc>
          <w:tcPr>
            <w:tcW w:w="3155" w:type="dxa"/>
            <w:shd w:val="clear" w:color="auto" w:fill="FFFFFF"/>
            <w:vAlign w:val="center"/>
          </w:tcPr>
          <w:p w14:paraId="2521B753" w14:textId="5773193B" w:rsidR="0005435E" w:rsidRPr="0005435E" w:rsidRDefault="0005435E" w:rsidP="0005435E">
            <w:pPr>
              <w:spacing w:before="40" w:after="40"/>
              <w:rPr>
                <w:sz w:val="18"/>
                <w:szCs w:val="18"/>
              </w:rPr>
            </w:pPr>
            <w:r w:rsidRPr="0005435E">
              <w:rPr>
                <w:rFonts w:eastAsia="Helvetica"/>
                <w:color w:val="000000"/>
                <w:sz w:val="18"/>
                <w:szCs w:val="18"/>
              </w:rPr>
              <w:t>Distance (per 100 km)</w:t>
            </w:r>
          </w:p>
        </w:tc>
        <w:tc>
          <w:tcPr>
            <w:tcW w:w="1430" w:type="dxa"/>
            <w:shd w:val="clear" w:color="auto" w:fill="FFFFFF"/>
            <w:vAlign w:val="center"/>
          </w:tcPr>
          <w:p w14:paraId="19829F15" w14:textId="732F2751" w:rsidR="0005435E" w:rsidRPr="0005435E" w:rsidRDefault="0005435E" w:rsidP="0005435E">
            <w:pPr>
              <w:spacing w:before="40" w:after="40"/>
              <w:rPr>
                <w:sz w:val="18"/>
                <w:szCs w:val="18"/>
              </w:rPr>
            </w:pPr>
            <w:r w:rsidRPr="0005435E">
              <w:rPr>
                <w:rFonts w:eastAsia="Helvetica"/>
                <w:color w:val="000000"/>
                <w:sz w:val="18"/>
                <w:szCs w:val="18"/>
              </w:rPr>
              <w:t>0.57 (0.52–0.64)</w:t>
            </w:r>
          </w:p>
        </w:tc>
        <w:tc>
          <w:tcPr>
            <w:tcW w:w="810" w:type="dxa"/>
            <w:shd w:val="clear" w:color="auto" w:fill="FFFFFF"/>
            <w:vAlign w:val="center"/>
          </w:tcPr>
          <w:p w14:paraId="431D9762" w14:textId="0446EAE6" w:rsidR="0005435E" w:rsidRPr="0005435E" w:rsidRDefault="0005435E" w:rsidP="0005435E">
            <w:pPr>
              <w:spacing w:before="40" w:after="40"/>
              <w:rPr>
                <w:sz w:val="18"/>
                <w:szCs w:val="18"/>
              </w:rPr>
            </w:pPr>
            <w:r w:rsidRPr="0005435E">
              <w:rPr>
                <w:rFonts w:eastAsia="Helvetica"/>
                <w:color w:val="000000"/>
                <w:sz w:val="18"/>
                <w:szCs w:val="18"/>
              </w:rPr>
              <w:t>&lt;0.001</w:t>
            </w:r>
          </w:p>
        </w:tc>
      </w:tr>
      <w:tr w:rsidR="0005435E" w:rsidRPr="0005435E" w14:paraId="6298D6E5" w14:textId="77777777" w:rsidTr="00143EC0">
        <w:trPr>
          <w:trHeight w:val="273"/>
        </w:trPr>
        <w:tc>
          <w:tcPr>
            <w:tcW w:w="3155" w:type="dxa"/>
            <w:shd w:val="clear" w:color="auto" w:fill="FFFFFF"/>
            <w:vAlign w:val="center"/>
          </w:tcPr>
          <w:p w14:paraId="4024FDF6" w14:textId="47C8E02A"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Invasion pressure (per SD)</w:t>
            </w:r>
          </w:p>
        </w:tc>
        <w:tc>
          <w:tcPr>
            <w:tcW w:w="1430" w:type="dxa"/>
            <w:shd w:val="clear" w:color="auto" w:fill="FFFFFF"/>
            <w:vAlign w:val="center"/>
          </w:tcPr>
          <w:p w14:paraId="662FA35A" w14:textId="136418B4"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1.18 (1.09–1.27)</w:t>
            </w:r>
          </w:p>
        </w:tc>
        <w:tc>
          <w:tcPr>
            <w:tcW w:w="810" w:type="dxa"/>
            <w:shd w:val="clear" w:color="auto" w:fill="FFFFFF"/>
            <w:vAlign w:val="center"/>
          </w:tcPr>
          <w:p w14:paraId="4C9A9D7E" w14:textId="662059A6"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&lt;0.001</w:t>
            </w:r>
          </w:p>
        </w:tc>
      </w:tr>
      <w:tr w:rsidR="0005435E" w:rsidRPr="0005435E" w14:paraId="019543EA" w14:textId="77777777" w:rsidTr="00143EC0">
        <w:trPr>
          <w:trHeight w:val="273"/>
        </w:trPr>
        <w:tc>
          <w:tcPr>
            <w:tcW w:w="3155" w:type="dxa"/>
            <w:shd w:val="clear" w:color="auto" w:fill="FFFFFF"/>
            <w:vAlign w:val="center"/>
          </w:tcPr>
          <w:p w14:paraId="1C78ED27" w14:textId="0B23BC29"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Source-region intensity (log cases)</w:t>
            </w:r>
          </w:p>
        </w:tc>
        <w:tc>
          <w:tcPr>
            <w:tcW w:w="1430" w:type="dxa"/>
            <w:shd w:val="clear" w:color="auto" w:fill="FFFFFF"/>
            <w:vAlign w:val="center"/>
          </w:tcPr>
          <w:p w14:paraId="662EC277" w14:textId="220F16FB"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1.48 (1.27–1.74)</w:t>
            </w:r>
          </w:p>
        </w:tc>
        <w:tc>
          <w:tcPr>
            <w:tcW w:w="810" w:type="dxa"/>
            <w:shd w:val="clear" w:color="auto" w:fill="FFFFFF"/>
            <w:vAlign w:val="center"/>
          </w:tcPr>
          <w:p w14:paraId="2AE72C25" w14:textId="426B9826"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&lt;0.001</w:t>
            </w:r>
          </w:p>
        </w:tc>
      </w:tr>
      <w:tr w:rsidR="0005435E" w:rsidRPr="0005435E" w14:paraId="6DDAB61E" w14:textId="77777777" w:rsidTr="00143EC0">
        <w:trPr>
          <w:trHeight w:val="273"/>
        </w:trPr>
        <w:tc>
          <w:tcPr>
            <w:tcW w:w="3155" w:type="dxa"/>
            <w:shd w:val="clear" w:color="auto" w:fill="FFFFFF"/>
            <w:vAlign w:val="center"/>
          </w:tcPr>
          <w:p w14:paraId="565B0B86" w14:textId="2F1F63A6"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Temperature anomaly (per °C)</w:t>
            </w:r>
          </w:p>
        </w:tc>
        <w:tc>
          <w:tcPr>
            <w:tcW w:w="1430" w:type="dxa"/>
            <w:shd w:val="clear" w:color="auto" w:fill="FFFFFF"/>
            <w:vAlign w:val="center"/>
          </w:tcPr>
          <w:p w14:paraId="7DD5F143" w14:textId="193E7434"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2.77 (2.00–3.84)</w:t>
            </w:r>
          </w:p>
        </w:tc>
        <w:tc>
          <w:tcPr>
            <w:tcW w:w="810" w:type="dxa"/>
            <w:shd w:val="clear" w:color="auto" w:fill="FFFFFF"/>
            <w:vAlign w:val="center"/>
          </w:tcPr>
          <w:p w14:paraId="13959DFD" w14:textId="780A2981"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&lt;0.001</w:t>
            </w:r>
          </w:p>
        </w:tc>
      </w:tr>
      <w:tr w:rsidR="0005435E" w:rsidRPr="0005435E" w14:paraId="7E9B85E1" w14:textId="77777777" w:rsidTr="00143EC0">
        <w:trPr>
          <w:trHeight w:val="273"/>
        </w:trPr>
        <w:tc>
          <w:tcPr>
            <w:tcW w:w="3155" w:type="dxa"/>
            <w:shd w:val="clear" w:color="auto" w:fill="FFFFFF"/>
            <w:vAlign w:val="center"/>
          </w:tcPr>
          <w:p w14:paraId="7A899A7A" w14:textId="187ABDA2"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Humidity anomaly (per °C)</w:t>
            </w:r>
          </w:p>
        </w:tc>
        <w:tc>
          <w:tcPr>
            <w:tcW w:w="1430" w:type="dxa"/>
            <w:shd w:val="clear" w:color="auto" w:fill="FFFFFF"/>
            <w:vAlign w:val="center"/>
          </w:tcPr>
          <w:p w14:paraId="0BF824A6" w14:textId="50BEDA54"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1.16 (1.07–1.26)</w:t>
            </w:r>
          </w:p>
        </w:tc>
        <w:tc>
          <w:tcPr>
            <w:tcW w:w="810" w:type="dxa"/>
            <w:shd w:val="clear" w:color="auto" w:fill="FFFFFF"/>
            <w:vAlign w:val="center"/>
          </w:tcPr>
          <w:p w14:paraId="49A29E30" w14:textId="2EE85608"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&lt;0.001</w:t>
            </w:r>
          </w:p>
        </w:tc>
      </w:tr>
      <w:tr w:rsidR="0005435E" w:rsidRPr="0005435E" w14:paraId="093D1F08" w14:textId="77777777" w:rsidTr="00143EC0">
        <w:trPr>
          <w:trHeight w:val="273"/>
        </w:trPr>
        <w:tc>
          <w:tcPr>
            <w:tcW w:w="3155" w:type="dxa"/>
            <w:shd w:val="clear" w:color="auto" w:fill="FFFFFF"/>
            <w:vAlign w:val="center"/>
          </w:tcPr>
          <w:p w14:paraId="2F6BFEE7" w14:textId="07EA561C"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Precipitation anomaly (per SD)</w:t>
            </w:r>
          </w:p>
        </w:tc>
        <w:tc>
          <w:tcPr>
            <w:tcW w:w="1430" w:type="dxa"/>
            <w:shd w:val="clear" w:color="auto" w:fill="FFFFFF"/>
            <w:vAlign w:val="center"/>
          </w:tcPr>
          <w:p w14:paraId="5D1EA8A0" w14:textId="55550261"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0.95 (0.82–1.10)</w:t>
            </w:r>
          </w:p>
        </w:tc>
        <w:tc>
          <w:tcPr>
            <w:tcW w:w="810" w:type="dxa"/>
            <w:shd w:val="clear" w:color="auto" w:fill="FFFFFF"/>
            <w:vAlign w:val="center"/>
          </w:tcPr>
          <w:p w14:paraId="7C37F19D" w14:textId="47DB982F"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0.524</w:t>
            </w:r>
          </w:p>
        </w:tc>
      </w:tr>
      <w:tr w:rsidR="0005435E" w:rsidRPr="0005435E" w14:paraId="5A3BD4D6" w14:textId="77777777" w:rsidTr="00143EC0">
        <w:trPr>
          <w:trHeight w:val="273"/>
        </w:trPr>
        <w:tc>
          <w:tcPr>
            <w:tcW w:w="3155" w:type="dxa"/>
            <w:shd w:val="clear" w:color="auto" w:fill="FFFFFF"/>
            <w:vAlign w:val="center"/>
          </w:tcPr>
          <w:p w14:paraId="08DC274A" w14:textId="12FFC185" w:rsidR="0005435E" w:rsidRPr="0005435E" w:rsidRDefault="00482A58" w:rsidP="0005435E">
            <w:pPr>
              <w:spacing w:before="40" w:after="40"/>
              <w:rPr>
                <w:rFonts w:eastAsia="Helvetica"/>
                <w:color w:val="000000"/>
                <w:sz w:val="18"/>
                <w:szCs w:val="18"/>
              </w:rPr>
            </w:pPr>
            <w:r>
              <w:rPr>
                <w:rFonts w:eastAsia="Helvetica"/>
                <w:color w:val="000000"/>
                <w:sz w:val="18"/>
                <w:szCs w:val="18"/>
              </w:rPr>
              <w:lastRenderedPageBreak/>
              <w:t>Urbanization</w:t>
            </w:r>
            <w:r w:rsidR="0005435E" w:rsidRPr="0005435E">
              <w:rPr>
                <w:rFonts w:eastAsia="Helvetica"/>
                <w:color w:val="000000"/>
                <w:sz w:val="18"/>
                <w:szCs w:val="18"/>
              </w:rPr>
              <w:t>: intermediate (vs urban)</w:t>
            </w:r>
          </w:p>
        </w:tc>
        <w:tc>
          <w:tcPr>
            <w:tcW w:w="1430" w:type="dxa"/>
            <w:shd w:val="clear" w:color="auto" w:fill="FFFFFF"/>
            <w:vAlign w:val="center"/>
          </w:tcPr>
          <w:p w14:paraId="00DBE9E6" w14:textId="3F40C71A"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0.63 (0.46–0.86)</w:t>
            </w:r>
          </w:p>
        </w:tc>
        <w:tc>
          <w:tcPr>
            <w:tcW w:w="810" w:type="dxa"/>
            <w:shd w:val="clear" w:color="auto" w:fill="FFFFFF"/>
            <w:vAlign w:val="center"/>
          </w:tcPr>
          <w:p w14:paraId="0FA8CFE2" w14:textId="61E408FA"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0.004</w:t>
            </w:r>
          </w:p>
        </w:tc>
      </w:tr>
      <w:tr w:rsidR="0005435E" w:rsidRPr="0005435E" w14:paraId="237332AC" w14:textId="77777777" w:rsidTr="00143EC0">
        <w:trPr>
          <w:trHeight w:val="273"/>
        </w:trPr>
        <w:tc>
          <w:tcPr>
            <w:tcW w:w="3155" w:type="dxa"/>
            <w:shd w:val="clear" w:color="auto" w:fill="FFFFFF"/>
            <w:vAlign w:val="center"/>
          </w:tcPr>
          <w:p w14:paraId="446102E0" w14:textId="0AC9B151" w:rsidR="0005435E" w:rsidRPr="0005435E" w:rsidRDefault="00482A58" w:rsidP="0005435E">
            <w:pPr>
              <w:spacing w:before="40" w:after="40"/>
              <w:rPr>
                <w:rFonts w:eastAsia="Helvetica"/>
                <w:color w:val="000000"/>
                <w:sz w:val="18"/>
                <w:szCs w:val="18"/>
              </w:rPr>
            </w:pPr>
            <w:r>
              <w:rPr>
                <w:rFonts w:eastAsia="Helvetica"/>
                <w:color w:val="000000"/>
                <w:sz w:val="18"/>
                <w:szCs w:val="18"/>
              </w:rPr>
              <w:t>Urbanization</w:t>
            </w:r>
            <w:r w:rsidR="0005435E" w:rsidRPr="0005435E">
              <w:rPr>
                <w:rFonts w:eastAsia="Helvetica"/>
                <w:color w:val="000000"/>
                <w:sz w:val="18"/>
                <w:szCs w:val="18"/>
              </w:rPr>
              <w:t>: rural (vs urban)</w:t>
            </w:r>
          </w:p>
        </w:tc>
        <w:tc>
          <w:tcPr>
            <w:tcW w:w="1430" w:type="dxa"/>
            <w:shd w:val="clear" w:color="auto" w:fill="FFFFFF"/>
            <w:vAlign w:val="center"/>
          </w:tcPr>
          <w:p w14:paraId="58B82789" w14:textId="00306B0D"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0.55 (0.39–0.76)</w:t>
            </w:r>
          </w:p>
        </w:tc>
        <w:tc>
          <w:tcPr>
            <w:tcW w:w="810" w:type="dxa"/>
            <w:shd w:val="clear" w:color="auto" w:fill="FFFFFF"/>
            <w:vAlign w:val="center"/>
          </w:tcPr>
          <w:p w14:paraId="2BD19CA5" w14:textId="58388E3D" w:rsidR="0005435E" w:rsidRPr="0005435E" w:rsidRDefault="0005435E" w:rsidP="0005435E">
            <w:pPr>
              <w:spacing w:before="40" w:after="40"/>
              <w:rPr>
                <w:rFonts w:eastAsia="Helvetica"/>
                <w:color w:val="000000"/>
                <w:sz w:val="18"/>
                <w:szCs w:val="18"/>
              </w:rPr>
            </w:pPr>
            <w:r w:rsidRPr="0005435E">
              <w:rPr>
                <w:rFonts w:eastAsia="Helvetica"/>
                <w:color w:val="000000"/>
                <w:sz w:val="18"/>
                <w:szCs w:val="18"/>
              </w:rPr>
              <w:t>&lt;0.001</w:t>
            </w:r>
          </w:p>
        </w:tc>
      </w:tr>
    </w:tbl>
    <w:p w14:paraId="1A3609DA" w14:textId="77777777" w:rsidR="00D21CF7" w:rsidRDefault="00D21CF7">
      <w:pPr>
        <w:spacing w:after="200"/>
        <w:rPr>
          <w:b/>
          <w:bCs/>
        </w:rPr>
      </w:pPr>
    </w:p>
    <w:p w14:paraId="5A5DC737" w14:textId="1714F635" w:rsidR="00392465" w:rsidRDefault="00000000">
      <w:pPr>
        <w:spacing w:after="200"/>
      </w:pPr>
      <w:r>
        <w:rPr>
          <w:b/>
          <w:bCs/>
        </w:rPr>
        <w:t xml:space="preserve">Supplementary Table S5. </w:t>
      </w:r>
      <w:r>
        <w:t>Leave-one-country-out sensitivity analysis. The primary multivariable Cox proportional hazards model was refitted 18 times, sequentially excluding each of the 18 countries contributing to the dataset. Hazard ratios for geographic distance, neighbourhood invasion pressure, and annual mean temperature are shown for each exclusion. Results were highly stable across all 18 exclusions, confirming that no single country's epidemic, surveillance system, or spatial distribution of NUTS3 regions disproportionately influenced the primary findings.</w:t>
      </w:r>
    </w:p>
    <w:tbl>
      <w:tblPr>
        <w:tblStyle w:val="TableGrid"/>
        <w:tblW w:w="0" w:type="auto"/>
        <w:tblLayout w:type="fixed"/>
        <w:tblLook w:val="0420" w:firstRow="1" w:lastRow="0" w:firstColumn="0" w:lastColumn="0" w:noHBand="0" w:noVBand="1"/>
      </w:tblPr>
      <w:tblGrid>
        <w:gridCol w:w="1615"/>
        <w:gridCol w:w="1620"/>
        <w:gridCol w:w="1620"/>
        <w:gridCol w:w="1710"/>
      </w:tblGrid>
      <w:tr w:rsidR="00392465" w:rsidRPr="00B047F0" w14:paraId="6870ABA9" w14:textId="77777777" w:rsidTr="005153A1">
        <w:tc>
          <w:tcPr>
            <w:tcW w:w="1615" w:type="dxa"/>
            <w:shd w:val="clear" w:color="auto" w:fill="D1D1D1" w:themeFill="background2" w:themeFillShade="E6"/>
          </w:tcPr>
          <w:p w14:paraId="7223414E" w14:textId="77777777" w:rsidR="00392465" w:rsidRPr="00B047F0" w:rsidRDefault="00392465"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b/>
                <w:color w:val="000000"/>
                <w:sz w:val="18"/>
                <w:szCs w:val="18"/>
              </w:rPr>
            </w:pPr>
            <w:r w:rsidRPr="00B047F0">
              <w:rPr>
                <w:rFonts w:ascii="Times New Roman" w:eastAsia="Helvetica" w:hAnsi="Times New Roman" w:cs="Times New Roman"/>
                <w:b/>
                <w:color w:val="000000"/>
                <w:sz w:val="18"/>
                <w:szCs w:val="18"/>
              </w:rPr>
              <w:t>Country excluded</w:t>
            </w:r>
          </w:p>
        </w:tc>
        <w:tc>
          <w:tcPr>
            <w:tcW w:w="1620" w:type="dxa"/>
            <w:shd w:val="clear" w:color="auto" w:fill="D1D1D1" w:themeFill="background2" w:themeFillShade="E6"/>
          </w:tcPr>
          <w:p w14:paraId="4D8D521C" w14:textId="77777777" w:rsidR="00392465" w:rsidRPr="00B047F0" w:rsidRDefault="00392465"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b/>
                <w:color w:val="000000"/>
                <w:sz w:val="18"/>
                <w:szCs w:val="18"/>
              </w:rPr>
            </w:pPr>
            <w:r w:rsidRPr="00B047F0">
              <w:rPr>
                <w:rFonts w:ascii="Times New Roman" w:eastAsia="Helvetica" w:hAnsi="Times New Roman" w:cs="Times New Roman"/>
                <w:b/>
                <w:color w:val="000000"/>
                <w:sz w:val="18"/>
                <w:szCs w:val="18"/>
              </w:rPr>
              <w:t>Distance HR (95% CI)</w:t>
            </w:r>
          </w:p>
        </w:tc>
        <w:tc>
          <w:tcPr>
            <w:tcW w:w="1620" w:type="dxa"/>
            <w:shd w:val="clear" w:color="auto" w:fill="D1D1D1" w:themeFill="background2" w:themeFillShade="E6"/>
          </w:tcPr>
          <w:p w14:paraId="4193D0EA" w14:textId="77777777" w:rsidR="00392465" w:rsidRPr="00B047F0" w:rsidRDefault="00392465"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b/>
                <w:color w:val="000000"/>
                <w:sz w:val="18"/>
                <w:szCs w:val="18"/>
              </w:rPr>
            </w:pPr>
            <w:r w:rsidRPr="00B047F0">
              <w:rPr>
                <w:rFonts w:ascii="Times New Roman" w:eastAsia="Helvetica" w:hAnsi="Times New Roman" w:cs="Times New Roman"/>
                <w:b/>
                <w:color w:val="000000"/>
                <w:sz w:val="18"/>
                <w:szCs w:val="18"/>
              </w:rPr>
              <w:t>Pressure HR (95% CI)</w:t>
            </w:r>
          </w:p>
        </w:tc>
        <w:tc>
          <w:tcPr>
            <w:tcW w:w="1710" w:type="dxa"/>
            <w:shd w:val="clear" w:color="auto" w:fill="D1D1D1" w:themeFill="background2" w:themeFillShade="E6"/>
          </w:tcPr>
          <w:p w14:paraId="5EC28B8E" w14:textId="77777777" w:rsidR="00392465" w:rsidRPr="00B047F0" w:rsidRDefault="00392465"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b/>
                <w:color w:val="000000"/>
                <w:sz w:val="18"/>
                <w:szCs w:val="18"/>
              </w:rPr>
            </w:pPr>
            <w:r w:rsidRPr="00B047F0">
              <w:rPr>
                <w:rFonts w:ascii="Times New Roman" w:eastAsia="Helvetica" w:hAnsi="Times New Roman" w:cs="Times New Roman"/>
                <w:b/>
                <w:color w:val="000000"/>
                <w:sz w:val="18"/>
                <w:szCs w:val="18"/>
              </w:rPr>
              <w:t>Temperature HR (95% CI)</w:t>
            </w:r>
          </w:p>
        </w:tc>
      </w:tr>
      <w:tr w:rsidR="00B047F0" w:rsidRPr="00B047F0" w14:paraId="6671B9E1" w14:textId="77777777" w:rsidTr="005153A1">
        <w:tc>
          <w:tcPr>
            <w:tcW w:w="1615" w:type="dxa"/>
          </w:tcPr>
          <w:p w14:paraId="457673DF" w14:textId="61B97F69"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Austria (AT)</w:t>
            </w:r>
          </w:p>
        </w:tc>
        <w:tc>
          <w:tcPr>
            <w:tcW w:w="1620" w:type="dxa"/>
          </w:tcPr>
          <w:p w14:paraId="6C48070E"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(0.50–0.62)</w:t>
            </w:r>
          </w:p>
        </w:tc>
        <w:tc>
          <w:tcPr>
            <w:tcW w:w="1620" w:type="dxa"/>
          </w:tcPr>
          <w:p w14:paraId="22438425"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(1.17–1.35)</w:t>
            </w:r>
          </w:p>
        </w:tc>
        <w:tc>
          <w:tcPr>
            <w:tcW w:w="1710" w:type="dxa"/>
          </w:tcPr>
          <w:p w14:paraId="1331540A"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1.24 (1.18–1.30)</w:t>
            </w:r>
          </w:p>
        </w:tc>
      </w:tr>
      <w:tr w:rsidR="00B047F0" w:rsidRPr="00B047F0" w14:paraId="3EEAB577" w14:textId="77777777" w:rsidTr="005153A1">
        <w:tc>
          <w:tcPr>
            <w:tcW w:w="1615" w:type="dxa"/>
          </w:tcPr>
          <w:p w14:paraId="33F4DA0F" w14:textId="2156CA81"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Bulgaria (BG)</w:t>
            </w:r>
          </w:p>
        </w:tc>
        <w:tc>
          <w:tcPr>
            <w:tcW w:w="1620" w:type="dxa"/>
          </w:tcPr>
          <w:p w14:paraId="535E4BD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0.54 (0.49–0.60)</w:t>
            </w:r>
          </w:p>
        </w:tc>
        <w:tc>
          <w:tcPr>
            <w:tcW w:w="1620" w:type="dxa"/>
          </w:tcPr>
          <w:p w14:paraId="638F46A6"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(1.17–1.35)</w:t>
            </w:r>
          </w:p>
        </w:tc>
        <w:tc>
          <w:tcPr>
            <w:tcW w:w="1710" w:type="dxa"/>
          </w:tcPr>
          <w:p w14:paraId="0A96313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(1.19–1.32)</w:t>
            </w:r>
          </w:p>
        </w:tc>
      </w:tr>
      <w:tr w:rsidR="00B047F0" w:rsidRPr="00B047F0" w14:paraId="3922D68D" w14:textId="77777777" w:rsidTr="005153A1">
        <w:tc>
          <w:tcPr>
            <w:tcW w:w="1615" w:type="dxa"/>
          </w:tcPr>
          <w:p w14:paraId="4D406FB2" w14:textId="31694CC8"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Cyprus (CY)</w:t>
            </w:r>
          </w:p>
        </w:tc>
        <w:tc>
          <w:tcPr>
            <w:tcW w:w="1620" w:type="dxa"/>
          </w:tcPr>
          <w:p w14:paraId="3C09D4DC"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0.55 (0.50–0.61)</w:t>
            </w:r>
          </w:p>
        </w:tc>
        <w:tc>
          <w:tcPr>
            <w:tcW w:w="1620" w:type="dxa"/>
          </w:tcPr>
          <w:p w14:paraId="6037C38D"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(1.16–1.35)</w:t>
            </w:r>
          </w:p>
        </w:tc>
        <w:tc>
          <w:tcPr>
            <w:tcW w:w="1710" w:type="dxa"/>
          </w:tcPr>
          <w:p w14:paraId="5655EAF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(1.19–1.31)</w:t>
            </w:r>
          </w:p>
        </w:tc>
      </w:tr>
      <w:tr w:rsidR="00B047F0" w:rsidRPr="00B047F0" w14:paraId="561ABF16" w14:textId="77777777" w:rsidTr="005153A1">
        <w:tc>
          <w:tcPr>
            <w:tcW w:w="1615" w:type="dxa"/>
          </w:tcPr>
          <w:p w14:paraId="088D9F24" w14:textId="0FF0C35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Czechia (CZ)</w:t>
            </w:r>
          </w:p>
        </w:tc>
        <w:tc>
          <w:tcPr>
            <w:tcW w:w="1620" w:type="dxa"/>
          </w:tcPr>
          <w:p w14:paraId="3C1ED93B"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(0.51–0.62)</w:t>
            </w:r>
          </w:p>
        </w:tc>
        <w:tc>
          <w:tcPr>
            <w:tcW w:w="1620" w:type="dxa"/>
          </w:tcPr>
          <w:p w14:paraId="06808C45"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(1.16–1.35)</w:t>
            </w:r>
          </w:p>
        </w:tc>
        <w:tc>
          <w:tcPr>
            <w:tcW w:w="1710" w:type="dxa"/>
          </w:tcPr>
          <w:p w14:paraId="0C91F2C2"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(1.18–1.31)</w:t>
            </w:r>
          </w:p>
        </w:tc>
      </w:tr>
      <w:tr w:rsidR="00B047F0" w:rsidRPr="00B047F0" w14:paraId="59D0D512" w14:textId="77777777" w:rsidTr="005153A1">
        <w:tc>
          <w:tcPr>
            <w:tcW w:w="1615" w:type="dxa"/>
          </w:tcPr>
          <w:p w14:paraId="5B219B30" w14:textId="07AB4D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Germany (DE)</w:t>
            </w:r>
          </w:p>
        </w:tc>
        <w:tc>
          <w:tcPr>
            <w:tcW w:w="1620" w:type="dxa"/>
          </w:tcPr>
          <w:p w14:paraId="334B655E"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0.60 (0.54–0.67)</w:t>
            </w:r>
          </w:p>
        </w:tc>
        <w:tc>
          <w:tcPr>
            <w:tcW w:w="1620" w:type="dxa"/>
          </w:tcPr>
          <w:p w14:paraId="6E7C9452"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1.23 (1.13–1.35)</w:t>
            </w:r>
          </w:p>
        </w:tc>
        <w:tc>
          <w:tcPr>
            <w:tcW w:w="1710" w:type="dxa"/>
          </w:tcPr>
          <w:p w14:paraId="3C53117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1.22 (1.15–1.28)</w:t>
            </w:r>
          </w:p>
        </w:tc>
      </w:tr>
      <w:tr w:rsidR="00B047F0" w:rsidRPr="00B047F0" w14:paraId="1E649010" w14:textId="77777777" w:rsidTr="005153A1">
        <w:tc>
          <w:tcPr>
            <w:tcW w:w="1615" w:type="dxa"/>
          </w:tcPr>
          <w:p w14:paraId="3B8AF625" w14:textId="709F0DB4"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Greece (EL)</w:t>
            </w:r>
          </w:p>
        </w:tc>
        <w:tc>
          <w:tcPr>
            <w:tcW w:w="1620" w:type="dxa"/>
          </w:tcPr>
          <w:p w14:paraId="5D11C4C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0.53 (0.47–0.60)</w:t>
            </w:r>
          </w:p>
        </w:tc>
        <w:tc>
          <w:tcPr>
            <w:tcW w:w="1620" w:type="dxa"/>
          </w:tcPr>
          <w:p w14:paraId="0DB6F03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1.27 (1.18–1.37)</w:t>
            </w:r>
          </w:p>
        </w:tc>
        <w:tc>
          <w:tcPr>
            <w:tcW w:w="1710" w:type="dxa"/>
          </w:tcPr>
          <w:p w14:paraId="3E2B4E38"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(1.17–1.33)</w:t>
            </w:r>
          </w:p>
        </w:tc>
      </w:tr>
      <w:tr w:rsidR="00B047F0" w:rsidRPr="00B047F0" w14:paraId="764548A9" w14:textId="77777777" w:rsidTr="005153A1">
        <w:tc>
          <w:tcPr>
            <w:tcW w:w="1615" w:type="dxa"/>
          </w:tcPr>
          <w:p w14:paraId="12F787DD" w14:textId="73026F6F"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Spain (ES)</w:t>
            </w:r>
          </w:p>
        </w:tc>
        <w:tc>
          <w:tcPr>
            <w:tcW w:w="1620" w:type="dxa"/>
          </w:tcPr>
          <w:p w14:paraId="3D23D8CA"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0.53 (0.48–0.59)</w:t>
            </w:r>
          </w:p>
        </w:tc>
        <w:tc>
          <w:tcPr>
            <w:tcW w:w="1620" w:type="dxa"/>
          </w:tcPr>
          <w:p w14:paraId="23409D5E"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1.23 (1.14–1.33)</w:t>
            </w:r>
          </w:p>
        </w:tc>
        <w:tc>
          <w:tcPr>
            <w:tcW w:w="1710" w:type="dxa"/>
          </w:tcPr>
          <w:p w14:paraId="00E1ECC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(1.19–1.32)</w:t>
            </w:r>
          </w:p>
        </w:tc>
      </w:tr>
      <w:tr w:rsidR="00B047F0" w:rsidRPr="00B047F0" w14:paraId="7154CF00" w14:textId="77777777" w:rsidTr="005153A1">
        <w:tc>
          <w:tcPr>
            <w:tcW w:w="1615" w:type="dxa"/>
          </w:tcPr>
          <w:p w14:paraId="5B016857" w14:textId="416614E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France (FR)</w:t>
            </w:r>
          </w:p>
        </w:tc>
        <w:tc>
          <w:tcPr>
            <w:tcW w:w="1620" w:type="dxa"/>
          </w:tcPr>
          <w:p w14:paraId="600CBB0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(0.50–0.62)</w:t>
            </w:r>
          </w:p>
        </w:tc>
        <w:tc>
          <w:tcPr>
            <w:tcW w:w="1620" w:type="dxa"/>
          </w:tcPr>
          <w:p w14:paraId="636FEB2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1.27 (1.18–1.37)</w:t>
            </w:r>
          </w:p>
        </w:tc>
        <w:tc>
          <w:tcPr>
            <w:tcW w:w="1710" w:type="dxa"/>
          </w:tcPr>
          <w:p w14:paraId="579E5CA3"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1.24 (1.18–1.31)</w:t>
            </w:r>
          </w:p>
        </w:tc>
      </w:tr>
      <w:tr w:rsidR="00B047F0" w:rsidRPr="00B047F0" w14:paraId="3E13CD45" w14:textId="77777777" w:rsidTr="005153A1">
        <w:tc>
          <w:tcPr>
            <w:tcW w:w="1615" w:type="dxa"/>
          </w:tcPr>
          <w:p w14:paraId="5D962185" w14:textId="265291CD"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Croatia (HR)</w:t>
            </w:r>
          </w:p>
        </w:tc>
        <w:tc>
          <w:tcPr>
            <w:tcW w:w="1620" w:type="dxa"/>
          </w:tcPr>
          <w:p w14:paraId="6390C228"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(0.50–0.61)</w:t>
            </w:r>
          </w:p>
        </w:tc>
        <w:tc>
          <w:tcPr>
            <w:tcW w:w="1620" w:type="dxa"/>
          </w:tcPr>
          <w:p w14:paraId="4375666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(1.16–1.34)</w:t>
            </w:r>
          </w:p>
        </w:tc>
        <w:tc>
          <w:tcPr>
            <w:tcW w:w="1710" w:type="dxa"/>
          </w:tcPr>
          <w:p w14:paraId="09E555A8"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(1.19–1.32)</w:t>
            </w:r>
          </w:p>
        </w:tc>
      </w:tr>
      <w:tr w:rsidR="00B047F0" w:rsidRPr="00B047F0" w14:paraId="46D49AAB" w14:textId="77777777" w:rsidTr="005153A1">
        <w:tc>
          <w:tcPr>
            <w:tcW w:w="1615" w:type="dxa"/>
          </w:tcPr>
          <w:p w14:paraId="18B6B599" w14:textId="294C3656"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Hungary (HU)</w:t>
            </w:r>
          </w:p>
        </w:tc>
        <w:tc>
          <w:tcPr>
            <w:tcW w:w="1620" w:type="dxa"/>
          </w:tcPr>
          <w:p w14:paraId="346166C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0.58 (0.52–0.64)</w:t>
            </w:r>
          </w:p>
        </w:tc>
        <w:tc>
          <w:tcPr>
            <w:tcW w:w="1620" w:type="dxa"/>
          </w:tcPr>
          <w:p w14:paraId="17B0C2FA"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(1.17–1.36)</w:t>
            </w:r>
          </w:p>
        </w:tc>
        <w:tc>
          <w:tcPr>
            <w:tcW w:w="1710" w:type="dxa"/>
          </w:tcPr>
          <w:p w14:paraId="7334ACC3"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(1.20–1.33)</w:t>
            </w:r>
          </w:p>
        </w:tc>
      </w:tr>
      <w:tr w:rsidR="00B047F0" w:rsidRPr="00B047F0" w14:paraId="77BA7C7D" w14:textId="77777777" w:rsidTr="005153A1">
        <w:tc>
          <w:tcPr>
            <w:tcW w:w="1615" w:type="dxa"/>
          </w:tcPr>
          <w:p w14:paraId="653E6643" w14:textId="3CA84EC8"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Italy (IT)</w:t>
            </w:r>
          </w:p>
        </w:tc>
        <w:tc>
          <w:tcPr>
            <w:tcW w:w="1620" w:type="dxa"/>
          </w:tcPr>
          <w:p w14:paraId="25E617D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(0.50–0.62)</w:t>
            </w:r>
          </w:p>
        </w:tc>
        <w:tc>
          <w:tcPr>
            <w:tcW w:w="1620" w:type="dxa"/>
          </w:tcPr>
          <w:p w14:paraId="072E7F56"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1.27 (1.16–1.40)</w:t>
            </w:r>
          </w:p>
        </w:tc>
        <w:tc>
          <w:tcPr>
            <w:tcW w:w="1710" w:type="dxa"/>
          </w:tcPr>
          <w:p w14:paraId="1DD7B7F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(1.19–1.33)</w:t>
            </w:r>
          </w:p>
        </w:tc>
      </w:tr>
      <w:tr w:rsidR="00B047F0" w:rsidRPr="00B047F0" w14:paraId="6A8467A9" w14:textId="77777777" w:rsidTr="005153A1">
        <w:tc>
          <w:tcPr>
            <w:tcW w:w="1615" w:type="dxa"/>
          </w:tcPr>
          <w:p w14:paraId="4846B2DB" w14:textId="665C3B6A"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North Macedonia (MK)</w:t>
            </w:r>
          </w:p>
        </w:tc>
        <w:tc>
          <w:tcPr>
            <w:tcW w:w="1620" w:type="dxa"/>
          </w:tcPr>
          <w:p w14:paraId="5B48678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0.55 (0.50–0.61)</w:t>
            </w:r>
          </w:p>
        </w:tc>
        <w:tc>
          <w:tcPr>
            <w:tcW w:w="1620" w:type="dxa"/>
          </w:tcPr>
          <w:p w14:paraId="03B89C6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(1.16–1.35)</w:t>
            </w:r>
          </w:p>
        </w:tc>
        <w:tc>
          <w:tcPr>
            <w:tcW w:w="1710" w:type="dxa"/>
          </w:tcPr>
          <w:p w14:paraId="5C56018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1.24 (1.17–1.30)</w:t>
            </w:r>
          </w:p>
        </w:tc>
      </w:tr>
      <w:tr w:rsidR="00B047F0" w:rsidRPr="00B047F0" w14:paraId="70DDC4A5" w14:textId="77777777" w:rsidTr="005153A1">
        <w:tc>
          <w:tcPr>
            <w:tcW w:w="1615" w:type="dxa"/>
          </w:tcPr>
          <w:p w14:paraId="7489A844" w14:textId="34E735EF"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Netherlands (NL)</w:t>
            </w:r>
          </w:p>
        </w:tc>
        <w:tc>
          <w:tcPr>
            <w:tcW w:w="1620" w:type="dxa"/>
          </w:tcPr>
          <w:p w14:paraId="60092BCB"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0.55 (0.50–0.61)</w:t>
            </w:r>
          </w:p>
        </w:tc>
        <w:tc>
          <w:tcPr>
            <w:tcW w:w="1620" w:type="dxa"/>
          </w:tcPr>
          <w:p w14:paraId="5AE1E495"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(1.16–1.35)</w:t>
            </w:r>
          </w:p>
        </w:tc>
        <w:tc>
          <w:tcPr>
            <w:tcW w:w="1710" w:type="dxa"/>
          </w:tcPr>
          <w:p w14:paraId="270B202A"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(1.19–1.31)</w:t>
            </w:r>
          </w:p>
        </w:tc>
      </w:tr>
      <w:tr w:rsidR="00B047F0" w:rsidRPr="00B047F0" w14:paraId="550237B6" w14:textId="77777777" w:rsidTr="005153A1">
        <w:tc>
          <w:tcPr>
            <w:tcW w:w="1615" w:type="dxa"/>
          </w:tcPr>
          <w:p w14:paraId="06CDE289" w14:textId="7A9FF71A"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Portugal (PT)</w:t>
            </w:r>
          </w:p>
        </w:tc>
        <w:tc>
          <w:tcPr>
            <w:tcW w:w="1620" w:type="dxa"/>
          </w:tcPr>
          <w:p w14:paraId="23784729"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(0.51–0.62)</w:t>
            </w:r>
          </w:p>
        </w:tc>
        <w:tc>
          <w:tcPr>
            <w:tcW w:w="1620" w:type="dxa"/>
          </w:tcPr>
          <w:p w14:paraId="584EBBD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(1.17–1.35)</w:t>
            </w:r>
          </w:p>
        </w:tc>
        <w:tc>
          <w:tcPr>
            <w:tcW w:w="1710" w:type="dxa"/>
          </w:tcPr>
          <w:p w14:paraId="5F8A3AE4"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(1.19–1.31)</w:t>
            </w:r>
          </w:p>
        </w:tc>
      </w:tr>
      <w:tr w:rsidR="00B047F0" w:rsidRPr="00B047F0" w14:paraId="2453C70F" w14:textId="77777777" w:rsidTr="005153A1">
        <w:tc>
          <w:tcPr>
            <w:tcW w:w="1615" w:type="dxa"/>
          </w:tcPr>
          <w:p w14:paraId="512016C2" w14:textId="1971F220"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Romania (RO)</w:t>
            </w:r>
          </w:p>
        </w:tc>
        <w:tc>
          <w:tcPr>
            <w:tcW w:w="1620" w:type="dxa"/>
          </w:tcPr>
          <w:p w14:paraId="571601EB"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0.58 (0.52–0.65)</w:t>
            </w:r>
          </w:p>
        </w:tc>
        <w:tc>
          <w:tcPr>
            <w:tcW w:w="1620" w:type="dxa"/>
          </w:tcPr>
          <w:p w14:paraId="02546E5D"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(1.17–1.36)</w:t>
            </w:r>
          </w:p>
        </w:tc>
        <w:tc>
          <w:tcPr>
            <w:tcW w:w="1710" w:type="dxa"/>
          </w:tcPr>
          <w:p w14:paraId="7C1A9F07"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1.30 (1.23–1.37)</w:t>
            </w:r>
          </w:p>
        </w:tc>
      </w:tr>
      <w:tr w:rsidR="00B047F0" w:rsidRPr="00B047F0" w14:paraId="62E198E4" w14:textId="77777777" w:rsidTr="005153A1">
        <w:tc>
          <w:tcPr>
            <w:tcW w:w="1615" w:type="dxa"/>
          </w:tcPr>
          <w:p w14:paraId="3D084A10" w14:textId="360FC673"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Slovenia (SI)</w:t>
            </w:r>
          </w:p>
        </w:tc>
        <w:tc>
          <w:tcPr>
            <w:tcW w:w="1620" w:type="dxa"/>
          </w:tcPr>
          <w:p w14:paraId="020E29D3"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(0.50–0.62)</w:t>
            </w:r>
          </w:p>
        </w:tc>
        <w:tc>
          <w:tcPr>
            <w:tcW w:w="1620" w:type="dxa"/>
          </w:tcPr>
          <w:p w14:paraId="7467273E"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(1.17–1.35)</w:t>
            </w:r>
          </w:p>
        </w:tc>
        <w:tc>
          <w:tcPr>
            <w:tcW w:w="1710" w:type="dxa"/>
          </w:tcPr>
          <w:p w14:paraId="34595A15"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(1.19–1.32)</w:t>
            </w:r>
          </w:p>
        </w:tc>
      </w:tr>
      <w:tr w:rsidR="00B047F0" w:rsidRPr="00B047F0" w14:paraId="7B2BA7C8" w14:textId="77777777" w:rsidTr="005153A1">
        <w:tc>
          <w:tcPr>
            <w:tcW w:w="1615" w:type="dxa"/>
          </w:tcPr>
          <w:p w14:paraId="03B344B0" w14:textId="3A599D42"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Slovakia (SK)</w:t>
            </w:r>
          </w:p>
        </w:tc>
        <w:tc>
          <w:tcPr>
            <w:tcW w:w="1620" w:type="dxa"/>
          </w:tcPr>
          <w:p w14:paraId="0F5ECFF5"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0.55 (0.50–0.61)</w:t>
            </w:r>
          </w:p>
        </w:tc>
        <w:tc>
          <w:tcPr>
            <w:tcW w:w="1620" w:type="dxa"/>
          </w:tcPr>
          <w:p w14:paraId="435CB07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(1.16–1.34)</w:t>
            </w:r>
          </w:p>
        </w:tc>
        <w:tc>
          <w:tcPr>
            <w:tcW w:w="1710" w:type="dxa"/>
          </w:tcPr>
          <w:p w14:paraId="55E988A3"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(1.18–1.31)</w:t>
            </w:r>
          </w:p>
        </w:tc>
      </w:tr>
      <w:tr w:rsidR="00B047F0" w:rsidRPr="00B047F0" w14:paraId="176C433F" w14:textId="77777777" w:rsidTr="005153A1">
        <w:tc>
          <w:tcPr>
            <w:tcW w:w="1615" w:type="dxa"/>
          </w:tcPr>
          <w:p w14:paraId="54D0AA4D" w14:textId="6C18D03F"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hAnsi="Times New Roman" w:cs="Times New Roman"/>
                <w:sz w:val="18"/>
                <w:szCs w:val="18"/>
              </w:rPr>
              <w:t>Türkiye (TR)</w:t>
            </w:r>
          </w:p>
        </w:tc>
        <w:tc>
          <w:tcPr>
            <w:tcW w:w="1620" w:type="dxa"/>
          </w:tcPr>
          <w:p w14:paraId="6422358B"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0.58 (0.52–0.64)</w:t>
            </w:r>
          </w:p>
        </w:tc>
        <w:tc>
          <w:tcPr>
            <w:tcW w:w="1620" w:type="dxa"/>
          </w:tcPr>
          <w:p w14:paraId="0F6D1314"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1.28 (1.18–1.38)</w:t>
            </w:r>
          </w:p>
        </w:tc>
        <w:tc>
          <w:tcPr>
            <w:tcW w:w="1710" w:type="dxa"/>
          </w:tcPr>
          <w:p w14:paraId="6681AA39"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1.24 (1.18–1.31)</w:t>
            </w:r>
          </w:p>
        </w:tc>
      </w:tr>
      <w:tr w:rsidR="00B047F0" w:rsidRPr="00B047F0" w14:paraId="08F08DC9" w14:textId="77777777" w:rsidTr="005153A1">
        <w:tc>
          <w:tcPr>
            <w:tcW w:w="1615" w:type="dxa"/>
          </w:tcPr>
          <w:p w14:paraId="2F5C8900"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ALL (primary)</w:t>
            </w:r>
          </w:p>
        </w:tc>
        <w:tc>
          <w:tcPr>
            <w:tcW w:w="1620" w:type="dxa"/>
          </w:tcPr>
          <w:p w14:paraId="0C0098EC"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0.56 (0.50–0.62)</w:t>
            </w:r>
          </w:p>
        </w:tc>
        <w:tc>
          <w:tcPr>
            <w:tcW w:w="1620" w:type="dxa"/>
          </w:tcPr>
          <w:p w14:paraId="0DF759FF"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1.26 (1.17–1.35)</w:t>
            </w:r>
          </w:p>
        </w:tc>
        <w:tc>
          <w:tcPr>
            <w:tcW w:w="1710" w:type="dxa"/>
          </w:tcPr>
          <w:p w14:paraId="65445151" w14:textId="77777777" w:rsidR="00B047F0" w:rsidRPr="00B047F0" w:rsidRDefault="00B047F0" w:rsidP="00B047F0">
            <w:pPr>
              <w:pBdr>
                <w:top w:val="none" w:sz="0" w:space="0" w:color="000000"/>
                <w:left w:val="none" w:sz="0" w:space="0" w:color="000000"/>
                <w:bottom w:val="none" w:sz="0" w:space="0" w:color="000000"/>
                <w:right w:val="none" w:sz="0" w:space="0" w:color="000000"/>
              </w:pBdr>
              <w:spacing w:before="60" w:after="60"/>
              <w:ind w:left="60" w:right="60"/>
              <w:rPr>
                <w:rFonts w:ascii="Times New Roman" w:eastAsia="Helvetica" w:hAnsi="Times New Roman" w:cs="Times New Roman"/>
                <w:color w:val="000000"/>
                <w:sz w:val="18"/>
                <w:szCs w:val="18"/>
              </w:rPr>
            </w:pPr>
            <w:r w:rsidRPr="00B047F0">
              <w:rPr>
                <w:rFonts w:ascii="Times New Roman" w:eastAsia="Helvetica" w:hAnsi="Times New Roman" w:cs="Times New Roman"/>
                <w:color w:val="000000"/>
                <w:sz w:val="18"/>
                <w:szCs w:val="18"/>
              </w:rPr>
              <w:t>1.25 (1.19–1.31)</w:t>
            </w:r>
          </w:p>
        </w:tc>
      </w:tr>
    </w:tbl>
    <w:p w14:paraId="53C6AF99" w14:textId="77777777" w:rsidR="00D21CF7" w:rsidRDefault="00D21CF7" w:rsidP="00054F49">
      <w:pPr>
        <w:spacing w:after="200"/>
        <w:rPr>
          <w:b/>
          <w:bCs/>
        </w:rPr>
      </w:pPr>
    </w:p>
    <w:p w14:paraId="74CB30F0" w14:textId="3F7D651C" w:rsidR="00A71671" w:rsidRDefault="00A71671" w:rsidP="00A71671">
      <w:pPr>
        <w:spacing w:before="120" w:after="40"/>
      </w:pPr>
      <w:r>
        <w:rPr>
          <w:b/>
          <w:sz w:val="19"/>
        </w:rPr>
        <w:t>Supplementary Table S6. Scaled Schoenfeld proportional-hazards test for the primary multivariable model.</w:t>
      </w:r>
    </w:p>
    <w:tbl>
      <w:tblPr>
        <w:tblStyle w:val="TableGrid"/>
        <w:tblW w:w="0" w:type="auto"/>
        <w:tblLayout w:type="fixed"/>
        <w:tblLook w:val="04A0" w:firstRow="1" w:lastRow="0" w:firstColumn="1" w:lastColumn="0" w:noHBand="0" w:noVBand="1"/>
      </w:tblPr>
      <w:tblGrid>
        <w:gridCol w:w="2965"/>
        <w:gridCol w:w="1350"/>
        <w:gridCol w:w="1080"/>
        <w:gridCol w:w="1530"/>
      </w:tblGrid>
      <w:tr w:rsidR="00A71671" w:rsidRPr="000F4E68" w14:paraId="2CC5EE8A" w14:textId="77777777" w:rsidTr="0071439C">
        <w:tc>
          <w:tcPr>
            <w:tcW w:w="2965" w:type="dxa"/>
            <w:shd w:val="clear" w:color="auto" w:fill="D1D1D1" w:themeFill="background2" w:themeFillShade="E6"/>
          </w:tcPr>
          <w:p w14:paraId="32216DAF" w14:textId="77777777" w:rsidR="00A71671" w:rsidRPr="000F4E68" w:rsidRDefault="00A71671" w:rsidP="0071439C">
            <w:pPr>
              <w:rPr>
                <w:rFonts w:ascii="Times New Roman" w:hAnsi="Times New Roman" w:cs="Times New Roman"/>
              </w:rPr>
            </w:pPr>
            <w:r w:rsidRPr="000F4E68">
              <w:rPr>
                <w:rFonts w:ascii="Times New Roman" w:hAnsi="Times New Roman" w:cs="Times New Roman"/>
                <w:b/>
                <w:sz w:val="18"/>
              </w:rPr>
              <w:t>Covariate</w:t>
            </w:r>
          </w:p>
        </w:tc>
        <w:tc>
          <w:tcPr>
            <w:tcW w:w="1350" w:type="dxa"/>
            <w:shd w:val="clear" w:color="auto" w:fill="D1D1D1" w:themeFill="background2" w:themeFillShade="E6"/>
          </w:tcPr>
          <w:p w14:paraId="4779AE36"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b/>
                <w:sz w:val="18"/>
              </w:rPr>
              <w:t>χ²</w:t>
            </w:r>
          </w:p>
        </w:tc>
        <w:tc>
          <w:tcPr>
            <w:tcW w:w="1080" w:type="dxa"/>
            <w:shd w:val="clear" w:color="auto" w:fill="D1D1D1" w:themeFill="background2" w:themeFillShade="E6"/>
          </w:tcPr>
          <w:p w14:paraId="221D2D14" w14:textId="77777777" w:rsidR="00A71671" w:rsidRPr="000F4E68" w:rsidRDefault="00A71671" w:rsidP="0071439C">
            <w:pPr>
              <w:jc w:val="center"/>
              <w:rPr>
                <w:rFonts w:ascii="Times New Roman" w:hAnsi="Times New Roman" w:cs="Times New Roman"/>
              </w:rPr>
            </w:pPr>
            <w:proofErr w:type="spellStart"/>
            <w:r w:rsidRPr="000F4E68">
              <w:rPr>
                <w:rFonts w:ascii="Times New Roman" w:hAnsi="Times New Roman" w:cs="Times New Roman"/>
                <w:b/>
                <w:sz w:val="18"/>
              </w:rPr>
              <w:t>df</w:t>
            </w:r>
            <w:proofErr w:type="spellEnd"/>
          </w:p>
        </w:tc>
        <w:tc>
          <w:tcPr>
            <w:tcW w:w="1530" w:type="dxa"/>
            <w:shd w:val="clear" w:color="auto" w:fill="D1D1D1" w:themeFill="background2" w:themeFillShade="E6"/>
          </w:tcPr>
          <w:p w14:paraId="54571B7A"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b/>
                <w:sz w:val="18"/>
              </w:rPr>
              <w:t>p-value</w:t>
            </w:r>
          </w:p>
        </w:tc>
      </w:tr>
      <w:tr w:rsidR="00A71671" w:rsidRPr="000F4E68" w14:paraId="1A992E3D" w14:textId="77777777" w:rsidTr="0071439C">
        <w:tc>
          <w:tcPr>
            <w:tcW w:w="2965" w:type="dxa"/>
          </w:tcPr>
          <w:p w14:paraId="405CE818"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Distance (per 100 km)</w:t>
            </w:r>
          </w:p>
        </w:tc>
        <w:tc>
          <w:tcPr>
            <w:tcW w:w="1350" w:type="dxa"/>
          </w:tcPr>
          <w:p w14:paraId="4740B0E4"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4.35</w:t>
            </w:r>
          </w:p>
        </w:tc>
        <w:tc>
          <w:tcPr>
            <w:tcW w:w="1080" w:type="dxa"/>
          </w:tcPr>
          <w:p w14:paraId="17CF024F"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w:t>
            </w:r>
          </w:p>
        </w:tc>
        <w:tc>
          <w:tcPr>
            <w:tcW w:w="1530" w:type="dxa"/>
          </w:tcPr>
          <w:p w14:paraId="7B983E41"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0.037</w:t>
            </w:r>
          </w:p>
        </w:tc>
      </w:tr>
      <w:tr w:rsidR="00A71671" w:rsidRPr="000F4E68" w14:paraId="49689806" w14:textId="77777777" w:rsidTr="0071439C">
        <w:tc>
          <w:tcPr>
            <w:tcW w:w="2965" w:type="dxa"/>
          </w:tcPr>
          <w:p w14:paraId="018F9FEC"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Invasion pressure (per SD)</w:t>
            </w:r>
          </w:p>
        </w:tc>
        <w:tc>
          <w:tcPr>
            <w:tcW w:w="1350" w:type="dxa"/>
          </w:tcPr>
          <w:p w14:paraId="7DF6D854"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5.69</w:t>
            </w:r>
          </w:p>
        </w:tc>
        <w:tc>
          <w:tcPr>
            <w:tcW w:w="1080" w:type="dxa"/>
          </w:tcPr>
          <w:p w14:paraId="01D6062E"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w:t>
            </w:r>
          </w:p>
        </w:tc>
        <w:tc>
          <w:tcPr>
            <w:tcW w:w="1530" w:type="dxa"/>
          </w:tcPr>
          <w:p w14:paraId="0AB7D4BA"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0.017</w:t>
            </w:r>
          </w:p>
        </w:tc>
      </w:tr>
      <w:tr w:rsidR="00A71671" w:rsidRPr="000F4E68" w14:paraId="26478E2F" w14:textId="77777777" w:rsidTr="0071439C">
        <w:tc>
          <w:tcPr>
            <w:tcW w:w="2965" w:type="dxa"/>
          </w:tcPr>
          <w:p w14:paraId="4C9CEE58"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Source-region intensity (log cases)</w:t>
            </w:r>
          </w:p>
        </w:tc>
        <w:tc>
          <w:tcPr>
            <w:tcW w:w="1350" w:type="dxa"/>
          </w:tcPr>
          <w:p w14:paraId="3B707E29"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0.07</w:t>
            </w:r>
          </w:p>
        </w:tc>
        <w:tc>
          <w:tcPr>
            <w:tcW w:w="1080" w:type="dxa"/>
          </w:tcPr>
          <w:p w14:paraId="65A4BCB7"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w:t>
            </w:r>
          </w:p>
        </w:tc>
        <w:tc>
          <w:tcPr>
            <w:tcW w:w="1530" w:type="dxa"/>
          </w:tcPr>
          <w:p w14:paraId="7BE89FCE"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0.792</w:t>
            </w:r>
          </w:p>
        </w:tc>
      </w:tr>
      <w:tr w:rsidR="00A71671" w:rsidRPr="000F4E68" w14:paraId="239D0E0F" w14:textId="77777777" w:rsidTr="0071439C">
        <w:tc>
          <w:tcPr>
            <w:tcW w:w="2965" w:type="dxa"/>
          </w:tcPr>
          <w:p w14:paraId="22266D94"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Temperature (per °C)</w:t>
            </w:r>
          </w:p>
        </w:tc>
        <w:tc>
          <w:tcPr>
            <w:tcW w:w="1350" w:type="dxa"/>
          </w:tcPr>
          <w:p w14:paraId="37468BB3"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0.19</w:t>
            </w:r>
          </w:p>
        </w:tc>
        <w:tc>
          <w:tcPr>
            <w:tcW w:w="1080" w:type="dxa"/>
          </w:tcPr>
          <w:p w14:paraId="286A3010"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w:t>
            </w:r>
          </w:p>
        </w:tc>
        <w:tc>
          <w:tcPr>
            <w:tcW w:w="1530" w:type="dxa"/>
          </w:tcPr>
          <w:p w14:paraId="0CC2AE15"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0.667</w:t>
            </w:r>
          </w:p>
        </w:tc>
      </w:tr>
      <w:tr w:rsidR="00A71671" w:rsidRPr="000F4E68" w14:paraId="569D1C4F" w14:textId="77777777" w:rsidTr="0071439C">
        <w:tc>
          <w:tcPr>
            <w:tcW w:w="2965" w:type="dxa"/>
          </w:tcPr>
          <w:p w14:paraId="5B31124A"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Relative humidity (per %)</w:t>
            </w:r>
          </w:p>
        </w:tc>
        <w:tc>
          <w:tcPr>
            <w:tcW w:w="1350" w:type="dxa"/>
          </w:tcPr>
          <w:p w14:paraId="04978D9C"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1.44</w:t>
            </w:r>
          </w:p>
        </w:tc>
        <w:tc>
          <w:tcPr>
            <w:tcW w:w="1080" w:type="dxa"/>
          </w:tcPr>
          <w:p w14:paraId="45203C4A"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w:t>
            </w:r>
          </w:p>
        </w:tc>
        <w:tc>
          <w:tcPr>
            <w:tcW w:w="1530" w:type="dxa"/>
          </w:tcPr>
          <w:p w14:paraId="00B5B994"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0.231</w:t>
            </w:r>
          </w:p>
        </w:tc>
      </w:tr>
      <w:tr w:rsidR="00A71671" w:rsidRPr="000F4E68" w14:paraId="263A45D8" w14:textId="77777777" w:rsidTr="0071439C">
        <w:tc>
          <w:tcPr>
            <w:tcW w:w="2965" w:type="dxa"/>
          </w:tcPr>
          <w:p w14:paraId="6453EFB8"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Precipitation (per SD)</w:t>
            </w:r>
          </w:p>
        </w:tc>
        <w:tc>
          <w:tcPr>
            <w:tcW w:w="1350" w:type="dxa"/>
          </w:tcPr>
          <w:p w14:paraId="0320562A"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6.11</w:t>
            </w:r>
          </w:p>
        </w:tc>
        <w:tc>
          <w:tcPr>
            <w:tcW w:w="1080" w:type="dxa"/>
          </w:tcPr>
          <w:p w14:paraId="0A964774"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1</w:t>
            </w:r>
          </w:p>
        </w:tc>
        <w:tc>
          <w:tcPr>
            <w:tcW w:w="1530" w:type="dxa"/>
          </w:tcPr>
          <w:p w14:paraId="423FD77A"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0.013</w:t>
            </w:r>
          </w:p>
        </w:tc>
      </w:tr>
      <w:tr w:rsidR="00A71671" w:rsidRPr="000F4E68" w14:paraId="03DBE810" w14:textId="77777777" w:rsidTr="0071439C">
        <w:tc>
          <w:tcPr>
            <w:tcW w:w="2965" w:type="dxa"/>
          </w:tcPr>
          <w:p w14:paraId="2496348E" w14:textId="11B769F5" w:rsidR="00A71671" w:rsidRPr="000F4E68" w:rsidRDefault="00482A58" w:rsidP="0071439C">
            <w:pPr>
              <w:rPr>
                <w:rFonts w:ascii="Times New Roman" w:hAnsi="Times New Roman" w:cs="Times New Roman"/>
              </w:rPr>
            </w:pPr>
            <w:r>
              <w:rPr>
                <w:rFonts w:ascii="Times New Roman" w:hAnsi="Times New Roman" w:cs="Times New Roman"/>
                <w:sz w:val="18"/>
              </w:rPr>
              <w:t>Urbanization</w:t>
            </w:r>
          </w:p>
        </w:tc>
        <w:tc>
          <w:tcPr>
            <w:tcW w:w="1350" w:type="dxa"/>
          </w:tcPr>
          <w:p w14:paraId="316AF132"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6.28</w:t>
            </w:r>
          </w:p>
        </w:tc>
        <w:tc>
          <w:tcPr>
            <w:tcW w:w="1080" w:type="dxa"/>
          </w:tcPr>
          <w:p w14:paraId="6EB3DB2F"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2</w:t>
            </w:r>
          </w:p>
        </w:tc>
        <w:tc>
          <w:tcPr>
            <w:tcW w:w="1530" w:type="dxa"/>
          </w:tcPr>
          <w:p w14:paraId="04EC99FB"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0.043</w:t>
            </w:r>
          </w:p>
        </w:tc>
      </w:tr>
      <w:tr w:rsidR="00A71671" w:rsidRPr="000F4E68" w14:paraId="7B3E0B77" w14:textId="77777777" w:rsidTr="0071439C">
        <w:tc>
          <w:tcPr>
            <w:tcW w:w="2965" w:type="dxa"/>
          </w:tcPr>
          <w:p w14:paraId="266251EE" w14:textId="77777777" w:rsidR="00A71671" w:rsidRPr="000F4E68" w:rsidRDefault="00A71671" w:rsidP="0071439C">
            <w:pPr>
              <w:rPr>
                <w:rFonts w:ascii="Times New Roman" w:hAnsi="Times New Roman" w:cs="Times New Roman"/>
              </w:rPr>
            </w:pPr>
            <w:r w:rsidRPr="000F4E68">
              <w:rPr>
                <w:rFonts w:ascii="Times New Roman" w:hAnsi="Times New Roman" w:cs="Times New Roman"/>
                <w:sz w:val="18"/>
              </w:rPr>
              <w:t>GLOBAL</w:t>
            </w:r>
          </w:p>
        </w:tc>
        <w:tc>
          <w:tcPr>
            <w:tcW w:w="1350" w:type="dxa"/>
          </w:tcPr>
          <w:p w14:paraId="24EDE012"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25.77</w:t>
            </w:r>
          </w:p>
        </w:tc>
        <w:tc>
          <w:tcPr>
            <w:tcW w:w="1080" w:type="dxa"/>
          </w:tcPr>
          <w:p w14:paraId="54B9C663"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8</w:t>
            </w:r>
          </w:p>
        </w:tc>
        <w:tc>
          <w:tcPr>
            <w:tcW w:w="1530" w:type="dxa"/>
          </w:tcPr>
          <w:p w14:paraId="75FCB87A" w14:textId="77777777" w:rsidR="00A71671" w:rsidRPr="000F4E68" w:rsidRDefault="00A71671" w:rsidP="0071439C">
            <w:pPr>
              <w:jc w:val="center"/>
              <w:rPr>
                <w:rFonts w:ascii="Times New Roman" w:hAnsi="Times New Roman" w:cs="Times New Roman"/>
              </w:rPr>
            </w:pPr>
            <w:r w:rsidRPr="000F4E68">
              <w:rPr>
                <w:rFonts w:ascii="Times New Roman" w:hAnsi="Times New Roman" w:cs="Times New Roman"/>
                <w:sz w:val="18"/>
              </w:rPr>
              <w:t>0.001</w:t>
            </w:r>
          </w:p>
        </w:tc>
      </w:tr>
    </w:tbl>
    <w:p w14:paraId="32D3720D" w14:textId="77777777" w:rsidR="00A71671" w:rsidRDefault="00A71671" w:rsidP="00054F49">
      <w:pPr>
        <w:spacing w:after="200"/>
        <w:rPr>
          <w:b/>
          <w:bCs/>
        </w:rPr>
      </w:pPr>
    </w:p>
    <w:p w14:paraId="649B889B" w14:textId="41E3588D" w:rsidR="004D75FC" w:rsidRDefault="00000000" w:rsidP="00054F49">
      <w:pPr>
        <w:spacing w:after="200"/>
      </w:pPr>
      <w:r>
        <w:rPr>
          <w:b/>
          <w:bCs/>
        </w:rPr>
        <w:t>Supplementary Table S</w:t>
      </w:r>
      <w:r w:rsidR="00A71671">
        <w:rPr>
          <w:b/>
          <w:bCs/>
        </w:rPr>
        <w:t>7</w:t>
      </w:r>
      <w:r>
        <w:rPr>
          <w:b/>
          <w:bCs/>
        </w:rPr>
        <w:t xml:space="preserve">. </w:t>
      </w:r>
      <w:r>
        <w:t xml:space="preserve">Time-varying coefficient Cox proportional hazards model for spatial diffusion metrics. Each spatial diffusion metric was extended with a logarithmic time-interaction term </w:t>
      </w:r>
      <m:oMath>
        <m:d>
          <m:dPr>
            <m:ctrlPr>
              <w:rPr>
                <w:rFonts w:ascii="Cambria Math" w:hAnsi="Cambria Math"/>
              </w:rPr>
            </m:ctrlPr>
          </m:dPr>
          <m:e>
            <m:r>
              <w:rPr>
                <w:rFonts w:ascii="Cambria Math" w:hAnsi="Cambria Math"/>
              </w:rPr>
              <m:t>covariate×log</m:t>
            </m:r>
            <m:d>
              <m:dPr>
                <m:begChr m:val="["/>
                <m:endChr m:val="]"/>
                <m:ctrlPr>
                  <w:rPr>
                    <w:rFonts w:ascii="Cambria Math" w:hAnsi="Cambria Math"/>
                  </w:rPr>
                </m:ctrlPr>
              </m:dPr>
              <m:e>
                <m:r>
                  <w:rPr>
                    <w:rFonts w:ascii="Cambria Math" w:hAnsi="Cambria Math"/>
                  </w:rPr>
                  <m:t>t+1</m:t>
                </m:r>
              </m:e>
            </m:d>
          </m:e>
        </m:d>
      </m:oMath>
      <w:r>
        <w:t xml:space="preserve"> to allow its association with invasion hazard to evolve smoothly across the study period. The baseline effect represents the estimated hazard ratio at </w:t>
      </w:r>
      <m:oMath>
        <m:r>
          <w:rPr>
            <w:rFonts w:ascii="Cambria Math" w:hAnsi="Cambria Math"/>
          </w:rPr>
          <m:t>t→0</m:t>
        </m:r>
      </m:oMath>
      <w:r>
        <w:t xml:space="preserve"> (start of follow-up); the interaction </w:t>
      </w:r>
      <w:r>
        <w:lastRenderedPageBreak/>
        <w:t xml:space="preserve">term coefficient indicates whether the covariate's effect strengthens (positive) or weakens (negative) as follow-up time increases. </w:t>
      </w:r>
    </w:p>
    <w:tbl>
      <w:tblPr>
        <w:tblStyle w:val="TableGrid"/>
        <w:tblW w:w="0" w:type="auto"/>
        <w:tblLayout w:type="fixed"/>
        <w:tblLook w:val="04A0" w:firstRow="1" w:lastRow="0" w:firstColumn="1" w:lastColumn="0" w:noHBand="0" w:noVBand="1"/>
      </w:tblPr>
      <w:tblGrid>
        <w:gridCol w:w="3595"/>
        <w:gridCol w:w="1890"/>
        <w:gridCol w:w="1530"/>
      </w:tblGrid>
      <w:tr w:rsidR="004D75FC" w:rsidRPr="004D75FC" w14:paraId="4DA039A2" w14:textId="77777777" w:rsidTr="00136105">
        <w:tc>
          <w:tcPr>
            <w:tcW w:w="3595" w:type="dxa"/>
            <w:shd w:val="clear" w:color="auto" w:fill="D1D1D1" w:themeFill="background2" w:themeFillShade="E6"/>
          </w:tcPr>
          <w:p w14:paraId="3DD49446" w14:textId="77777777" w:rsidR="004D75FC" w:rsidRPr="004D75FC" w:rsidRDefault="004D75FC" w:rsidP="00136105">
            <w:pPr>
              <w:rPr>
                <w:rFonts w:ascii="Times New Roman" w:hAnsi="Times New Roman" w:cs="Times New Roman"/>
              </w:rPr>
            </w:pPr>
            <w:r w:rsidRPr="004D75FC">
              <w:rPr>
                <w:rFonts w:ascii="Times New Roman" w:hAnsi="Times New Roman" w:cs="Times New Roman"/>
                <w:b/>
                <w:sz w:val="18"/>
              </w:rPr>
              <w:t>Term</w:t>
            </w:r>
          </w:p>
        </w:tc>
        <w:tc>
          <w:tcPr>
            <w:tcW w:w="1890" w:type="dxa"/>
            <w:shd w:val="clear" w:color="auto" w:fill="D1D1D1" w:themeFill="background2" w:themeFillShade="E6"/>
          </w:tcPr>
          <w:p w14:paraId="1F4925D6" w14:textId="77777777" w:rsidR="004D75FC" w:rsidRPr="004D75FC" w:rsidRDefault="004D75FC" w:rsidP="00136105">
            <w:pPr>
              <w:rPr>
                <w:rFonts w:ascii="Times New Roman" w:hAnsi="Times New Roman" w:cs="Times New Roman"/>
              </w:rPr>
            </w:pPr>
            <w:r w:rsidRPr="004D75FC">
              <w:rPr>
                <w:rFonts w:ascii="Times New Roman" w:hAnsi="Times New Roman" w:cs="Times New Roman"/>
                <w:b/>
                <w:sz w:val="18"/>
              </w:rPr>
              <w:t>HR (95% CI)</w:t>
            </w:r>
          </w:p>
        </w:tc>
        <w:tc>
          <w:tcPr>
            <w:tcW w:w="1530" w:type="dxa"/>
            <w:shd w:val="clear" w:color="auto" w:fill="D1D1D1" w:themeFill="background2" w:themeFillShade="E6"/>
          </w:tcPr>
          <w:p w14:paraId="543D4581" w14:textId="77777777" w:rsidR="004D75FC" w:rsidRPr="004D75FC" w:rsidRDefault="004D75FC" w:rsidP="00136105">
            <w:pPr>
              <w:rPr>
                <w:rFonts w:ascii="Times New Roman" w:hAnsi="Times New Roman" w:cs="Times New Roman"/>
              </w:rPr>
            </w:pPr>
            <w:r w:rsidRPr="004D75FC">
              <w:rPr>
                <w:rFonts w:ascii="Times New Roman" w:hAnsi="Times New Roman" w:cs="Times New Roman"/>
                <w:b/>
                <w:sz w:val="18"/>
              </w:rPr>
              <w:t>p-value</w:t>
            </w:r>
          </w:p>
        </w:tc>
      </w:tr>
      <w:tr w:rsidR="004D75FC" w:rsidRPr="004D75FC" w14:paraId="116597C4" w14:textId="77777777" w:rsidTr="00136105">
        <w:tc>
          <w:tcPr>
            <w:tcW w:w="3595" w:type="dxa"/>
          </w:tcPr>
          <w:p w14:paraId="16CFD88A"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Distance (per 100 km)</w:t>
            </w:r>
          </w:p>
        </w:tc>
        <w:tc>
          <w:tcPr>
            <w:tcW w:w="1890" w:type="dxa"/>
          </w:tcPr>
          <w:p w14:paraId="3EB2F40F"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0.41 (0.27–0.62)</w:t>
            </w:r>
          </w:p>
        </w:tc>
        <w:tc>
          <w:tcPr>
            <w:tcW w:w="1530" w:type="dxa"/>
          </w:tcPr>
          <w:p w14:paraId="7249B9B0"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&lt;0.001</w:t>
            </w:r>
          </w:p>
        </w:tc>
      </w:tr>
      <w:tr w:rsidR="004D75FC" w:rsidRPr="004D75FC" w14:paraId="31C20A82" w14:textId="77777777" w:rsidTr="00136105">
        <w:tc>
          <w:tcPr>
            <w:tcW w:w="3595" w:type="dxa"/>
          </w:tcPr>
          <w:p w14:paraId="017BF33A"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Distance × log(t + 1)</w:t>
            </w:r>
          </w:p>
        </w:tc>
        <w:tc>
          <w:tcPr>
            <w:tcW w:w="1890" w:type="dxa"/>
          </w:tcPr>
          <w:p w14:paraId="0B2EB451"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1.18 (0.98–1.42)</w:t>
            </w:r>
          </w:p>
        </w:tc>
        <w:tc>
          <w:tcPr>
            <w:tcW w:w="1530" w:type="dxa"/>
          </w:tcPr>
          <w:p w14:paraId="19C83C67"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0.080</w:t>
            </w:r>
          </w:p>
        </w:tc>
      </w:tr>
      <w:tr w:rsidR="004D75FC" w:rsidRPr="004D75FC" w14:paraId="186DEE11" w14:textId="77777777" w:rsidTr="00136105">
        <w:tc>
          <w:tcPr>
            <w:tcW w:w="3595" w:type="dxa"/>
          </w:tcPr>
          <w:p w14:paraId="7C19D934"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Invasion pressure (per SD)</w:t>
            </w:r>
          </w:p>
        </w:tc>
        <w:tc>
          <w:tcPr>
            <w:tcW w:w="1890" w:type="dxa"/>
          </w:tcPr>
          <w:p w14:paraId="06AE9C63"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1.88 (1.02–3.43)</w:t>
            </w:r>
          </w:p>
        </w:tc>
        <w:tc>
          <w:tcPr>
            <w:tcW w:w="1530" w:type="dxa"/>
          </w:tcPr>
          <w:p w14:paraId="73B240D4"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0.041</w:t>
            </w:r>
          </w:p>
        </w:tc>
      </w:tr>
      <w:tr w:rsidR="004D75FC" w:rsidRPr="004D75FC" w14:paraId="591C2465" w14:textId="77777777" w:rsidTr="00136105">
        <w:tc>
          <w:tcPr>
            <w:tcW w:w="3595" w:type="dxa"/>
          </w:tcPr>
          <w:p w14:paraId="4C52CEFA"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Invasion pressure × log(t + 1)</w:t>
            </w:r>
          </w:p>
        </w:tc>
        <w:tc>
          <w:tcPr>
            <w:tcW w:w="1890" w:type="dxa"/>
          </w:tcPr>
          <w:p w14:paraId="1FDB2DA1"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0.88 (0.71–1.09)</w:t>
            </w:r>
          </w:p>
        </w:tc>
        <w:tc>
          <w:tcPr>
            <w:tcW w:w="1530" w:type="dxa"/>
          </w:tcPr>
          <w:p w14:paraId="3672470A"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0.231</w:t>
            </w:r>
          </w:p>
        </w:tc>
      </w:tr>
      <w:tr w:rsidR="004D75FC" w:rsidRPr="004D75FC" w14:paraId="4FF9ED1D" w14:textId="77777777" w:rsidTr="00136105">
        <w:tc>
          <w:tcPr>
            <w:tcW w:w="3595" w:type="dxa"/>
          </w:tcPr>
          <w:p w14:paraId="27AD27C3"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Source-region intensity (log cases)</w:t>
            </w:r>
          </w:p>
        </w:tc>
        <w:tc>
          <w:tcPr>
            <w:tcW w:w="1890" w:type="dxa"/>
          </w:tcPr>
          <w:p w14:paraId="38DB1AFD"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1.36 (1.16–1.59)</w:t>
            </w:r>
          </w:p>
        </w:tc>
        <w:tc>
          <w:tcPr>
            <w:tcW w:w="1530" w:type="dxa"/>
          </w:tcPr>
          <w:p w14:paraId="48A729C3"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&lt;0.001</w:t>
            </w:r>
          </w:p>
        </w:tc>
      </w:tr>
      <w:tr w:rsidR="004D75FC" w:rsidRPr="004D75FC" w14:paraId="7437E6B9" w14:textId="77777777" w:rsidTr="00136105">
        <w:tc>
          <w:tcPr>
            <w:tcW w:w="3595" w:type="dxa"/>
          </w:tcPr>
          <w:p w14:paraId="420A521E"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Temperature (per °C)</w:t>
            </w:r>
          </w:p>
        </w:tc>
        <w:tc>
          <w:tcPr>
            <w:tcW w:w="1890" w:type="dxa"/>
          </w:tcPr>
          <w:p w14:paraId="20FD27E9"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1.27 (1.20–1.33)</w:t>
            </w:r>
          </w:p>
        </w:tc>
        <w:tc>
          <w:tcPr>
            <w:tcW w:w="1530" w:type="dxa"/>
          </w:tcPr>
          <w:p w14:paraId="2AF0D569"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&lt;0.001</w:t>
            </w:r>
          </w:p>
        </w:tc>
      </w:tr>
      <w:tr w:rsidR="004D75FC" w:rsidRPr="004D75FC" w14:paraId="53D43140" w14:textId="77777777" w:rsidTr="00136105">
        <w:tc>
          <w:tcPr>
            <w:tcW w:w="3595" w:type="dxa"/>
          </w:tcPr>
          <w:p w14:paraId="1F9B2F49"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Relative humidity (per %)</w:t>
            </w:r>
          </w:p>
        </w:tc>
        <w:tc>
          <w:tcPr>
            <w:tcW w:w="1890" w:type="dxa"/>
          </w:tcPr>
          <w:p w14:paraId="1F71C289"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0.97 (0.94–1.00)</w:t>
            </w:r>
          </w:p>
        </w:tc>
        <w:tc>
          <w:tcPr>
            <w:tcW w:w="1530" w:type="dxa"/>
          </w:tcPr>
          <w:p w14:paraId="6A40D264"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0.034</w:t>
            </w:r>
          </w:p>
        </w:tc>
      </w:tr>
      <w:tr w:rsidR="004D75FC" w:rsidRPr="004D75FC" w14:paraId="7393AEEE" w14:textId="77777777" w:rsidTr="00136105">
        <w:tc>
          <w:tcPr>
            <w:tcW w:w="3595" w:type="dxa"/>
          </w:tcPr>
          <w:p w14:paraId="0E7245CF"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Precipitation (per SD)</w:t>
            </w:r>
          </w:p>
        </w:tc>
        <w:tc>
          <w:tcPr>
            <w:tcW w:w="1890" w:type="dxa"/>
          </w:tcPr>
          <w:p w14:paraId="50ECDCB5"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1.00 (0.87–1.15)</w:t>
            </w:r>
          </w:p>
        </w:tc>
        <w:tc>
          <w:tcPr>
            <w:tcW w:w="1530" w:type="dxa"/>
          </w:tcPr>
          <w:p w14:paraId="29DBE2AC"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0.991</w:t>
            </w:r>
          </w:p>
        </w:tc>
      </w:tr>
      <w:tr w:rsidR="004D75FC" w:rsidRPr="004D75FC" w14:paraId="3846F15F" w14:textId="77777777" w:rsidTr="00136105">
        <w:tc>
          <w:tcPr>
            <w:tcW w:w="3595" w:type="dxa"/>
          </w:tcPr>
          <w:p w14:paraId="03AAE77C" w14:textId="791341D6" w:rsidR="004D75FC" w:rsidRPr="004D75FC" w:rsidRDefault="00482A58" w:rsidP="00136105">
            <w:pPr>
              <w:rPr>
                <w:rFonts w:ascii="Times New Roman" w:hAnsi="Times New Roman" w:cs="Times New Roman"/>
              </w:rPr>
            </w:pPr>
            <w:r>
              <w:rPr>
                <w:rFonts w:ascii="Times New Roman" w:hAnsi="Times New Roman" w:cs="Times New Roman"/>
                <w:sz w:val="18"/>
              </w:rPr>
              <w:t>Urbanization</w:t>
            </w:r>
            <w:r w:rsidR="004D75FC" w:rsidRPr="004D75FC">
              <w:rPr>
                <w:rFonts w:ascii="Times New Roman" w:hAnsi="Times New Roman" w:cs="Times New Roman"/>
                <w:sz w:val="18"/>
              </w:rPr>
              <w:t>: intermediate (vs urban)</w:t>
            </w:r>
          </w:p>
        </w:tc>
        <w:tc>
          <w:tcPr>
            <w:tcW w:w="1890" w:type="dxa"/>
          </w:tcPr>
          <w:p w14:paraId="4E7F3FA9"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0.89 (0.65–1.22)</w:t>
            </w:r>
          </w:p>
        </w:tc>
        <w:tc>
          <w:tcPr>
            <w:tcW w:w="1530" w:type="dxa"/>
          </w:tcPr>
          <w:p w14:paraId="02BA1868"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0.481</w:t>
            </w:r>
          </w:p>
        </w:tc>
      </w:tr>
      <w:tr w:rsidR="004D75FC" w:rsidRPr="004D75FC" w14:paraId="5E4C85C9" w14:textId="77777777" w:rsidTr="00136105">
        <w:tc>
          <w:tcPr>
            <w:tcW w:w="3595" w:type="dxa"/>
          </w:tcPr>
          <w:p w14:paraId="14A6AE12" w14:textId="714E0A5D" w:rsidR="004D75FC" w:rsidRPr="004D75FC" w:rsidRDefault="00482A58" w:rsidP="00136105">
            <w:pPr>
              <w:rPr>
                <w:rFonts w:ascii="Times New Roman" w:hAnsi="Times New Roman" w:cs="Times New Roman"/>
              </w:rPr>
            </w:pPr>
            <w:r>
              <w:rPr>
                <w:rFonts w:ascii="Times New Roman" w:hAnsi="Times New Roman" w:cs="Times New Roman"/>
                <w:sz w:val="18"/>
              </w:rPr>
              <w:t>Urbanization</w:t>
            </w:r>
            <w:r w:rsidR="004D75FC" w:rsidRPr="004D75FC">
              <w:rPr>
                <w:rFonts w:ascii="Times New Roman" w:hAnsi="Times New Roman" w:cs="Times New Roman"/>
                <w:sz w:val="18"/>
              </w:rPr>
              <w:t>: rural (vs urban)</w:t>
            </w:r>
          </w:p>
        </w:tc>
        <w:tc>
          <w:tcPr>
            <w:tcW w:w="1890" w:type="dxa"/>
          </w:tcPr>
          <w:p w14:paraId="5970A9E0"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0.84 (0.60–1.18)</w:t>
            </w:r>
          </w:p>
        </w:tc>
        <w:tc>
          <w:tcPr>
            <w:tcW w:w="1530" w:type="dxa"/>
          </w:tcPr>
          <w:p w14:paraId="5231DF33" w14:textId="77777777" w:rsidR="004D75FC" w:rsidRPr="004D75FC" w:rsidRDefault="004D75FC" w:rsidP="00136105">
            <w:pPr>
              <w:rPr>
                <w:rFonts w:ascii="Times New Roman" w:hAnsi="Times New Roman" w:cs="Times New Roman"/>
              </w:rPr>
            </w:pPr>
            <w:r w:rsidRPr="004D75FC">
              <w:rPr>
                <w:rFonts w:ascii="Times New Roman" w:hAnsi="Times New Roman" w:cs="Times New Roman"/>
                <w:sz w:val="18"/>
              </w:rPr>
              <w:t>0.322</w:t>
            </w:r>
          </w:p>
        </w:tc>
      </w:tr>
    </w:tbl>
    <w:p w14:paraId="0191E269" w14:textId="56516748" w:rsidR="005A0DF3" w:rsidRDefault="004D75FC" w:rsidP="004D75FC">
      <w:r>
        <w:rPr>
          <w:i/>
          <w:color w:val="595959"/>
          <w:sz w:val="17"/>
        </w:rPr>
        <w:t>Study-entry (t = 0) hazard ratios; concordance = 0.878. A significant time interaction indicates a hazard ratio that changes over follow-up.</w:t>
      </w:r>
      <w:r w:rsidR="00054F49" w:rsidRPr="00054F49">
        <w:rPr>
          <w:b/>
          <w:sz w:val="19"/>
        </w:rPr>
        <w:t xml:space="preserve"> </w:t>
      </w:r>
    </w:p>
    <w:p w14:paraId="4E686C70" w14:textId="77777777" w:rsidR="00D21CF7" w:rsidRDefault="00D21CF7" w:rsidP="003B0814">
      <w:pPr>
        <w:spacing w:after="200"/>
        <w:rPr>
          <w:b/>
          <w:bCs/>
        </w:rPr>
      </w:pPr>
    </w:p>
    <w:p w14:paraId="5FC92024" w14:textId="3F43A5EA" w:rsidR="00786DD2" w:rsidRDefault="00000000" w:rsidP="003B0814">
      <w:pPr>
        <w:spacing w:after="200"/>
      </w:pPr>
      <w:r>
        <w:rPr>
          <w:b/>
          <w:bCs/>
        </w:rPr>
        <w:t>Supplementary Table S</w:t>
      </w:r>
      <w:r w:rsidR="00A71671">
        <w:rPr>
          <w:b/>
          <w:bCs/>
        </w:rPr>
        <w:t>8</w:t>
      </w:r>
      <w:r>
        <w:rPr>
          <w:b/>
          <w:bCs/>
        </w:rPr>
        <w:t xml:space="preserve">. </w:t>
      </w:r>
      <w:r>
        <w:t xml:space="preserve">Comparison of proportional hazards diagnostics and model fit across primary and alternative case-weighted invasion pressure kernel specifications. Two alternative kernel formulations weighted source-region contributions by local transmission intensity (log[cases + 1] and √cases in the preceding year) and were compared against the primary unweighted kernel. A critical control analysis confirmed that adding source-region case intensity as a plain additive covariate alongside the unweighted kernel </w:t>
      </w:r>
      <w:r w:rsidR="00A71671">
        <w:t>did not resolve the violation (the primary model already includes this covariate; unweighted row)</w:t>
      </w:r>
      <w:r>
        <w:t>, indicating that the improvement is specific to integrating case-weighting into the kernel's distance-aggregation structure rather than simply having case-intensity information present in the model. ΔAIC calculated relative to the primary unweighted kernel</w:t>
      </w:r>
      <w:r w:rsidR="004F59CD">
        <w:t xml:space="preserve"> (AIC = 3099.7)</w:t>
      </w:r>
      <w:r>
        <w:t>.</w:t>
      </w:r>
    </w:p>
    <w:tbl>
      <w:tblPr>
        <w:tblStyle w:val="TableGrid"/>
        <w:tblW w:w="9265" w:type="dxa"/>
        <w:tblLayout w:type="fixed"/>
        <w:tblLook w:val="04A0" w:firstRow="1" w:lastRow="0" w:firstColumn="1" w:lastColumn="0" w:noHBand="0" w:noVBand="1"/>
      </w:tblPr>
      <w:tblGrid>
        <w:gridCol w:w="1615"/>
        <w:gridCol w:w="900"/>
        <w:gridCol w:w="900"/>
        <w:gridCol w:w="1260"/>
        <w:gridCol w:w="1260"/>
        <w:gridCol w:w="810"/>
        <w:gridCol w:w="720"/>
        <w:gridCol w:w="900"/>
        <w:gridCol w:w="900"/>
      </w:tblGrid>
      <w:tr w:rsidR="00786DD2" w:rsidRPr="00611EED" w14:paraId="60CB29EC" w14:textId="77777777" w:rsidTr="004D2CB5">
        <w:tc>
          <w:tcPr>
            <w:tcW w:w="1615" w:type="dxa"/>
            <w:shd w:val="clear" w:color="auto" w:fill="D1D1D1" w:themeFill="background2" w:themeFillShade="E6"/>
          </w:tcPr>
          <w:p w14:paraId="41E2FF23"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Kernel</w:t>
            </w:r>
          </w:p>
        </w:tc>
        <w:tc>
          <w:tcPr>
            <w:tcW w:w="900" w:type="dxa"/>
            <w:shd w:val="clear" w:color="auto" w:fill="D1D1D1" w:themeFill="background2" w:themeFillShade="E6"/>
          </w:tcPr>
          <w:p w14:paraId="3C62B76F" w14:textId="267244C2"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 xml:space="preserve">Distance </w:t>
            </w:r>
          </w:p>
        </w:tc>
        <w:tc>
          <w:tcPr>
            <w:tcW w:w="900" w:type="dxa"/>
            <w:shd w:val="clear" w:color="auto" w:fill="D1D1D1" w:themeFill="background2" w:themeFillShade="E6"/>
          </w:tcPr>
          <w:p w14:paraId="3223EF5F" w14:textId="194C7D5E"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 xml:space="preserve">Pressure </w:t>
            </w:r>
          </w:p>
        </w:tc>
        <w:tc>
          <w:tcPr>
            <w:tcW w:w="1260" w:type="dxa"/>
            <w:shd w:val="clear" w:color="auto" w:fill="D1D1D1" w:themeFill="background2" w:themeFillShade="E6"/>
          </w:tcPr>
          <w:p w14:paraId="27A2E562" w14:textId="245984E8"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 xml:space="preserve">Precipitation </w:t>
            </w:r>
          </w:p>
        </w:tc>
        <w:tc>
          <w:tcPr>
            <w:tcW w:w="1260" w:type="dxa"/>
            <w:shd w:val="clear" w:color="auto" w:fill="D1D1D1" w:themeFill="background2" w:themeFillShade="E6"/>
          </w:tcPr>
          <w:p w14:paraId="2F469A39" w14:textId="7DB5600D" w:rsidR="00786DD2" w:rsidRPr="00611EED" w:rsidRDefault="00482A58" w:rsidP="0071439C">
            <w:pPr>
              <w:rPr>
                <w:rFonts w:ascii="Times New Roman" w:hAnsi="Times New Roman" w:cs="Times New Roman"/>
                <w:sz w:val="18"/>
                <w:szCs w:val="18"/>
              </w:rPr>
            </w:pPr>
            <w:r>
              <w:rPr>
                <w:rFonts w:ascii="Times New Roman" w:hAnsi="Times New Roman" w:cs="Times New Roman"/>
                <w:b/>
                <w:sz w:val="18"/>
                <w:szCs w:val="18"/>
              </w:rPr>
              <w:t>Urbanization</w:t>
            </w:r>
            <w:r w:rsidR="00786DD2" w:rsidRPr="00611EED">
              <w:rPr>
                <w:rFonts w:ascii="Times New Roman" w:hAnsi="Times New Roman" w:cs="Times New Roman"/>
                <w:b/>
                <w:sz w:val="18"/>
                <w:szCs w:val="18"/>
              </w:rPr>
              <w:t xml:space="preserve"> </w:t>
            </w:r>
          </w:p>
        </w:tc>
        <w:tc>
          <w:tcPr>
            <w:tcW w:w="810" w:type="dxa"/>
            <w:shd w:val="clear" w:color="auto" w:fill="D1D1D1" w:themeFill="background2" w:themeFillShade="E6"/>
          </w:tcPr>
          <w:p w14:paraId="42974A55" w14:textId="78CE8609"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 xml:space="preserve">Global </w:t>
            </w:r>
          </w:p>
        </w:tc>
        <w:tc>
          <w:tcPr>
            <w:tcW w:w="720" w:type="dxa"/>
            <w:shd w:val="clear" w:color="auto" w:fill="D1D1D1" w:themeFill="background2" w:themeFillShade="E6"/>
          </w:tcPr>
          <w:p w14:paraId="410B7F9D"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AIC</w:t>
            </w:r>
          </w:p>
        </w:tc>
        <w:tc>
          <w:tcPr>
            <w:tcW w:w="900" w:type="dxa"/>
            <w:shd w:val="clear" w:color="auto" w:fill="D1D1D1" w:themeFill="background2" w:themeFillShade="E6"/>
          </w:tcPr>
          <w:p w14:paraId="712B709D"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C-index</w:t>
            </w:r>
          </w:p>
        </w:tc>
        <w:tc>
          <w:tcPr>
            <w:tcW w:w="900" w:type="dxa"/>
            <w:shd w:val="clear" w:color="auto" w:fill="D1D1D1" w:themeFill="background2" w:themeFillShade="E6"/>
          </w:tcPr>
          <w:p w14:paraId="2A8C3B49"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b/>
                <w:sz w:val="18"/>
                <w:szCs w:val="18"/>
              </w:rPr>
              <w:t>Pressure HR</w:t>
            </w:r>
          </w:p>
        </w:tc>
      </w:tr>
      <w:tr w:rsidR="00384C4B" w:rsidRPr="00611EED" w14:paraId="1A8940DC" w14:textId="77777777" w:rsidTr="004D2CB5">
        <w:tc>
          <w:tcPr>
            <w:tcW w:w="1615" w:type="dxa"/>
            <w:shd w:val="clear" w:color="auto" w:fill="D1D1D1" w:themeFill="background2" w:themeFillShade="E6"/>
          </w:tcPr>
          <w:p w14:paraId="07A9F17B" w14:textId="77777777" w:rsidR="00384C4B" w:rsidRPr="00611EED" w:rsidRDefault="00384C4B" w:rsidP="0071439C">
            <w:pPr>
              <w:rPr>
                <w:b/>
                <w:sz w:val="18"/>
                <w:szCs w:val="18"/>
              </w:rPr>
            </w:pPr>
          </w:p>
        </w:tc>
        <w:tc>
          <w:tcPr>
            <w:tcW w:w="5130" w:type="dxa"/>
            <w:gridSpan w:val="5"/>
            <w:shd w:val="clear" w:color="auto" w:fill="D1D1D1" w:themeFill="background2" w:themeFillShade="E6"/>
          </w:tcPr>
          <w:p w14:paraId="0709895F" w14:textId="1EAF53DE" w:rsidR="00384C4B" w:rsidRPr="00384C4B" w:rsidRDefault="00384C4B" w:rsidP="00384C4B">
            <w:pPr>
              <w:jc w:val="center"/>
              <w:rPr>
                <w:rFonts w:ascii="Times New Roman" w:hAnsi="Times New Roman" w:cs="Times New Roman"/>
                <w:bCs/>
                <w:sz w:val="18"/>
                <w:szCs w:val="18"/>
              </w:rPr>
            </w:pPr>
            <w:r w:rsidRPr="00384C4B">
              <w:rPr>
                <w:rFonts w:ascii="Times New Roman" w:hAnsi="Times New Roman" w:cs="Times New Roman"/>
                <w:bCs/>
                <w:sz w:val="18"/>
                <w:szCs w:val="18"/>
              </w:rPr>
              <w:t>p-value</w:t>
            </w:r>
          </w:p>
        </w:tc>
        <w:tc>
          <w:tcPr>
            <w:tcW w:w="720" w:type="dxa"/>
            <w:shd w:val="clear" w:color="auto" w:fill="D1D1D1" w:themeFill="background2" w:themeFillShade="E6"/>
          </w:tcPr>
          <w:p w14:paraId="13E7C852" w14:textId="77777777" w:rsidR="00384C4B" w:rsidRPr="00611EED" w:rsidRDefault="00384C4B" w:rsidP="0071439C">
            <w:pPr>
              <w:rPr>
                <w:b/>
                <w:sz w:val="18"/>
                <w:szCs w:val="18"/>
              </w:rPr>
            </w:pPr>
          </w:p>
        </w:tc>
        <w:tc>
          <w:tcPr>
            <w:tcW w:w="900" w:type="dxa"/>
            <w:shd w:val="clear" w:color="auto" w:fill="D1D1D1" w:themeFill="background2" w:themeFillShade="E6"/>
          </w:tcPr>
          <w:p w14:paraId="3DFCBE37" w14:textId="77777777" w:rsidR="00384C4B" w:rsidRPr="00611EED" w:rsidRDefault="00384C4B" w:rsidP="0071439C">
            <w:pPr>
              <w:rPr>
                <w:b/>
                <w:sz w:val="18"/>
                <w:szCs w:val="18"/>
              </w:rPr>
            </w:pPr>
          </w:p>
        </w:tc>
        <w:tc>
          <w:tcPr>
            <w:tcW w:w="900" w:type="dxa"/>
            <w:shd w:val="clear" w:color="auto" w:fill="D1D1D1" w:themeFill="background2" w:themeFillShade="E6"/>
          </w:tcPr>
          <w:p w14:paraId="241A2850" w14:textId="77777777" w:rsidR="00384C4B" w:rsidRPr="00611EED" w:rsidRDefault="00384C4B" w:rsidP="0071439C">
            <w:pPr>
              <w:rPr>
                <w:b/>
                <w:sz w:val="18"/>
                <w:szCs w:val="18"/>
              </w:rPr>
            </w:pPr>
          </w:p>
        </w:tc>
      </w:tr>
      <w:tr w:rsidR="00786DD2" w:rsidRPr="00611EED" w14:paraId="09CE333C" w14:textId="77777777" w:rsidTr="004D2CB5">
        <w:tc>
          <w:tcPr>
            <w:tcW w:w="1615" w:type="dxa"/>
          </w:tcPr>
          <w:p w14:paraId="6D142ABB"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Unweighted (primary)</w:t>
            </w:r>
          </w:p>
        </w:tc>
        <w:tc>
          <w:tcPr>
            <w:tcW w:w="900" w:type="dxa"/>
          </w:tcPr>
          <w:p w14:paraId="39B84CA2"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0.037</w:t>
            </w:r>
          </w:p>
        </w:tc>
        <w:tc>
          <w:tcPr>
            <w:tcW w:w="900" w:type="dxa"/>
          </w:tcPr>
          <w:p w14:paraId="6E60B0B3"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0.017</w:t>
            </w:r>
          </w:p>
        </w:tc>
        <w:tc>
          <w:tcPr>
            <w:tcW w:w="1260" w:type="dxa"/>
          </w:tcPr>
          <w:p w14:paraId="0E67B8AB"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0.013</w:t>
            </w:r>
          </w:p>
        </w:tc>
        <w:tc>
          <w:tcPr>
            <w:tcW w:w="1260" w:type="dxa"/>
          </w:tcPr>
          <w:p w14:paraId="3C243257"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0.043</w:t>
            </w:r>
          </w:p>
        </w:tc>
        <w:tc>
          <w:tcPr>
            <w:tcW w:w="810" w:type="dxa"/>
          </w:tcPr>
          <w:p w14:paraId="53AC129D"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0.001</w:t>
            </w:r>
          </w:p>
        </w:tc>
        <w:tc>
          <w:tcPr>
            <w:tcW w:w="720" w:type="dxa"/>
          </w:tcPr>
          <w:p w14:paraId="0B52F72A"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3099.7</w:t>
            </w:r>
          </w:p>
        </w:tc>
        <w:tc>
          <w:tcPr>
            <w:tcW w:w="900" w:type="dxa"/>
          </w:tcPr>
          <w:p w14:paraId="08E0CFD7"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0.875</w:t>
            </w:r>
          </w:p>
        </w:tc>
        <w:tc>
          <w:tcPr>
            <w:tcW w:w="900" w:type="dxa"/>
          </w:tcPr>
          <w:p w14:paraId="33922CD2"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1.26</w:t>
            </w:r>
          </w:p>
        </w:tc>
      </w:tr>
      <w:tr w:rsidR="00786DD2" w:rsidRPr="00611EED" w14:paraId="3800D82B" w14:textId="77777777" w:rsidTr="004D2CB5">
        <w:tc>
          <w:tcPr>
            <w:tcW w:w="1615" w:type="dxa"/>
          </w:tcPr>
          <w:p w14:paraId="46902817"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Log(cases + 1)-weighted</w:t>
            </w:r>
          </w:p>
        </w:tc>
        <w:tc>
          <w:tcPr>
            <w:tcW w:w="900" w:type="dxa"/>
          </w:tcPr>
          <w:p w14:paraId="235EC30A"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0.509</w:t>
            </w:r>
          </w:p>
        </w:tc>
        <w:tc>
          <w:tcPr>
            <w:tcW w:w="900" w:type="dxa"/>
          </w:tcPr>
          <w:p w14:paraId="056D1175"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0.159</w:t>
            </w:r>
          </w:p>
        </w:tc>
        <w:tc>
          <w:tcPr>
            <w:tcW w:w="1260" w:type="dxa"/>
          </w:tcPr>
          <w:p w14:paraId="4443592B"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0.013</w:t>
            </w:r>
          </w:p>
        </w:tc>
        <w:tc>
          <w:tcPr>
            <w:tcW w:w="1260" w:type="dxa"/>
          </w:tcPr>
          <w:p w14:paraId="66C0B224"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0.161</w:t>
            </w:r>
          </w:p>
        </w:tc>
        <w:tc>
          <w:tcPr>
            <w:tcW w:w="810" w:type="dxa"/>
          </w:tcPr>
          <w:p w14:paraId="097F0206"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0.013</w:t>
            </w:r>
          </w:p>
        </w:tc>
        <w:tc>
          <w:tcPr>
            <w:tcW w:w="720" w:type="dxa"/>
          </w:tcPr>
          <w:p w14:paraId="687D45B7"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3121.0</w:t>
            </w:r>
          </w:p>
        </w:tc>
        <w:tc>
          <w:tcPr>
            <w:tcW w:w="900" w:type="dxa"/>
          </w:tcPr>
          <w:p w14:paraId="28E87DC2"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0.873</w:t>
            </w:r>
          </w:p>
        </w:tc>
        <w:tc>
          <w:tcPr>
            <w:tcW w:w="900" w:type="dxa"/>
          </w:tcPr>
          <w:p w14:paraId="7A2D541D" w14:textId="77777777" w:rsidR="00786DD2" w:rsidRPr="00611EED" w:rsidRDefault="00786DD2" w:rsidP="0071439C">
            <w:pPr>
              <w:rPr>
                <w:rFonts w:ascii="Times New Roman" w:hAnsi="Times New Roman" w:cs="Times New Roman"/>
                <w:sz w:val="18"/>
                <w:szCs w:val="18"/>
              </w:rPr>
            </w:pPr>
            <w:r w:rsidRPr="00611EED">
              <w:rPr>
                <w:rFonts w:ascii="Times New Roman" w:hAnsi="Times New Roman" w:cs="Times New Roman"/>
                <w:sz w:val="18"/>
                <w:szCs w:val="18"/>
              </w:rPr>
              <w:t>1.11</w:t>
            </w:r>
          </w:p>
        </w:tc>
      </w:tr>
      <w:tr w:rsidR="00786DD2" w:rsidRPr="00AF0439" w14:paraId="7A8105FA" w14:textId="77777777" w:rsidTr="004D2CB5">
        <w:tc>
          <w:tcPr>
            <w:tcW w:w="1615" w:type="dxa"/>
          </w:tcPr>
          <w:p w14:paraId="1371B839"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√cases-weighted</w:t>
            </w:r>
          </w:p>
        </w:tc>
        <w:tc>
          <w:tcPr>
            <w:tcW w:w="900" w:type="dxa"/>
          </w:tcPr>
          <w:p w14:paraId="0CB52AF1"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0.591</w:t>
            </w:r>
          </w:p>
        </w:tc>
        <w:tc>
          <w:tcPr>
            <w:tcW w:w="900" w:type="dxa"/>
          </w:tcPr>
          <w:p w14:paraId="1D3D16ED"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0.365</w:t>
            </w:r>
          </w:p>
        </w:tc>
        <w:tc>
          <w:tcPr>
            <w:tcW w:w="1260" w:type="dxa"/>
          </w:tcPr>
          <w:p w14:paraId="4BA53E7D"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0.017</w:t>
            </w:r>
          </w:p>
        </w:tc>
        <w:tc>
          <w:tcPr>
            <w:tcW w:w="1260" w:type="dxa"/>
          </w:tcPr>
          <w:p w14:paraId="1D5B2AB0"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0.152</w:t>
            </w:r>
          </w:p>
        </w:tc>
        <w:tc>
          <w:tcPr>
            <w:tcW w:w="810" w:type="dxa"/>
          </w:tcPr>
          <w:p w14:paraId="4D815D48"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0.023</w:t>
            </w:r>
          </w:p>
        </w:tc>
        <w:tc>
          <w:tcPr>
            <w:tcW w:w="720" w:type="dxa"/>
          </w:tcPr>
          <w:p w14:paraId="76E46799"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3123.8</w:t>
            </w:r>
          </w:p>
        </w:tc>
        <w:tc>
          <w:tcPr>
            <w:tcW w:w="900" w:type="dxa"/>
          </w:tcPr>
          <w:p w14:paraId="33674D9F"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0.873</w:t>
            </w:r>
          </w:p>
        </w:tc>
        <w:tc>
          <w:tcPr>
            <w:tcW w:w="900" w:type="dxa"/>
          </w:tcPr>
          <w:p w14:paraId="1D199BF7" w14:textId="77777777" w:rsidR="00786DD2" w:rsidRPr="00AF0439" w:rsidRDefault="00786DD2" w:rsidP="0071439C">
            <w:pPr>
              <w:rPr>
                <w:rFonts w:ascii="Times New Roman" w:hAnsi="Times New Roman" w:cs="Times New Roman"/>
                <w:sz w:val="18"/>
                <w:szCs w:val="18"/>
              </w:rPr>
            </w:pPr>
            <w:r w:rsidRPr="00AF0439">
              <w:rPr>
                <w:rFonts w:ascii="Times New Roman" w:hAnsi="Times New Roman" w:cs="Times New Roman"/>
                <w:sz w:val="18"/>
                <w:szCs w:val="18"/>
              </w:rPr>
              <w:t>1.09</w:t>
            </w:r>
          </w:p>
        </w:tc>
      </w:tr>
    </w:tbl>
    <w:p w14:paraId="2EE5F7B7" w14:textId="16E537EA" w:rsidR="00502264" w:rsidRDefault="003B0814" w:rsidP="003B0814">
      <w:r w:rsidRPr="00AF0439">
        <w:rPr>
          <w:i/>
          <w:color w:val="595959"/>
          <w:sz w:val="17"/>
        </w:rPr>
        <w:t xml:space="preserve">Proportional-hazards properties and model fit of case-weighted invasion-pressure kernels. </w:t>
      </w:r>
      <w:r w:rsidR="00786DD2">
        <w:rPr>
          <w:i/>
          <w:color w:val="595959"/>
          <w:sz w:val="17"/>
        </w:rPr>
        <w:t>ΔAIC relative to the unweighted primary model: 21.3 (log-weighted) and 24.1 (√cases-weighted).</w:t>
      </w:r>
    </w:p>
    <w:p w14:paraId="1BD57F76" w14:textId="77777777" w:rsidR="00D4743B" w:rsidRDefault="00D4743B" w:rsidP="000F4E68">
      <w:pPr>
        <w:spacing w:before="120" w:after="40"/>
        <w:rPr>
          <w:b/>
          <w:bCs/>
        </w:rPr>
      </w:pPr>
    </w:p>
    <w:p w14:paraId="1BE92DFC" w14:textId="43FC36AE" w:rsidR="003D4231" w:rsidRPr="003D4231" w:rsidRDefault="003D4231" w:rsidP="003D4231">
      <w:pPr>
        <w:spacing w:before="120" w:after="40"/>
        <w:rPr>
          <w:b/>
          <w:sz w:val="19"/>
        </w:rPr>
      </w:pPr>
      <w:r>
        <w:rPr>
          <w:b/>
          <w:sz w:val="19"/>
        </w:rPr>
        <w:t>Supplementary Table S</w:t>
      </w:r>
      <w:r w:rsidR="00D4743B">
        <w:rPr>
          <w:b/>
          <w:sz w:val="19"/>
        </w:rPr>
        <w:t>9</w:t>
      </w:r>
      <w:r>
        <w:rPr>
          <w:b/>
          <w:sz w:val="19"/>
        </w:rPr>
        <w:t>. Multivariable model with baseline hazard stratified by invasion phase.</w:t>
      </w:r>
    </w:p>
    <w:tbl>
      <w:tblPr>
        <w:tblStyle w:val="TableGrid"/>
        <w:tblW w:w="0" w:type="auto"/>
        <w:tblLayout w:type="fixed"/>
        <w:tblLook w:val="04A0" w:firstRow="1" w:lastRow="0" w:firstColumn="1" w:lastColumn="0" w:noHBand="0" w:noVBand="1"/>
      </w:tblPr>
      <w:tblGrid>
        <w:gridCol w:w="3415"/>
        <w:gridCol w:w="1980"/>
        <w:gridCol w:w="1530"/>
      </w:tblGrid>
      <w:tr w:rsidR="003D4231" w:rsidRPr="00611EED" w14:paraId="6B7D83D3" w14:textId="77777777" w:rsidTr="0071439C">
        <w:tc>
          <w:tcPr>
            <w:tcW w:w="3415" w:type="dxa"/>
            <w:shd w:val="clear" w:color="auto" w:fill="D1D1D1" w:themeFill="background2" w:themeFillShade="E6"/>
          </w:tcPr>
          <w:p w14:paraId="5B95D305" w14:textId="77777777" w:rsidR="003D4231" w:rsidRPr="00611EED" w:rsidRDefault="003D4231" w:rsidP="0071439C">
            <w:pPr>
              <w:rPr>
                <w:rFonts w:ascii="Times New Roman" w:hAnsi="Times New Roman" w:cs="Times New Roman"/>
              </w:rPr>
            </w:pPr>
            <w:r w:rsidRPr="00611EED">
              <w:rPr>
                <w:rFonts w:ascii="Times New Roman" w:hAnsi="Times New Roman" w:cs="Times New Roman"/>
                <w:b/>
                <w:sz w:val="18"/>
              </w:rPr>
              <w:t>Term</w:t>
            </w:r>
          </w:p>
        </w:tc>
        <w:tc>
          <w:tcPr>
            <w:tcW w:w="1980" w:type="dxa"/>
            <w:shd w:val="clear" w:color="auto" w:fill="D1D1D1" w:themeFill="background2" w:themeFillShade="E6"/>
          </w:tcPr>
          <w:p w14:paraId="1DCD42AE"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b/>
                <w:sz w:val="18"/>
              </w:rPr>
              <w:t>HR (95% CI)</w:t>
            </w:r>
          </w:p>
        </w:tc>
        <w:tc>
          <w:tcPr>
            <w:tcW w:w="1530" w:type="dxa"/>
            <w:shd w:val="clear" w:color="auto" w:fill="D1D1D1" w:themeFill="background2" w:themeFillShade="E6"/>
          </w:tcPr>
          <w:p w14:paraId="6683DB36"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b/>
                <w:sz w:val="18"/>
              </w:rPr>
              <w:t>p-value</w:t>
            </w:r>
          </w:p>
        </w:tc>
      </w:tr>
      <w:tr w:rsidR="003D4231" w:rsidRPr="00611EED" w14:paraId="3A2586B7" w14:textId="77777777" w:rsidTr="0071439C">
        <w:tc>
          <w:tcPr>
            <w:tcW w:w="3415" w:type="dxa"/>
          </w:tcPr>
          <w:p w14:paraId="4937345B" w14:textId="77777777" w:rsidR="003D4231" w:rsidRPr="00611EED" w:rsidRDefault="003D4231" w:rsidP="0071439C">
            <w:pPr>
              <w:rPr>
                <w:rFonts w:ascii="Times New Roman" w:hAnsi="Times New Roman" w:cs="Times New Roman"/>
              </w:rPr>
            </w:pPr>
            <w:r w:rsidRPr="00611EED">
              <w:rPr>
                <w:rFonts w:ascii="Times New Roman" w:hAnsi="Times New Roman" w:cs="Times New Roman"/>
                <w:sz w:val="18"/>
              </w:rPr>
              <w:t>Distance (per 100 km)</w:t>
            </w:r>
          </w:p>
        </w:tc>
        <w:tc>
          <w:tcPr>
            <w:tcW w:w="1980" w:type="dxa"/>
          </w:tcPr>
          <w:p w14:paraId="65E066E4"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0.56 (0.50–0.62)</w:t>
            </w:r>
          </w:p>
        </w:tc>
        <w:tc>
          <w:tcPr>
            <w:tcW w:w="1530" w:type="dxa"/>
          </w:tcPr>
          <w:p w14:paraId="6CD81EE1"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&lt;0.001</w:t>
            </w:r>
          </w:p>
        </w:tc>
      </w:tr>
      <w:tr w:rsidR="003D4231" w:rsidRPr="00611EED" w14:paraId="06BDBB45" w14:textId="77777777" w:rsidTr="0071439C">
        <w:tc>
          <w:tcPr>
            <w:tcW w:w="3415" w:type="dxa"/>
          </w:tcPr>
          <w:p w14:paraId="4CADE063" w14:textId="77777777" w:rsidR="003D4231" w:rsidRPr="00611EED" w:rsidRDefault="003D4231" w:rsidP="0071439C">
            <w:pPr>
              <w:rPr>
                <w:rFonts w:ascii="Times New Roman" w:hAnsi="Times New Roman" w:cs="Times New Roman"/>
              </w:rPr>
            </w:pPr>
            <w:r w:rsidRPr="00611EED">
              <w:rPr>
                <w:rFonts w:ascii="Times New Roman" w:hAnsi="Times New Roman" w:cs="Times New Roman"/>
                <w:sz w:val="18"/>
              </w:rPr>
              <w:t>Invasion pressure (per SD)</w:t>
            </w:r>
          </w:p>
        </w:tc>
        <w:tc>
          <w:tcPr>
            <w:tcW w:w="1980" w:type="dxa"/>
          </w:tcPr>
          <w:p w14:paraId="458621DD"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1.26 (1.17–1.35)</w:t>
            </w:r>
          </w:p>
        </w:tc>
        <w:tc>
          <w:tcPr>
            <w:tcW w:w="1530" w:type="dxa"/>
          </w:tcPr>
          <w:p w14:paraId="45CDE457"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&lt;0.001</w:t>
            </w:r>
          </w:p>
        </w:tc>
      </w:tr>
      <w:tr w:rsidR="003D4231" w:rsidRPr="00611EED" w14:paraId="1F50D897" w14:textId="77777777" w:rsidTr="0071439C">
        <w:tc>
          <w:tcPr>
            <w:tcW w:w="3415" w:type="dxa"/>
          </w:tcPr>
          <w:p w14:paraId="37C5FB7E" w14:textId="77777777" w:rsidR="003D4231" w:rsidRPr="00611EED" w:rsidRDefault="003D4231" w:rsidP="0071439C">
            <w:pPr>
              <w:rPr>
                <w:rFonts w:ascii="Times New Roman" w:hAnsi="Times New Roman" w:cs="Times New Roman"/>
              </w:rPr>
            </w:pPr>
            <w:r w:rsidRPr="00611EED">
              <w:rPr>
                <w:rFonts w:ascii="Times New Roman" w:hAnsi="Times New Roman" w:cs="Times New Roman"/>
                <w:sz w:val="18"/>
              </w:rPr>
              <w:t>Source-region intensity (log cases)</w:t>
            </w:r>
          </w:p>
        </w:tc>
        <w:tc>
          <w:tcPr>
            <w:tcW w:w="1980" w:type="dxa"/>
          </w:tcPr>
          <w:p w14:paraId="414DD7CE"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1.38 (1.18–1.62)</w:t>
            </w:r>
          </w:p>
        </w:tc>
        <w:tc>
          <w:tcPr>
            <w:tcW w:w="1530" w:type="dxa"/>
          </w:tcPr>
          <w:p w14:paraId="625CDB2B"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&lt;0.001</w:t>
            </w:r>
          </w:p>
        </w:tc>
      </w:tr>
      <w:tr w:rsidR="003D4231" w:rsidRPr="00611EED" w14:paraId="2D471ACF" w14:textId="77777777" w:rsidTr="0071439C">
        <w:tc>
          <w:tcPr>
            <w:tcW w:w="3415" w:type="dxa"/>
          </w:tcPr>
          <w:p w14:paraId="7B91D5C5" w14:textId="77777777" w:rsidR="003D4231" w:rsidRPr="00611EED" w:rsidRDefault="003D4231" w:rsidP="0071439C">
            <w:pPr>
              <w:rPr>
                <w:rFonts w:ascii="Times New Roman" w:hAnsi="Times New Roman" w:cs="Times New Roman"/>
              </w:rPr>
            </w:pPr>
            <w:r w:rsidRPr="00611EED">
              <w:rPr>
                <w:rFonts w:ascii="Times New Roman" w:hAnsi="Times New Roman" w:cs="Times New Roman"/>
                <w:sz w:val="18"/>
              </w:rPr>
              <w:t>Temperature (per °C)</w:t>
            </w:r>
          </w:p>
        </w:tc>
        <w:tc>
          <w:tcPr>
            <w:tcW w:w="1980" w:type="dxa"/>
          </w:tcPr>
          <w:p w14:paraId="24C2DA42"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1.25 (1.19–1.31)</w:t>
            </w:r>
          </w:p>
        </w:tc>
        <w:tc>
          <w:tcPr>
            <w:tcW w:w="1530" w:type="dxa"/>
          </w:tcPr>
          <w:p w14:paraId="623BDAD5"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&lt;0.001</w:t>
            </w:r>
          </w:p>
        </w:tc>
      </w:tr>
      <w:tr w:rsidR="003D4231" w:rsidRPr="00611EED" w14:paraId="342B47C4" w14:textId="77777777" w:rsidTr="0071439C">
        <w:tc>
          <w:tcPr>
            <w:tcW w:w="3415" w:type="dxa"/>
          </w:tcPr>
          <w:p w14:paraId="1BDC5397" w14:textId="77777777" w:rsidR="003D4231" w:rsidRPr="00611EED" w:rsidRDefault="003D4231" w:rsidP="0071439C">
            <w:pPr>
              <w:rPr>
                <w:rFonts w:ascii="Times New Roman" w:hAnsi="Times New Roman" w:cs="Times New Roman"/>
              </w:rPr>
            </w:pPr>
            <w:r w:rsidRPr="00611EED">
              <w:rPr>
                <w:rFonts w:ascii="Times New Roman" w:hAnsi="Times New Roman" w:cs="Times New Roman"/>
                <w:sz w:val="18"/>
              </w:rPr>
              <w:t>Relative humidity (per %)</w:t>
            </w:r>
          </w:p>
        </w:tc>
        <w:tc>
          <w:tcPr>
            <w:tcW w:w="1980" w:type="dxa"/>
          </w:tcPr>
          <w:p w14:paraId="6E7F79E8"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0.96 (0.93–0.99)</w:t>
            </w:r>
          </w:p>
        </w:tc>
        <w:tc>
          <w:tcPr>
            <w:tcW w:w="1530" w:type="dxa"/>
          </w:tcPr>
          <w:p w14:paraId="2B74A002"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0.014</w:t>
            </w:r>
          </w:p>
        </w:tc>
      </w:tr>
      <w:tr w:rsidR="003D4231" w:rsidRPr="00611EED" w14:paraId="3DBD97DA" w14:textId="77777777" w:rsidTr="0071439C">
        <w:tc>
          <w:tcPr>
            <w:tcW w:w="3415" w:type="dxa"/>
          </w:tcPr>
          <w:p w14:paraId="7B6CF846" w14:textId="77777777" w:rsidR="003D4231" w:rsidRPr="00611EED" w:rsidRDefault="003D4231" w:rsidP="0071439C">
            <w:pPr>
              <w:rPr>
                <w:rFonts w:ascii="Times New Roman" w:hAnsi="Times New Roman" w:cs="Times New Roman"/>
              </w:rPr>
            </w:pPr>
            <w:r w:rsidRPr="00611EED">
              <w:rPr>
                <w:rFonts w:ascii="Times New Roman" w:hAnsi="Times New Roman" w:cs="Times New Roman"/>
                <w:sz w:val="18"/>
              </w:rPr>
              <w:t>Precipitation (per SD)</w:t>
            </w:r>
          </w:p>
        </w:tc>
        <w:tc>
          <w:tcPr>
            <w:tcW w:w="1980" w:type="dxa"/>
          </w:tcPr>
          <w:p w14:paraId="1E7D9FF9"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0.99 (0.85–1.14)</w:t>
            </w:r>
          </w:p>
        </w:tc>
        <w:tc>
          <w:tcPr>
            <w:tcW w:w="1530" w:type="dxa"/>
          </w:tcPr>
          <w:p w14:paraId="546EE7C0"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0.836</w:t>
            </w:r>
          </w:p>
        </w:tc>
      </w:tr>
      <w:tr w:rsidR="003D4231" w:rsidRPr="00611EED" w14:paraId="266A1D4A" w14:textId="77777777" w:rsidTr="0071439C">
        <w:tc>
          <w:tcPr>
            <w:tcW w:w="3415" w:type="dxa"/>
          </w:tcPr>
          <w:p w14:paraId="2D775DA3" w14:textId="646ACD7A" w:rsidR="003D4231" w:rsidRPr="00611EED" w:rsidRDefault="00482A58" w:rsidP="0071439C">
            <w:pPr>
              <w:rPr>
                <w:rFonts w:ascii="Times New Roman" w:hAnsi="Times New Roman" w:cs="Times New Roman"/>
              </w:rPr>
            </w:pPr>
            <w:r>
              <w:rPr>
                <w:rFonts w:ascii="Times New Roman" w:hAnsi="Times New Roman" w:cs="Times New Roman"/>
                <w:sz w:val="18"/>
              </w:rPr>
              <w:t>Urbanization</w:t>
            </w:r>
            <w:r w:rsidR="003D4231" w:rsidRPr="00611EED">
              <w:rPr>
                <w:rFonts w:ascii="Times New Roman" w:hAnsi="Times New Roman" w:cs="Times New Roman"/>
                <w:sz w:val="18"/>
              </w:rPr>
              <w:t>: intermediate (vs urban)</w:t>
            </w:r>
          </w:p>
        </w:tc>
        <w:tc>
          <w:tcPr>
            <w:tcW w:w="1980" w:type="dxa"/>
          </w:tcPr>
          <w:p w14:paraId="57500F14"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0.86 (0.63–1.17)</w:t>
            </w:r>
          </w:p>
        </w:tc>
        <w:tc>
          <w:tcPr>
            <w:tcW w:w="1530" w:type="dxa"/>
          </w:tcPr>
          <w:p w14:paraId="355F5C71"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0.337</w:t>
            </w:r>
          </w:p>
        </w:tc>
      </w:tr>
      <w:tr w:rsidR="003D4231" w:rsidRPr="00611EED" w14:paraId="7EE8379A" w14:textId="77777777" w:rsidTr="0071439C">
        <w:tc>
          <w:tcPr>
            <w:tcW w:w="3415" w:type="dxa"/>
          </w:tcPr>
          <w:p w14:paraId="4FF2693D" w14:textId="3DE668EA" w:rsidR="003D4231" w:rsidRPr="00611EED" w:rsidRDefault="00482A58" w:rsidP="0071439C">
            <w:pPr>
              <w:rPr>
                <w:rFonts w:ascii="Times New Roman" w:hAnsi="Times New Roman" w:cs="Times New Roman"/>
              </w:rPr>
            </w:pPr>
            <w:r>
              <w:rPr>
                <w:rFonts w:ascii="Times New Roman" w:hAnsi="Times New Roman" w:cs="Times New Roman"/>
                <w:sz w:val="18"/>
              </w:rPr>
              <w:t>Urbanization</w:t>
            </w:r>
            <w:r w:rsidR="003D4231" w:rsidRPr="00611EED">
              <w:rPr>
                <w:rFonts w:ascii="Times New Roman" w:hAnsi="Times New Roman" w:cs="Times New Roman"/>
                <w:sz w:val="18"/>
              </w:rPr>
              <w:t>: rural (vs urban)</w:t>
            </w:r>
          </w:p>
        </w:tc>
        <w:tc>
          <w:tcPr>
            <w:tcW w:w="1980" w:type="dxa"/>
          </w:tcPr>
          <w:p w14:paraId="21BC1C55"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0.83 (0.59–1.16)</w:t>
            </w:r>
          </w:p>
        </w:tc>
        <w:tc>
          <w:tcPr>
            <w:tcW w:w="1530" w:type="dxa"/>
          </w:tcPr>
          <w:p w14:paraId="4897B42F" w14:textId="77777777" w:rsidR="003D4231" w:rsidRPr="00611EED" w:rsidRDefault="003D4231" w:rsidP="0071439C">
            <w:pPr>
              <w:jc w:val="center"/>
              <w:rPr>
                <w:rFonts w:ascii="Times New Roman" w:hAnsi="Times New Roman" w:cs="Times New Roman"/>
              </w:rPr>
            </w:pPr>
            <w:r w:rsidRPr="00611EED">
              <w:rPr>
                <w:rFonts w:ascii="Times New Roman" w:hAnsi="Times New Roman" w:cs="Times New Roman"/>
                <w:sz w:val="18"/>
              </w:rPr>
              <w:t>0.276</w:t>
            </w:r>
          </w:p>
        </w:tc>
      </w:tr>
    </w:tbl>
    <w:p w14:paraId="7B62E49C" w14:textId="77777777" w:rsidR="003D4231" w:rsidRDefault="003D4231">
      <w:pPr>
        <w:spacing w:after="300"/>
      </w:pPr>
    </w:p>
    <w:p w14:paraId="2EEDFFC1" w14:textId="1A18E7BC" w:rsidR="00D4743B" w:rsidRDefault="00D4743B" w:rsidP="00D4743B">
      <w:pPr>
        <w:spacing w:before="120" w:after="40"/>
      </w:pPr>
      <w:r>
        <w:rPr>
          <w:b/>
          <w:sz w:val="19"/>
        </w:rPr>
        <w:t>Supplementary Table S10. Interpreted effects with precipitation allowed to vary over follow-up time.</w:t>
      </w:r>
    </w:p>
    <w:tbl>
      <w:tblPr>
        <w:tblStyle w:val="TableGrid"/>
        <w:tblW w:w="6655" w:type="dxa"/>
        <w:tblLayout w:type="fixed"/>
        <w:tblLook w:val="04A0" w:firstRow="1" w:lastRow="0" w:firstColumn="1" w:lastColumn="0" w:noHBand="0" w:noVBand="1"/>
      </w:tblPr>
      <w:tblGrid>
        <w:gridCol w:w="2245"/>
        <w:gridCol w:w="1620"/>
        <w:gridCol w:w="2790"/>
      </w:tblGrid>
      <w:tr w:rsidR="00D4743B" w:rsidRPr="00FE694E" w14:paraId="16C2F21A" w14:textId="77777777" w:rsidTr="0071439C">
        <w:tc>
          <w:tcPr>
            <w:tcW w:w="2245" w:type="dxa"/>
            <w:shd w:val="clear" w:color="auto" w:fill="D1D1D1" w:themeFill="background2" w:themeFillShade="E6"/>
          </w:tcPr>
          <w:p w14:paraId="7B7954DE" w14:textId="77777777" w:rsidR="00D4743B" w:rsidRPr="00FE694E" w:rsidRDefault="00D4743B" w:rsidP="0071439C">
            <w:pPr>
              <w:rPr>
                <w:rFonts w:ascii="Times New Roman" w:hAnsi="Times New Roman" w:cs="Times New Roman"/>
              </w:rPr>
            </w:pPr>
            <w:r w:rsidRPr="00FE694E">
              <w:rPr>
                <w:rFonts w:ascii="Times New Roman" w:hAnsi="Times New Roman" w:cs="Times New Roman"/>
                <w:b/>
                <w:sz w:val="18"/>
              </w:rPr>
              <w:t>Term</w:t>
            </w:r>
          </w:p>
        </w:tc>
        <w:tc>
          <w:tcPr>
            <w:tcW w:w="1620" w:type="dxa"/>
            <w:shd w:val="clear" w:color="auto" w:fill="D1D1D1" w:themeFill="background2" w:themeFillShade="E6"/>
          </w:tcPr>
          <w:p w14:paraId="78B9CCF8"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b/>
                <w:sz w:val="18"/>
              </w:rPr>
              <w:t>Primary HR (95% CI)</w:t>
            </w:r>
          </w:p>
        </w:tc>
        <w:tc>
          <w:tcPr>
            <w:tcW w:w="2790" w:type="dxa"/>
            <w:shd w:val="clear" w:color="auto" w:fill="D1D1D1" w:themeFill="background2" w:themeFillShade="E6"/>
          </w:tcPr>
          <w:p w14:paraId="0AF93DC2"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b/>
                <w:sz w:val="18"/>
              </w:rPr>
              <w:t>Precipitation time-varying HR (95% CI)</w:t>
            </w:r>
          </w:p>
        </w:tc>
      </w:tr>
      <w:tr w:rsidR="00D4743B" w:rsidRPr="00FE694E" w14:paraId="7280E565" w14:textId="77777777" w:rsidTr="0071439C">
        <w:tc>
          <w:tcPr>
            <w:tcW w:w="2245" w:type="dxa"/>
          </w:tcPr>
          <w:p w14:paraId="4FCE92E1" w14:textId="77777777" w:rsidR="00D4743B" w:rsidRPr="00FE694E" w:rsidRDefault="00D4743B" w:rsidP="0071439C">
            <w:pPr>
              <w:rPr>
                <w:rFonts w:ascii="Times New Roman" w:hAnsi="Times New Roman" w:cs="Times New Roman"/>
              </w:rPr>
            </w:pPr>
            <w:r w:rsidRPr="00FE694E">
              <w:rPr>
                <w:rFonts w:ascii="Times New Roman" w:hAnsi="Times New Roman" w:cs="Times New Roman"/>
                <w:sz w:val="18"/>
              </w:rPr>
              <w:t>Distance (per 100 km)</w:t>
            </w:r>
          </w:p>
        </w:tc>
        <w:tc>
          <w:tcPr>
            <w:tcW w:w="1620" w:type="dxa"/>
          </w:tcPr>
          <w:p w14:paraId="42E5ADDC"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0.56 (0.50–0.62)</w:t>
            </w:r>
          </w:p>
        </w:tc>
        <w:tc>
          <w:tcPr>
            <w:tcW w:w="2790" w:type="dxa"/>
          </w:tcPr>
          <w:p w14:paraId="004BAEE3"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0.55 (0.50–0.61)</w:t>
            </w:r>
          </w:p>
        </w:tc>
      </w:tr>
      <w:tr w:rsidR="00D4743B" w:rsidRPr="00FE694E" w14:paraId="0B220A66" w14:textId="77777777" w:rsidTr="0071439C">
        <w:tc>
          <w:tcPr>
            <w:tcW w:w="2245" w:type="dxa"/>
          </w:tcPr>
          <w:p w14:paraId="55ED56F7" w14:textId="77777777" w:rsidR="00D4743B" w:rsidRPr="00FE694E" w:rsidRDefault="00D4743B" w:rsidP="0071439C">
            <w:pPr>
              <w:rPr>
                <w:rFonts w:ascii="Times New Roman" w:hAnsi="Times New Roman" w:cs="Times New Roman"/>
              </w:rPr>
            </w:pPr>
            <w:r w:rsidRPr="00FE694E">
              <w:rPr>
                <w:rFonts w:ascii="Times New Roman" w:hAnsi="Times New Roman" w:cs="Times New Roman"/>
                <w:sz w:val="18"/>
              </w:rPr>
              <w:t>Invasion pressure (per SD)</w:t>
            </w:r>
          </w:p>
        </w:tc>
        <w:tc>
          <w:tcPr>
            <w:tcW w:w="1620" w:type="dxa"/>
          </w:tcPr>
          <w:p w14:paraId="0D2E32F3"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1.26 (1.17–1.35)</w:t>
            </w:r>
          </w:p>
        </w:tc>
        <w:tc>
          <w:tcPr>
            <w:tcW w:w="2790" w:type="dxa"/>
          </w:tcPr>
          <w:p w14:paraId="4065595D"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1.27 (1.18–1.36)</w:t>
            </w:r>
          </w:p>
        </w:tc>
      </w:tr>
      <w:tr w:rsidR="00D4743B" w:rsidRPr="00FE694E" w14:paraId="17DE89B2" w14:textId="77777777" w:rsidTr="0071439C">
        <w:tc>
          <w:tcPr>
            <w:tcW w:w="2245" w:type="dxa"/>
          </w:tcPr>
          <w:p w14:paraId="33F594B7" w14:textId="77777777" w:rsidR="00D4743B" w:rsidRPr="00FE694E" w:rsidRDefault="00D4743B" w:rsidP="0071439C">
            <w:pPr>
              <w:rPr>
                <w:rFonts w:ascii="Times New Roman" w:hAnsi="Times New Roman" w:cs="Times New Roman"/>
              </w:rPr>
            </w:pPr>
            <w:r w:rsidRPr="00FE694E">
              <w:rPr>
                <w:rFonts w:ascii="Times New Roman" w:hAnsi="Times New Roman" w:cs="Times New Roman"/>
                <w:sz w:val="18"/>
              </w:rPr>
              <w:t>Temperature (per °C)</w:t>
            </w:r>
          </w:p>
        </w:tc>
        <w:tc>
          <w:tcPr>
            <w:tcW w:w="1620" w:type="dxa"/>
          </w:tcPr>
          <w:p w14:paraId="6F570A04"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1.25 (1.19–1.31)</w:t>
            </w:r>
          </w:p>
        </w:tc>
        <w:tc>
          <w:tcPr>
            <w:tcW w:w="2790" w:type="dxa"/>
          </w:tcPr>
          <w:p w14:paraId="79283DFA"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1.25 (1.18–1.31)</w:t>
            </w:r>
          </w:p>
        </w:tc>
      </w:tr>
      <w:tr w:rsidR="00D4743B" w:rsidRPr="00FE694E" w14:paraId="0F48F9D7" w14:textId="77777777" w:rsidTr="0071439C">
        <w:tc>
          <w:tcPr>
            <w:tcW w:w="2245" w:type="dxa"/>
          </w:tcPr>
          <w:p w14:paraId="4F553E77" w14:textId="77777777" w:rsidR="00D4743B" w:rsidRPr="00FE694E" w:rsidRDefault="00D4743B" w:rsidP="0071439C">
            <w:pPr>
              <w:rPr>
                <w:rFonts w:ascii="Times New Roman" w:hAnsi="Times New Roman" w:cs="Times New Roman"/>
              </w:rPr>
            </w:pPr>
            <w:r w:rsidRPr="00FE694E">
              <w:rPr>
                <w:rFonts w:ascii="Times New Roman" w:hAnsi="Times New Roman" w:cs="Times New Roman"/>
                <w:sz w:val="18"/>
              </w:rPr>
              <w:t>Relative humidity (per %)</w:t>
            </w:r>
          </w:p>
        </w:tc>
        <w:tc>
          <w:tcPr>
            <w:tcW w:w="1620" w:type="dxa"/>
          </w:tcPr>
          <w:p w14:paraId="144A3C0A"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0.96 (0.93–0.99)</w:t>
            </w:r>
          </w:p>
        </w:tc>
        <w:tc>
          <w:tcPr>
            <w:tcW w:w="2790" w:type="dxa"/>
          </w:tcPr>
          <w:p w14:paraId="7EEE192E" w14:textId="77777777" w:rsidR="00D4743B" w:rsidRPr="00FE694E" w:rsidRDefault="00D4743B" w:rsidP="0071439C">
            <w:pPr>
              <w:jc w:val="center"/>
              <w:rPr>
                <w:rFonts w:ascii="Times New Roman" w:hAnsi="Times New Roman" w:cs="Times New Roman"/>
              </w:rPr>
            </w:pPr>
            <w:r w:rsidRPr="00FE694E">
              <w:rPr>
                <w:rFonts w:ascii="Times New Roman" w:hAnsi="Times New Roman" w:cs="Times New Roman"/>
                <w:sz w:val="18"/>
              </w:rPr>
              <w:t>0.96 (0.93–0.99)</w:t>
            </w:r>
          </w:p>
        </w:tc>
      </w:tr>
    </w:tbl>
    <w:p w14:paraId="7DA577CE" w14:textId="77777777" w:rsidR="00D4743B" w:rsidRDefault="00D4743B" w:rsidP="00D4743B">
      <w:r>
        <w:rPr>
          <w:i/>
          <w:color w:val="595959"/>
          <w:sz w:val="17"/>
        </w:rPr>
        <w:t>Precipitation × log(t + 1): HR 0.78 (95% CI 0.61–1.00), p = 0.047.</w:t>
      </w:r>
    </w:p>
    <w:p w14:paraId="4FF21DB6" w14:textId="77777777" w:rsidR="00D4743B" w:rsidRDefault="00D4743B" w:rsidP="00D4743B">
      <w:pPr>
        <w:spacing w:before="120" w:after="40"/>
        <w:rPr>
          <w:b/>
          <w:sz w:val="19"/>
        </w:rPr>
      </w:pPr>
    </w:p>
    <w:p w14:paraId="3DD1A685" w14:textId="77777777" w:rsidR="00D4743B" w:rsidRDefault="00D4743B">
      <w:pPr>
        <w:spacing w:after="300"/>
      </w:pPr>
    </w:p>
    <w:sectPr w:rsidR="00D4743B">
      <w:headerReference w:type="even" r:id="rId16"/>
      <w:headerReference w:type="default" r:id="rId17"/>
      <w:headerReference w:type="first" r:id="rId18"/>
      <w:pgSz w:w="11906" w:h="16838"/>
      <w:pgMar w:top="1440" w:right="1584" w:bottom="1440" w:left="158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3AD922B" w14:textId="77777777" w:rsidR="009C3029" w:rsidRDefault="009C3029" w:rsidP="009F3B5A">
      <w:r>
        <w:separator/>
      </w:r>
    </w:p>
  </w:endnote>
  <w:endnote w:type="continuationSeparator" w:id="0">
    <w:p w14:paraId="51C4FF06" w14:textId="77777777" w:rsidR="009C3029" w:rsidRDefault="009C3029" w:rsidP="009F3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B411AA6" w14:textId="77777777" w:rsidR="009C3029" w:rsidRDefault="009C3029" w:rsidP="009F3B5A">
      <w:r>
        <w:separator/>
      </w:r>
    </w:p>
  </w:footnote>
  <w:footnote w:type="continuationSeparator" w:id="0">
    <w:p w14:paraId="2EAF4DBC" w14:textId="77777777" w:rsidR="009C3029" w:rsidRDefault="009C3029" w:rsidP="009F3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7C9C56" w14:textId="7EFDCE9C" w:rsidR="009F3B5A" w:rsidRDefault="009F3B5A">
    <w:pPr>
      <w:pStyle w:val="Header"/>
    </w:pPr>
    <w:r>
      <w:rPr>
        <w:noProof/>
      </w:rPr>
      <mc:AlternateContent>
        <mc:Choice Requires="wps">
          <w:drawing>
            <wp:anchor distT="0" distB="0" distL="0" distR="0" simplePos="0" relativeHeight="251659264" behindDoc="0" locked="0" layoutInCell="1" allowOverlap="1" wp14:anchorId="69EC2EDB" wp14:editId="5ADE0544">
              <wp:simplePos x="635" y="635"/>
              <wp:positionH relativeFrom="page">
                <wp:align>right</wp:align>
              </wp:positionH>
              <wp:positionV relativeFrom="page">
                <wp:align>top</wp:align>
              </wp:positionV>
              <wp:extent cx="1065530" cy="314325"/>
              <wp:effectExtent l="0" t="0" r="0" b="3175"/>
              <wp:wrapNone/>
              <wp:docPr id="656992279" name="Text Box 2"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65530" cy="314325"/>
                      </a:xfrm>
                      <a:prstGeom prst="rect">
                        <a:avLst/>
                      </a:prstGeom>
                      <a:noFill/>
                      <a:ln>
                        <a:noFill/>
                      </a:ln>
                    </wps:spPr>
                    <wps:txbx>
                      <w:txbxContent>
                        <w:p w14:paraId="4C63C847" w14:textId="2B073718" w:rsidR="009F3B5A" w:rsidRPr="009F3B5A" w:rsidRDefault="009F3B5A" w:rsidP="009F3B5A">
                          <w:pPr>
                            <w:rPr>
                              <w:rFonts w:ascii="Aptos" w:eastAsia="Aptos" w:hAnsi="Aptos" w:cs="Aptos"/>
                              <w:noProof/>
                              <w:color w:val="000000"/>
                              <w:sz w:val="16"/>
                              <w:szCs w:val="16"/>
                            </w:rPr>
                          </w:pPr>
                          <w:r w:rsidRPr="009F3B5A">
                            <w:rPr>
                              <w:rFonts w:ascii="Aptos" w:eastAsia="Aptos" w:hAnsi="Aptos" w:cs="Aptos"/>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9EC2EDB" id="_x0000_t202" coordsize="21600,21600" o:spt="202" path="m,l,21600r21600,l21600,xe">
              <v:stroke joinstyle="miter"/>
              <v:path gradientshapeok="t" o:connecttype="rect"/>
            </v:shapetype>
            <v:shape id="Text Box 2" o:spid="_x0000_s1026" type="#_x0000_t202" alt="Begränsad delning" style="position:absolute;margin-left:32.7pt;margin-top:0;width:83.9pt;height:24.7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" filled="f" stroked="f">
              <v:textbox style="mso-fit-shape-to-text:t" inset="0,15pt,20pt,0">
                <w:txbxContent>
                  <w:p w14:paraId="4C63C847" w14:textId="2B073718" w:rsidR="009F3B5A" w:rsidRPr="009F3B5A" w:rsidRDefault="009F3B5A" w:rsidP="009F3B5A">
                    <w:pPr>
                      <w:rPr>
                        <w:rFonts w:ascii="Aptos" w:eastAsia="Aptos" w:hAnsi="Aptos" w:cs="Aptos"/>
                        <w:noProof/>
                        <w:color w:val="000000"/>
                        <w:sz w:val="16"/>
                        <w:szCs w:val="16"/>
                      </w:rPr>
                    </w:pPr>
                    <w:r w:rsidRPr="009F3B5A">
                      <w:rPr>
                        <w:rFonts w:ascii="Aptos" w:eastAsia="Aptos" w:hAnsi="Aptos" w:cs="Aptos"/>
                        <w:noProof/>
                        <w:color w:val="000000"/>
                        <w:sz w:val="16"/>
                        <w:szCs w:val="16"/>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341A6B" w14:textId="5DC53539" w:rsidR="009F3B5A" w:rsidRDefault="009F3B5A">
    <w:pPr>
      <w:pStyle w:val="Header"/>
    </w:pPr>
    <w:r>
      <w:rPr>
        <w:noProof/>
      </w:rPr>
      <mc:AlternateContent>
        <mc:Choice Requires="wps">
          <w:drawing>
            <wp:anchor distT="0" distB="0" distL="0" distR="0" simplePos="0" relativeHeight="251660288" behindDoc="0" locked="0" layoutInCell="1" allowOverlap="1" wp14:anchorId="7197B700" wp14:editId="0B32FD7E">
              <wp:simplePos x="0" y="0"/>
              <wp:positionH relativeFrom="page">
                <wp:align>right</wp:align>
              </wp:positionH>
              <wp:positionV relativeFrom="page">
                <wp:align>top</wp:align>
              </wp:positionV>
              <wp:extent cx="1065530" cy="314325"/>
              <wp:effectExtent l="0" t="0" r="0" b="3175"/>
              <wp:wrapNone/>
              <wp:docPr id="1699740418" name="Text Box 3"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65530" cy="314325"/>
                      </a:xfrm>
                      <a:prstGeom prst="rect">
                        <a:avLst/>
                      </a:prstGeom>
                      <a:noFill/>
                      <a:ln>
                        <a:noFill/>
                      </a:ln>
                    </wps:spPr>
                    <wps:txbx>
                      <w:txbxContent>
                        <w:p w14:paraId="0A54B674" w14:textId="6EE838DC" w:rsidR="009F3B5A" w:rsidRPr="009F3B5A" w:rsidRDefault="009F3B5A" w:rsidP="009F3B5A">
                          <w:pPr>
                            <w:rPr>
                              <w:rFonts w:ascii="Aptos" w:eastAsia="Aptos" w:hAnsi="Aptos" w:cs="Aptos"/>
                              <w:noProof/>
                              <w:color w:val="000000"/>
                              <w:sz w:val="16"/>
                              <w:szCs w:val="16"/>
                            </w:rPr>
                          </w:pPr>
                          <w:r w:rsidRPr="009F3B5A">
                            <w:rPr>
                              <w:rFonts w:ascii="Aptos" w:eastAsia="Aptos" w:hAnsi="Aptos" w:cs="Aptos"/>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197B700" id="_x0000_t202" coordsize="21600,21600" o:spt="202" path="m,l,21600r21600,l21600,xe">
              <v:stroke joinstyle="miter"/>
              <v:path gradientshapeok="t" o:connecttype="rect"/>
            </v:shapetype>
            <v:shape id="Text Box 3" o:spid="_x0000_s1027" type="#_x0000_t202" alt="Begränsad delning" style="position:absolute;margin-left:32.7pt;margin-top:0;width:83.9pt;height:24.7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" filled="f" stroked="f">
              <v:textbox style="mso-fit-shape-to-text:t" inset="0,15pt,20pt,0">
                <w:txbxContent>
                  <w:p w14:paraId="0A54B674" w14:textId="6EE838DC" w:rsidR="009F3B5A" w:rsidRPr="009F3B5A" w:rsidRDefault="009F3B5A" w:rsidP="009F3B5A">
                    <w:pPr>
                      <w:rPr>
                        <w:rFonts w:ascii="Aptos" w:eastAsia="Aptos" w:hAnsi="Aptos" w:cs="Aptos"/>
                        <w:noProof/>
                        <w:color w:val="000000"/>
                        <w:sz w:val="16"/>
                        <w:szCs w:val="16"/>
                      </w:rPr>
                    </w:pPr>
                    <w:r w:rsidRPr="009F3B5A">
                      <w:rPr>
                        <w:rFonts w:ascii="Aptos" w:eastAsia="Aptos" w:hAnsi="Aptos" w:cs="Aptos"/>
                        <w:noProof/>
                        <w:color w:val="000000"/>
                        <w:sz w:val="16"/>
                        <w:szCs w:val="16"/>
                      </w:rPr>
                      <w:t>Begränsad delning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468EE9" w14:textId="0930EA3D" w:rsidR="009F3B5A" w:rsidRDefault="009F3B5A">
    <w:pPr>
      <w:pStyle w:val="Header"/>
    </w:pPr>
    <w:r>
      <w:rPr>
        <w:noProof/>
      </w:rPr>
      <mc:AlternateContent>
        <mc:Choice Requires="wps">
          <w:drawing>
            <wp:anchor distT="0" distB="0" distL="0" distR="0" simplePos="0" relativeHeight="251658240" behindDoc="0" locked="0" layoutInCell="1" allowOverlap="1" wp14:anchorId="3496CB1A" wp14:editId="27F6D481">
              <wp:simplePos x="635" y="635"/>
              <wp:positionH relativeFrom="page">
                <wp:align>right</wp:align>
              </wp:positionH>
              <wp:positionV relativeFrom="page">
                <wp:align>top</wp:align>
              </wp:positionV>
              <wp:extent cx="1065530" cy="314325"/>
              <wp:effectExtent l="0" t="0" r="0" b="3175"/>
              <wp:wrapNone/>
              <wp:docPr id="398146116" name="Text Box 1" descr="Begränsad delning">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65530" cy="314325"/>
                      </a:xfrm>
                      <a:prstGeom prst="rect">
                        <a:avLst/>
                      </a:prstGeom>
                      <a:noFill/>
                      <a:ln>
                        <a:noFill/>
                      </a:ln>
                    </wps:spPr>
                    <wps:txbx>
                      <w:txbxContent>
                        <w:p w14:paraId="3CAB0C73" w14:textId="09095C31" w:rsidR="009F3B5A" w:rsidRPr="009F3B5A" w:rsidRDefault="009F3B5A" w:rsidP="009F3B5A">
                          <w:pPr>
                            <w:rPr>
                              <w:rFonts w:ascii="Aptos" w:eastAsia="Aptos" w:hAnsi="Aptos" w:cs="Aptos"/>
                              <w:noProof/>
                              <w:color w:val="000000"/>
                              <w:sz w:val="16"/>
                              <w:szCs w:val="16"/>
                            </w:rPr>
                          </w:pPr>
                          <w:r w:rsidRPr="009F3B5A">
                            <w:rPr>
                              <w:rFonts w:ascii="Aptos" w:eastAsia="Aptos" w:hAnsi="Aptos" w:cs="Aptos"/>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96CB1A" id="_x0000_t202" coordsize="21600,21600" o:spt="202" path="m,l,21600r21600,l21600,xe">
              <v:stroke joinstyle="miter"/>
              <v:path gradientshapeok="t" o:connecttype="rect"/>
            </v:shapetype>
            <v:shape id="Text Box 1" o:spid="_x0000_s1028" type="#_x0000_t202" alt="Begränsad delning" style="position:absolute;margin-left:32.7pt;margin-top:0;width:83.9pt;height:24.7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" filled="f" stroked="f">
              <v:textbox style="mso-fit-shape-to-text:t" inset="0,15pt,20pt,0">
                <w:txbxContent>
                  <w:p w14:paraId="3CAB0C73" w14:textId="09095C31" w:rsidR="009F3B5A" w:rsidRPr="009F3B5A" w:rsidRDefault="009F3B5A" w:rsidP="009F3B5A">
                    <w:pPr>
                      <w:rPr>
                        <w:rFonts w:ascii="Aptos" w:eastAsia="Aptos" w:hAnsi="Aptos" w:cs="Aptos"/>
                        <w:noProof/>
                        <w:color w:val="000000"/>
                        <w:sz w:val="16"/>
                        <w:szCs w:val="16"/>
                      </w:rPr>
                    </w:pPr>
                    <w:r w:rsidRPr="009F3B5A">
                      <w:rPr>
                        <w:rFonts w:ascii="Aptos" w:eastAsia="Aptos" w:hAnsi="Aptos" w:cs="Aptos"/>
                        <w:noProof/>
                        <w:color w:val="000000"/>
                        <w:sz w:val="16"/>
                        <w:szCs w:val="16"/>
                      </w:rPr>
                      <w:t>Begränsad delning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5E97CB6"/>
    <w:multiLevelType w:val="hybridMultilevel"/>
    <w:tmpl w:val="91C486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9927AF"/>
    <w:multiLevelType w:val="hybridMultilevel"/>
    <w:tmpl w:val="45600600"/>
    <w:lvl w:ilvl="0" w:tplc="8B20E924">
      <w:start w:val="1"/>
      <w:numFmt w:val="bullet"/>
      <w:lvlText w:val="●"/>
      <w:lvlJc w:val="left"/>
      <w:pPr>
        <w:ind w:left="720" w:hanging="360"/>
      </w:pPr>
    </w:lvl>
    <w:lvl w:ilvl="1" w:tplc="99BC282A">
      <w:start w:val="1"/>
      <w:numFmt w:val="bullet"/>
      <w:lvlText w:val="○"/>
      <w:lvlJc w:val="left"/>
      <w:pPr>
        <w:ind w:left="1440" w:hanging="360"/>
      </w:pPr>
    </w:lvl>
    <w:lvl w:ilvl="2" w:tplc="5A68C126">
      <w:start w:val="1"/>
      <w:numFmt w:val="bullet"/>
      <w:lvlText w:val="■"/>
      <w:lvlJc w:val="left"/>
      <w:pPr>
        <w:ind w:left="2160" w:hanging="360"/>
      </w:pPr>
    </w:lvl>
    <w:lvl w:ilvl="3" w:tplc="5190630A">
      <w:start w:val="1"/>
      <w:numFmt w:val="bullet"/>
      <w:lvlText w:val="●"/>
      <w:lvlJc w:val="left"/>
      <w:pPr>
        <w:ind w:left="2880" w:hanging="360"/>
      </w:pPr>
    </w:lvl>
    <w:lvl w:ilvl="4" w:tplc="0FBABCB0">
      <w:start w:val="1"/>
      <w:numFmt w:val="bullet"/>
      <w:lvlText w:val="○"/>
      <w:lvlJc w:val="left"/>
      <w:pPr>
        <w:ind w:left="3600" w:hanging="360"/>
      </w:pPr>
    </w:lvl>
    <w:lvl w:ilvl="5" w:tplc="407AFCAE">
      <w:start w:val="1"/>
      <w:numFmt w:val="bullet"/>
      <w:lvlText w:val="■"/>
      <w:lvlJc w:val="left"/>
      <w:pPr>
        <w:ind w:left="4320" w:hanging="360"/>
      </w:pPr>
    </w:lvl>
    <w:lvl w:ilvl="6" w:tplc="227C3234">
      <w:start w:val="1"/>
      <w:numFmt w:val="bullet"/>
      <w:lvlText w:val="●"/>
      <w:lvlJc w:val="left"/>
      <w:pPr>
        <w:ind w:left="5040" w:hanging="360"/>
      </w:pPr>
    </w:lvl>
    <w:lvl w:ilvl="7" w:tplc="42F62EE0">
      <w:start w:val="1"/>
      <w:numFmt w:val="bullet"/>
      <w:lvlText w:val="●"/>
      <w:lvlJc w:val="left"/>
      <w:pPr>
        <w:ind w:left="5760" w:hanging="360"/>
      </w:pPr>
    </w:lvl>
    <w:lvl w:ilvl="8" w:tplc="AE022564">
      <w:start w:val="1"/>
      <w:numFmt w:val="bullet"/>
      <w:lvlText w:val="●"/>
      <w:lvlJc w:val="left"/>
      <w:pPr>
        <w:ind w:left="6480" w:hanging="360"/>
      </w:pPr>
    </w:lvl>
  </w:abstractNum>
  <w:num w:numId="1" w16cid:durableId="1346396612">
    <w:abstractNumId w:val="1"/>
    <w:lvlOverride w:ilvl="0">
      <w:startOverride w:val="1"/>
    </w:lvlOverride>
  </w:num>
  <w:num w:numId="2" w16cid:durableId="1356151413">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DF3"/>
    <w:rsid w:val="0000756D"/>
    <w:rsid w:val="0001691D"/>
    <w:rsid w:val="0004775F"/>
    <w:rsid w:val="0005435E"/>
    <w:rsid w:val="00054F49"/>
    <w:rsid w:val="00056E06"/>
    <w:rsid w:val="000733B4"/>
    <w:rsid w:val="00084E69"/>
    <w:rsid w:val="00086138"/>
    <w:rsid w:val="000935CA"/>
    <w:rsid w:val="000B1171"/>
    <w:rsid w:val="000B526A"/>
    <w:rsid w:val="000B7BD6"/>
    <w:rsid w:val="000C0B21"/>
    <w:rsid w:val="000D2AA5"/>
    <w:rsid w:val="000D37CD"/>
    <w:rsid w:val="000F4E68"/>
    <w:rsid w:val="00136105"/>
    <w:rsid w:val="00136733"/>
    <w:rsid w:val="00143EC0"/>
    <w:rsid w:val="00147265"/>
    <w:rsid w:val="00154696"/>
    <w:rsid w:val="001643A9"/>
    <w:rsid w:val="0016525B"/>
    <w:rsid w:val="00186983"/>
    <w:rsid w:val="001B144E"/>
    <w:rsid w:val="001C4CC8"/>
    <w:rsid w:val="001E5BC3"/>
    <w:rsid w:val="001F4136"/>
    <w:rsid w:val="00211E8E"/>
    <w:rsid w:val="00214625"/>
    <w:rsid w:val="00234FB5"/>
    <w:rsid w:val="002448D9"/>
    <w:rsid w:val="00273384"/>
    <w:rsid w:val="002841A1"/>
    <w:rsid w:val="00286C32"/>
    <w:rsid w:val="002D667D"/>
    <w:rsid w:val="00306706"/>
    <w:rsid w:val="0035258D"/>
    <w:rsid w:val="003565B0"/>
    <w:rsid w:val="0035666D"/>
    <w:rsid w:val="00361B93"/>
    <w:rsid w:val="00383079"/>
    <w:rsid w:val="00384C4B"/>
    <w:rsid w:val="00392465"/>
    <w:rsid w:val="00392B53"/>
    <w:rsid w:val="003950C3"/>
    <w:rsid w:val="003A6031"/>
    <w:rsid w:val="003B0814"/>
    <w:rsid w:val="003D4231"/>
    <w:rsid w:val="003D4E62"/>
    <w:rsid w:val="003E06D9"/>
    <w:rsid w:val="003E2B24"/>
    <w:rsid w:val="003F5367"/>
    <w:rsid w:val="00402CAB"/>
    <w:rsid w:val="0041016C"/>
    <w:rsid w:val="00411277"/>
    <w:rsid w:val="00417E5C"/>
    <w:rsid w:val="00452B96"/>
    <w:rsid w:val="00482A58"/>
    <w:rsid w:val="004835CB"/>
    <w:rsid w:val="00487A6E"/>
    <w:rsid w:val="00487D14"/>
    <w:rsid w:val="00493203"/>
    <w:rsid w:val="00497454"/>
    <w:rsid w:val="004A0667"/>
    <w:rsid w:val="004A73DF"/>
    <w:rsid w:val="004C3E13"/>
    <w:rsid w:val="004C45A6"/>
    <w:rsid w:val="004D2CB5"/>
    <w:rsid w:val="004D5964"/>
    <w:rsid w:val="004D65CA"/>
    <w:rsid w:val="004D75FC"/>
    <w:rsid w:val="004F4620"/>
    <w:rsid w:val="004F59CD"/>
    <w:rsid w:val="00502264"/>
    <w:rsid w:val="005067EC"/>
    <w:rsid w:val="005153A1"/>
    <w:rsid w:val="00525156"/>
    <w:rsid w:val="00527EDE"/>
    <w:rsid w:val="00541A16"/>
    <w:rsid w:val="005423E5"/>
    <w:rsid w:val="00547C3B"/>
    <w:rsid w:val="005829AD"/>
    <w:rsid w:val="005A08E6"/>
    <w:rsid w:val="005A0DF3"/>
    <w:rsid w:val="005E07E6"/>
    <w:rsid w:val="005E4A5E"/>
    <w:rsid w:val="005F64AD"/>
    <w:rsid w:val="00611EED"/>
    <w:rsid w:val="0061218B"/>
    <w:rsid w:val="00631532"/>
    <w:rsid w:val="00664908"/>
    <w:rsid w:val="00674489"/>
    <w:rsid w:val="006A6802"/>
    <w:rsid w:val="006F6E96"/>
    <w:rsid w:val="00714B21"/>
    <w:rsid w:val="0072671A"/>
    <w:rsid w:val="00733405"/>
    <w:rsid w:val="00740762"/>
    <w:rsid w:val="0077695F"/>
    <w:rsid w:val="00781BC3"/>
    <w:rsid w:val="00783DB3"/>
    <w:rsid w:val="00786DD2"/>
    <w:rsid w:val="0079124A"/>
    <w:rsid w:val="007969B5"/>
    <w:rsid w:val="007B707A"/>
    <w:rsid w:val="00830CFF"/>
    <w:rsid w:val="00841F66"/>
    <w:rsid w:val="008423AC"/>
    <w:rsid w:val="00872365"/>
    <w:rsid w:val="00873F60"/>
    <w:rsid w:val="00880985"/>
    <w:rsid w:val="00885513"/>
    <w:rsid w:val="008930EE"/>
    <w:rsid w:val="00893CF0"/>
    <w:rsid w:val="008A3916"/>
    <w:rsid w:val="00911984"/>
    <w:rsid w:val="009161DF"/>
    <w:rsid w:val="00920938"/>
    <w:rsid w:val="0095027F"/>
    <w:rsid w:val="009614B9"/>
    <w:rsid w:val="009617A2"/>
    <w:rsid w:val="009747BB"/>
    <w:rsid w:val="009B7511"/>
    <w:rsid w:val="009C3029"/>
    <w:rsid w:val="009D4D7B"/>
    <w:rsid w:val="009D604B"/>
    <w:rsid w:val="009E431C"/>
    <w:rsid w:val="009F0153"/>
    <w:rsid w:val="009F33FB"/>
    <w:rsid w:val="009F3B5A"/>
    <w:rsid w:val="00A01F74"/>
    <w:rsid w:val="00A202B1"/>
    <w:rsid w:val="00A271E5"/>
    <w:rsid w:val="00A27D6D"/>
    <w:rsid w:val="00A3169D"/>
    <w:rsid w:val="00A31E2E"/>
    <w:rsid w:val="00A320F9"/>
    <w:rsid w:val="00A35D82"/>
    <w:rsid w:val="00A441CC"/>
    <w:rsid w:val="00A61024"/>
    <w:rsid w:val="00A6426A"/>
    <w:rsid w:val="00A71671"/>
    <w:rsid w:val="00A85708"/>
    <w:rsid w:val="00AA2D8F"/>
    <w:rsid w:val="00AB7829"/>
    <w:rsid w:val="00AC0A7D"/>
    <w:rsid w:val="00AE3909"/>
    <w:rsid w:val="00AF0439"/>
    <w:rsid w:val="00AF1D39"/>
    <w:rsid w:val="00AF260C"/>
    <w:rsid w:val="00B047F0"/>
    <w:rsid w:val="00B15D4D"/>
    <w:rsid w:val="00B2482B"/>
    <w:rsid w:val="00B633FB"/>
    <w:rsid w:val="00B635ED"/>
    <w:rsid w:val="00B725F6"/>
    <w:rsid w:val="00B739F1"/>
    <w:rsid w:val="00B94AB0"/>
    <w:rsid w:val="00BA1F40"/>
    <w:rsid w:val="00BA7382"/>
    <w:rsid w:val="00BB0510"/>
    <w:rsid w:val="00BB5314"/>
    <w:rsid w:val="00C02E3D"/>
    <w:rsid w:val="00C23C7E"/>
    <w:rsid w:val="00C27AB5"/>
    <w:rsid w:val="00C422DB"/>
    <w:rsid w:val="00C55CFB"/>
    <w:rsid w:val="00CA517D"/>
    <w:rsid w:val="00CB548B"/>
    <w:rsid w:val="00CC5790"/>
    <w:rsid w:val="00D00E4F"/>
    <w:rsid w:val="00D05A38"/>
    <w:rsid w:val="00D1707A"/>
    <w:rsid w:val="00D21CF7"/>
    <w:rsid w:val="00D27031"/>
    <w:rsid w:val="00D27371"/>
    <w:rsid w:val="00D353F0"/>
    <w:rsid w:val="00D4743B"/>
    <w:rsid w:val="00D6068B"/>
    <w:rsid w:val="00D650B3"/>
    <w:rsid w:val="00DA14E5"/>
    <w:rsid w:val="00DB5F22"/>
    <w:rsid w:val="00DF0246"/>
    <w:rsid w:val="00DF3E07"/>
    <w:rsid w:val="00E17AB5"/>
    <w:rsid w:val="00E31E8D"/>
    <w:rsid w:val="00E332F2"/>
    <w:rsid w:val="00E34444"/>
    <w:rsid w:val="00E4506B"/>
    <w:rsid w:val="00E56AF1"/>
    <w:rsid w:val="00E65702"/>
    <w:rsid w:val="00E722A9"/>
    <w:rsid w:val="00E75826"/>
    <w:rsid w:val="00E81B7C"/>
    <w:rsid w:val="00E820DE"/>
    <w:rsid w:val="00E84118"/>
    <w:rsid w:val="00E87EFD"/>
    <w:rsid w:val="00E91C64"/>
    <w:rsid w:val="00EA5A16"/>
    <w:rsid w:val="00EB510C"/>
    <w:rsid w:val="00EB5F26"/>
    <w:rsid w:val="00EC0907"/>
    <w:rsid w:val="00EC4C4A"/>
    <w:rsid w:val="00EC539B"/>
    <w:rsid w:val="00ED5D90"/>
    <w:rsid w:val="00EE7829"/>
    <w:rsid w:val="00F070FA"/>
    <w:rsid w:val="00F21C90"/>
    <w:rsid w:val="00F31067"/>
    <w:rsid w:val="00F41DA2"/>
    <w:rsid w:val="00F44A0D"/>
    <w:rsid w:val="00F63ED4"/>
    <w:rsid w:val="00F72F3D"/>
    <w:rsid w:val="00F769FD"/>
    <w:rsid w:val="00F861CF"/>
    <w:rsid w:val="00F86271"/>
    <w:rsid w:val="00FA7931"/>
    <w:rsid w:val="00FB3C3A"/>
    <w:rsid w:val="00FC3777"/>
    <w:rsid w:val="00FC4952"/>
    <w:rsid w:val="00FC7FBA"/>
    <w:rsid w:val="00FD163D"/>
    <w:rsid w:val="00FD2078"/>
    <w:rsid w:val="00FD24C5"/>
    <w:rsid w:val="00FE694E"/>
    <w:rsid w:val="00FF2026"/>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24020"/>
  <w15:docId w15:val="{9CF9C85E-1CBF-FD45-9AC2-370AD791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S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790"/>
  </w:style>
  <w:style w:type="paragraph" w:styleId="Heading1">
    <w:name w:val="heading 1"/>
    <w:uiPriority w:val="9"/>
    <w:qFormat/>
    <w:rsid w:val="001F4136"/>
    <w:pPr>
      <w:outlineLvl w:val="0"/>
    </w:pPr>
    <w:rPr>
      <w:b/>
      <w:color w:val="000000" w:themeColor="text1"/>
      <w:sz w:val="32"/>
      <w:szCs w:val="32"/>
    </w:rPr>
  </w:style>
  <w:style w:type="paragraph" w:styleId="Heading2">
    <w:name w:val="heading 2"/>
    <w:uiPriority w:val="9"/>
    <w:unhideWhenUsed/>
    <w:qFormat/>
    <w:rsid w:val="009161DF"/>
    <w:pPr>
      <w:outlineLvl w:val="1"/>
    </w:pPr>
    <w:rPr>
      <w:b/>
      <w:color w:val="000000" w:themeColor="text1"/>
      <w:sz w:val="28"/>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sid w:val="00C422DB"/>
    <w:rPr>
      <w:b/>
      <w:sz w:val="36"/>
      <w:szCs w:val="56"/>
    </w:rPr>
  </w:style>
  <w:style w:type="paragraph" w:customStyle="1" w:styleId="Strong1">
    <w:name w:val="Strong1"/>
    <w:qFormat/>
    <w:rPr>
      <w:b/>
      <w:bCs/>
    </w:rPr>
  </w:style>
  <w:style w:type="paragraph" w:styleId="ListParagraph">
    <w:name w:val="List Paragraph"/>
    <w:uiPriority w:val="34"/>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9F3B5A"/>
    <w:pPr>
      <w:tabs>
        <w:tab w:val="center" w:pos="4513"/>
        <w:tab w:val="right" w:pos="9026"/>
      </w:tabs>
    </w:pPr>
  </w:style>
  <w:style w:type="character" w:customStyle="1" w:styleId="HeaderChar">
    <w:name w:val="Header Char"/>
    <w:basedOn w:val="DefaultParagraphFont"/>
    <w:link w:val="Header"/>
    <w:uiPriority w:val="99"/>
    <w:rsid w:val="009F3B5A"/>
  </w:style>
  <w:style w:type="paragraph" w:customStyle="1" w:styleId="p1">
    <w:name w:val="p1"/>
    <w:basedOn w:val="Normal"/>
    <w:rsid w:val="00E34444"/>
    <w:pPr>
      <w:spacing w:before="100" w:beforeAutospacing="1" w:after="100" w:afterAutospacing="1"/>
    </w:pPr>
    <w:rPr>
      <w:sz w:val="24"/>
      <w:szCs w:val="24"/>
    </w:rPr>
  </w:style>
  <w:style w:type="table" w:customStyle="1" w:styleId="GridTable1Light-Accent11">
    <w:name w:val="Grid Table 1 Light - Accent 11"/>
    <w:basedOn w:val="TableNormal"/>
    <w:next w:val="GridTable1Light-Accent1"/>
    <w:uiPriority w:val="46"/>
    <w:rsid w:val="000733B4"/>
    <w:rPr>
      <w:rFonts w:ascii="Cambria" w:eastAsia="MS Mincho" w:hAnsi="Cambria"/>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733B4"/>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316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A3169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A316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A3169D"/>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119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F33FB"/>
    <w:rPr>
      <w:i/>
      <w:iCs/>
    </w:rPr>
  </w:style>
  <w:style w:type="paragraph" w:customStyle="1" w:styleId="font-claude-response-body">
    <w:name w:val="font-claude-response-body"/>
    <w:basedOn w:val="Normal"/>
    <w:rsid w:val="009F33FB"/>
    <w:pPr>
      <w:spacing w:before="100" w:beforeAutospacing="1" w:after="100" w:afterAutospacing="1"/>
    </w:pPr>
    <w:rPr>
      <w:sz w:val="24"/>
      <w:szCs w:val="24"/>
    </w:rPr>
  </w:style>
  <w:style w:type="paragraph" w:styleId="Footer">
    <w:name w:val="footer"/>
    <w:basedOn w:val="Normal"/>
    <w:link w:val="FooterChar"/>
    <w:uiPriority w:val="99"/>
    <w:unhideWhenUsed/>
    <w:rsid w:val="00B047F0"/>
    <w:pPr>
      <w:tabs>
        <w:tab w:val="center" w:pos="4513"/>
        <w:tab w:val="right" w:pos="9026"/>
      </w:tabs>
    </w:pPr>
  </w:style>
  <w:style w:type="character" w:customStyle="1" w:styleId="FooterChar">
    <w:name w:val="Footer Char"/>
    <w:basedOn w:val="DefaultParagraphFont"/>
    <w:link w:val="Footer"/>
    <w:uiPriority w:val="99"/>
    <w:rsid w:val="00B047F0"/>
  </w:style>
  <w:style w:type="character" w:styleId="Strong">
    <w:name w:val="Strong"/>
    <w:basedOn w:val="DefaultParagraphFont"/>
    <w:uiPriority w:val="22"/>
    <w:qFormat/>
    <w:rsid w:val="00EC4C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13b610e-d3b5-490f-b165-988100e8232a}" enabled="1" method="Privileged" siteId="{5a4ba6f9-f531-4f32-9467-398f19e69de4}" contentBits="1" removed="0"/>
</clbl:labelList>
</file>

<file path=docProps/app.xml><?xml version="1.0" encoding="utf-8"?>
<Properties xmlns="http://schemas.openxmlformats.org/officeDocument/2006/extended-properties" xmlns:vt="http://schemas.openxmlformats.org/officeDocument/2006/docPropsVTypes">
  <Template>Normal.dotm</Template>
  <TotalTime>832</TotalTime>
  <Pages>11</Pages>
  <Words>4206</Words>
  <Characters>23977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Zia Farooq</cp:lastModifiedBy>
  <cp:revision>215</cp:revision>
  <dcterms:created xsi:type="dcterms:W3CDTF">2026-07-01T12:34:00Z</dcterms:created>
  <dcterms:modified xsi:type="dcterms:W3CDTF">2026-07-15T17:29:00Z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17bb3a44,2728e817,654ffb02</vt:lpwstr>
  </property>
  <property fmtid="{D5CDD505-2E9C-101B-9397-08002B2CF9AE}" pid="3" name="ClassificationContentMarkingHeaderFontProps">
    <vt:lpwstr>#000000,8,Aptos</vt:lpwstr>
  </property>
  <property fmtid="{D5CDD505-2E9C-101B-9397-08002B2CF9AE}" pid="4" name="ClassificationContentMarkingHeaderText">
    <vt:lpwstr>Begränsad delning</vt:lpwstr>
  </property>
</Properties>
</file>