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26722" w14:textId="77777777" w:rsidR="002B4116" w:rsidRPr="00DC698A" w:rsidRDefault="00DC698A">
      <w:pPr>
        <w:keepNext/>
        <w:spacing w:before="200" w:after="60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b/>
          <w:bCs/>
          <w:sz w:val="24"/>
          <w:szCs w:val="24"/>
        </w:rPr>
        <w:t>Table 3. Association of degree of alcohol use with all diffusion metrics.</w:t>
      </w:r>
    </w:p>
    <w:tbl>
      <w:tblPr>
        <w:tblW w:w="902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2336"/>
        <w:gridCol w:w="1330"/>
        <w:gridCol w:w="1331"/>
        <w:gridCol w:w="1331"/>
      </w:tblGrid>
      <w:tr w:rsidR="002B4116" w:rsidRPr="00DC698A" w14:paraId="07526729" w14:textId="77777777" w:rsidTr="00DC698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51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526723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Metric</w:t>
            </w:r>
          </w:p>
        </w:tc>
        <w:tc>
          <w:tcPr>
            <w:tcW w:w="1843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526724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Network</w:t>
            </w:r>
          </w:p>
        </w:tc>
        <w:tc>
          <w:tcPr>
            <w:tcW w:w="2336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526725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133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526726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331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526727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FDR q</w:t>
            </w:r>
          </w:p>
        </w:tc>
        <w:tc>
          <w:tcPr>
            <w:tcW w:w="1331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526728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Survives</w:t>
            </w:r>
          </w:p>
        </w:tc>
      </w:tr>
      <w:tr w:rsidR="002B4116" w:rsidRPr="00DC698A" w14:paraId="0752672B" w14:textId="77777777">
        <w:tblPrEx>
          <w:tblCellMar>
            <w:top w:w="0" w:type="dxa"/>
            <w:bottom w:w="0" w:type="dxa"/>
          </w:tblCellMar>
        </w:tblPrEx>
        <w:tc>
          <w:tcPr>
            <w:tcW w:w="9022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20" w:type="dxa"/>
              <w:right w:w="60" w:type="dxa"/>
            </w:tcMar>
          </w:tcPr>
          <w:p w14:paraId="0752672A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Tensor diffusion (DTI) — population LME, 16-metric FDR family</w:t>
            </w:r>
          </w:p>
        </w:tc>
      </w:tr>
      <w:tr w:rsidR="002B4116" w:rsidRPr="00DC698A" w14:paraId="07526732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2C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2D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2E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2F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.014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30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.053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31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39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33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34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35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36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.256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37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.464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38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40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3A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3B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3C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3D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.692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3E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.692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3F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47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41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42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43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0.075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44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.261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45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.464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46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4E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48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49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4A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0.169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4B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.022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4C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.053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4D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55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4F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50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51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52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.602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53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.692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54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5C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56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57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58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59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.660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5A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.692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5B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63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5D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5E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5F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60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61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.021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62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</w:tr>
      <w:tr w:rsidR="002B4116" w:rsidRPr="00DC698A" w14:paraId="0752676A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64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RD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65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66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0.170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67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.021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68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.053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69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71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6B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RD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6C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6D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6E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.583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6F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.692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70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78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72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RD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73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74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75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.652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76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.692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77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7F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79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RD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7A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7B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7C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7D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.021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7E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</w:tr>
      <w:tr w:rsidR="002B4116" w:rsidRPr="00DC698A" w14:paraId="07526786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80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81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82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83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.023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84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.053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85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8D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87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88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89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8A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.637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8B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.692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8C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94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8E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8F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90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91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.679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92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.692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93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9B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95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96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97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98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99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.021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9A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</w:tr>
      <w:tr w:rsidR="002B4116" w:rsidRPr="00DC698A" w14:paraId="0752679D" w14:textId="77777777">
        <w:tblPrEx>
          <w:tblCellMar>
            <w:top w:w="0" w:type="dxa"/>
            <w:bottom w:w="0" w:type="dxa"/>
          </w:tblCellMar>
        </w:tblPrEx>
        <w:tc>
          <w:tcPr>
            <w:tcW w:w="9022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20" w:type="dxa"/>
              <w:right w:w="60" w:type="dxa"/>
            </w:tcMar>
          </w:tcPr>
          <w:p w14:paraId="0752679C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Fibre-specific (FBA) — population LME</w:t>
            </w:r>
          </w:p>
        </w:tc>
      </w:tr>
      <w:tr w:rsidR="002B4116" w:rsidRPr="00DC698A" w14:paraId="075267A4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9E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9F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A0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A1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.95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A2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.95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A3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AB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A5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A6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A7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A8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.48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A9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.82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AA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B2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AC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AD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AE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AF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.91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B0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.95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B1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B9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B3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B4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B5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B6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.91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B7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.95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B8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C0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BA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BB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BC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BD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.27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BE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.82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BF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C7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C1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C2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C3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C4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.62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C5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.93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C6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CE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C8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C9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CA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CB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CC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.82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CD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D5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CF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D0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D1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D2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D3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.82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D4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DC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D6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FDC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D7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D8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D9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.42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DA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.82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DB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E3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DD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FDC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DE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DF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E0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.84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E1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.95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E2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EA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E4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FDC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E5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E6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E7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.33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E8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.82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E9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B4116" w:rsidRPr="00DC698A" w14:paraId="075267F1" w14:textId="77777777" w:rsidTr="00DC698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EB" w14:textId="77777777" w:rsidR="002B4116" w:rsidRPr="00DC698A" w:rsidRDefault="00DC6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FDC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EC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336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ED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EE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.43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EF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.82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5267F0" w14:textId="77777777" w:rsidR="002B4116" w:rsidRPr="00DC698A" w:rsidRDefault="00DC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14:paraId="075267F2" w14:textId="77777777" w:rsidR="002B4116" w:rsidRDefault="00DC698A">
      <w:pPr>
        <w:spacing w:before="60" w:after="200"/>
      </w:pPr>
      <w:r w:rsidRPr="00DC698A">
        <w:rPr>
          <w:rFonts w:ascii="Times New Roman" w:hAnsi="Times New Roman" w:cs="Times New Roman"/>
          <w:i/>
          <w:iCs/>
          <w:color w:val="333333"/>
          <w:sz w:val="24"/>
          <w:szCs w:val="24"/>
        </w:rPr>
        <w:t>Standardised population linear mixed-effects models, full covariate adjustment, random intercept for pair. Bold "Survives = Yes" indicates survival of Benjamini-Hochberg FDR correction. The association is confined to non-specific tensor diffusivity (MD/RD/AD) in the limbic-olfactory network (q = .021); the reward tensor trend does not survive correction (q = .053); every fibre-specific metric is null (q ≥ .82). AD, axial diffusivity; DTI, diffusion tensor imaging; FA, fractional anisotropy; FBA, fixel-based</w:t>
      </w:r>
      <w:r w:rsidRPr="00DC698A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 analysis; FC, fibre cross-section; FD, fibre density; FDC, fibre density and cross-section; FDR, false discovery rate; LME, linear mixed effects; MD, mean</w:t>
      </w:r>
      <w:r>
        <w:rPr>
          <w:i/>
          <w:iCs/>
          <w:color w:val="333333"/>
          <w:sz w:val="16"/>
          <w:szCs w:val="16"/>
        </w:rPr>
        <w:t xml:space="preserve"> diffusivity; RD, radial diffusivity.</w:t>
      </w:r>
    </w:p>
    <w:sectPr w:rsidR="002B4116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A0452"/>
    <w:multiLevelType w:val="hybridMultilevel"/>
    <w:tmpl w:val="5C28DB66"/>
    <w:lvl w:ilvl="0" w:tplc="9BE41878">
      <w:start w:val="1"/>
      <w:numFmt w:val="bullet"/>
      <w:lvlText w:val="●"/>
      <w:lvlJc w:val="left"/>
      <w:pPr>
        <w:ind w:left="720" w:hanging="360"/>
      </w:pPr>
    </w:lvl>
    <w:lvl w:ilvl="1" w:tplc="FD368D70">
      <w:start w:val="1"/>
      <w:numFmt w:val="bullet"/>
      <w:lvlText w:val="○"/>
      <w:lvlJc w:val="left"/>
      <w:pPr>
        <w:ind w:left="1440" w:hanging="360"/>
      </w:pPr>
    </w:lvl>
    <w:lvl w:ilvl="2" w:tplc="97BC9622">
      <w:start w:val="1"/>
      <w:numFmt w:val="bullet"/>
      <w:lvlText w:val="■"/>
      <w:lvlJc w:val="left"/>
      <w:pPr>
        <w:ind w:left="2160" w:hanging="360"/>
      </w:pPr>
    </w:lvl>
    <w:lvl w:ilvl="3" w:tplc="3940B6F2">
      <w:start w:val="1"/>
      <w:numFmt w:val="bullet"/>
      <w:lvlText w:val="●"/>
      <w:lvlJc w:val="left"/>
      <w:pPr>
        <w:ind w:left="2880" w:hanging="360"/>
      </w:pPr>
    </w:lvl>
    <w:lvl w:ilvl="4" w:tplc="CF2A0880">
      <w:start w:val="1"/>
      <w:numFmt w:val="bullet"/>
      <w:lvlText w:val="○"/>
      <w:lvlJc w:val="left"/>
      <w:pPr>
        <w:ind w:left="3600" w:hanging="360"/>
      </w:pPr>
    </w:lvl>
    <w:lvl w:ilvl="5" w:tplc="5992CA3A">
      <w:start w:val="1"/>
      <w:numFmt w:val="bullet"/>
      <w:lvlText w:val="■"/>
      <w:lvlJc w:val="left"/>
      <w:pPr>
        <w:ind w:left="4320" w:hanging="360"/>
      </w:pPr>
    </w:lvl>
    <w:lvl w:ilvl="6" w:tplc="B0482A50">
      <w:start w:val="1"/>
      <w:numFmt w:val="bullet"/>
      <w:lvlText w:val="●"/>
      <w:lvlJc w:val="left"/>
      <w:pPr>
        <w:ind w:left="5040" w:hanging="360"/>
      </w:pPr>
    </w:lvl>
    <w:lvl w:ilvl="7" w:tplc="91981BA2">
      <w:start w:val="1"/>
      <w:numFmt w:val="bullet"/>
      <w:lvlText w:val="●"/>
      <w:lvlJc w:val="left"/>
      <w:pPr>
        <w:ind w:left="5760" w:hanging="360"/>
      </w:pPr>
    </w:lvl>
    <w:lvl w:ilvl="8" w:tplc="7F1CC4E0">
      <w:start w:val="1"/>
      <w:numFmt w:val="bullet"/>
      <w:lvlText w:val="●"/>
      <w:lvlJc w:val="left"/>
      <w:pPr>
        <w:ind w:left="6480" w:hanging="360"/>
      </w:pPr>
    </w:lvl>
  </w:abstractNum>
  <w:num w:numId="1" w16cid:durableId="1893438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116"/>
    <w:rsid w:val="002B4116"/>
    <w:rsid w:val="00DC698A"/>
    <w:rsid w:val="00EB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6722"/>
  <w15:docId w15:val="{ACC1B29F-283F-4ABF-B223-D14DD77D4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3</dc:title>
  <dc:creator>Roy et al.</dc:creator>
  <cp:lastModifiedBy>Ritam Kanti Roy</cp:lastModifiedBy>
  <cp:revision>2</cp:revision>
  <dcterms:created xsi:type="dcterms:W3CDTF">2026-07-14T10:17:00Z</dcterms:created>
  <dcterms:modified xsi:type="dcterms:W3CDTF">2026-07-15T07:50:00Z</dcterms:modified>
</cp:coreProperties>
</file>