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45CC8" w14:textId="77777777" w:rsidR="0048797D" w:rsidRDefault="008F36D3">
      <w:pPr>
        <w:pStyle w:val="Heading1"/>
        <w:spacing w:after="160"/>
      </w:pPr>
      <w:r>
        <w:rPr>
          <w:b/>
          <w:bCs/>
          <w:sz w:val="28"/>
          <w:szCs w:val="28"/>
        </w:rPr>
        <w:t>Supplementary Tables</w:t>
      </w:r>
    </w:p>
    <w:p w14:paraId="1BA45CC9" w14:textId="77777777" w:rsidR="0048797D" w:rsidRPr="00680018" w:rsidRDefault="008F36D3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680018">
        <w:rPr>
          <w:rFonts w:ascii="Times New Roman" w:hAnsi="Times New Roman" w:cs="Times New Roman"/>
          <w:i/>
          <w:iCs/>
          <w:sz w:val="24"/>
          <w:szCs w:val="24"/>
        </w:rPr>
        <w:t>Supplementary Tables 1–6 accompany "What alcohol-related brain differences are made of: a multimodal twin study of structure, function and dynamics." Supplementary Table 1 (dynamic fluidity, complete evidence) supports the dynamics analysis summarised in Fig. 5; Supplementary Tables 2–6 provide full per-metric detail for the within-pair, permutation, static-connectivity, network-control, and dynamic-robustness analyses.</w:t>
      </w:r>
    </w:p>
    <w:p w14:paraId="1BA45CCA" w14:textId="77777777" w:rsidR="0048797D" w:rsidRPr="00680018" w:rsidRDefault="008F36D3">
      <w:pPr>
        <w:keepNext/>
        <w:spacing w:before="200" w:after="60"/>
        <w:rPr>
          <w:rFonts w:ascii="Times New Roman" w:hAnsi="Times New Roman" w:cs="Times New Roman"/>
          <w:sz w:val="24"/>
          <w:szCs w:val="24"/>
        </w:rPr>
      </w:pPr>
      <w:r w:rsidRPr="00680018">
        <w:rPr>
          <w:rFonts w:ascii="Times New Roman" w:hAnsi="Times New Roman" w:cs="Times New Roman"/>
          <w:b/>
          <w:bCs/>
          <w:sz w:val="24"/>
          <w:szCs w:val="24"/>
        </w:rPr>
        <w:t>Supplementary Table 1. Dynamic functional fluidity — complete evidence for the dynamics analysis.</w:t>
      </w:r>
    </w:p>
    <w:tbl>
      <w:tblPr>
        <w:tblW w:w="11057" w:type="dxa"/>
        <w:tblInd w:w="-851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1147"/>
        <w:gridCol w:w="1405"/>
        <w:gridCol w:w="1984"/>
        <w:gridCol w:w="1879"/>
        <w:gridCol w:w="2515"/>
      </w:tblGrid>
      <w:tr w:rsidR="0048797D" w:rsidRPr="00680018" w14:paraId="1BA45CD1" w14:textId="77777777" w:rsidTr="0068001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27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CCB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Network</w:t>
            </w:r>
          </w:p>
        </w:tc>
        <w:tc>
          <w:tcPr>
            <w:tcW w:w="1147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CCC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Surrogate frac P&lt;.05</w:t>
            </w:r>
          </w:p>
        </w:tc>
        <w:tc>
          <w:tcPr>
            <w:tcW w:w="1405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CCD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Surrogate Wilcoxon P</w:t>
            </w:r>
          </w:p>
        </w:tc>
        <w:tc>
          <w:tcPr>
            <w:tcW w:w="1984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CCE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Raw β (95% CI; q)</w:t>
            </w:r>
          </w:p>
        </w:tc>
        <w:tc>
          <w:tcPr>
            <w:tcW w:w="1879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CCF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Excess β (95% CI; q)</w:t>
            </w:r>
          </w:p>
        </w:tc>
        <w:tc>
          <w:tcPr>
            <w:tcW w:w="2515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CD0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Heritability A (95% CI)</w:t>
            </w:r>
          </w:p>
        </w:tc>
      </w:tr>
      <w:tr w:rsidR="0048797D" w:rsidRPr="00680018" w14:paraId="1BA45CD8" w14:textId="77777777" w:rsidTr="00680018">
        <w:tblPrEx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D2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Global</w:t>
            </w:r>
          </w:p>
        </w:tc>
        <w:tc>
          <w:tcPr>
            <w:tcW w:w="11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D3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4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D4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8.5×10⁻⁴¹</w:t>
            </w:r>
          </w:p>
        </w:tc>
        <w:tc>
          <w:tcPr>
            <w:tcW w:w="19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D5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0.153 (0.04–0.27; .011)</w:t>
            </w:r>
          </w:p>
        </w:tc>
        <w:tc>
          <w:tcPr>
            <w:tcW w:w="1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D6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0.167 (0.04–0.29; .011)</w:t>
            </w:r>
          </w:p>
        </w:tc>
        <w:tc>
          <w:tcPr>
            <w:tcW w:w="251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D7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0.69 (0.39–0.77)</w:t>
            </w:r>
          </w:p>
        </w:tc>
      </w:tr>
      <w:tr w:rsidR="0048797D" w:rsidRPr="00680018" w14:paraId="1BA45CDF" w14:textId="77777777" w:rsidTr="00680018">
        <w:tblPrEx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D9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11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DA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4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DB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1.5×10⁻⁴⁰</w:t>
            </w:r>
          </w:p>
        </w:tc>
        <w:tc>
          <w:tcPr>
            <w:tcW w:w="19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DC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0.154 (0.04–0.27; .011)</w:t>
            </w:r>
          </w:p>
        </w:tc>
        <w:tc>
          <w:tcPr>
            <w:tcW w:w="1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DD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0.177 (0.05–0.30; .008)</w:t>
            </w:r>
          </w:p>
        </w:tc>
        <w:tc>
          <w:tcPr>
            <w:tcW w:w="251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DE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0.70 (0.51–0.81)</w:t>
            </w:r>
          </w:p>
        </w:tc>
      </w:tr>
      <w:tr w:rsidR="0048797D" w:rsidRPr="00680018" w14:paraId="1BA45CE6" w14:textId="77777777" w:rsidTr="00680018">
        <w:tblPrEx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E0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11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E1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4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E2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1.3×10⁻⁴⁰</w:t>
            </w:r>
          </w:p>
        </w:tc>
        <w:tc>
          <w:tcPr>
            <w:tcW w:w="19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E3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0.175 (0.06–0.29; .010)</w:t>
            </w:r>
          </w:p>
        </w:tc>
        <w:tc>
          <w:tcPr>
            <w:tcW w:w="1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E4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0.186 (0.06–0.31; .008)</w:t>
            </w:r>
          </w:p>
        </w:tc>
        <w:tc>
          <w:tcPr>
            <w:tcW w:w="251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E5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0.58 (0.26–0.76)</w:t>
            </w:r>
          </w:p>
        </w:tc>
      </w:tr>
      <w:tr w:rsidR="0048797D" w:rsidRPr="00680018" w14:paraId="1BA45CED" w14:textId="77777777" w:rsidTr="00680018">
        <w:tblPrEx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E7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11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E8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4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E9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9.1×10⁻⁴¹</w:t>
            </w:r>
          </w:p>
        </w:tc>
        <w:tc>
          <w:tcPr>
            <w:tcW w:w="19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EA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0.172 (0.06–0.29; .010)</w:t>
            </w:r>
          </w:p>
        </w:tc>
        <w:tc>
          <w:tcPr>
            <w:tcW w:w="18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EB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0.200 (0.08–0.32; .007)</w:t>
            </w:r>
          </w:p>
        </w:tc>
        <w:tc>
          <w:tcPr>
            <w:tcW w:w="251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EC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0.62 (0.32–0.71)</w:t>
            </w:r>
          </w:p>
        </w:tc>
      </w:tr>
      <w:tr w:rsidR="0048797D" w:rsidRPr="00680018" w14:paraId="1BA45CF4" w14:textId="77777777" w:rsidTr="00680018">
        <w:tblPrEx>
          <w:tblCellMar>
            <w:top w:w="0" w:type="dxa"/>
            <w:bottom w:w="0" w:type="dxa"/>
          </w:tblCellMar>
        </w:tblPrEx>
        <w:tc>
          <w:tcPr>
            <w:tcW w:w="2127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EE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1147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EF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405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F0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5.1×10⁻³⁸</w:t>
            </w:r>
          </w:p>
        </w:tc>
        <w:tc>
          <w:tcPr>
            <w:tcW w:w="1984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F1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0.098 (−0.02–0.22; .11)</w:t>
            </w:r>
          </w:p>
        </w:tc>
        <w:tc>
          <w:tcPr>
            <w:tcW w:w="1879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F2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0.125 (0.00–0.25; .06)</w:t>
            </w:r>
          </w:p>
        </w:tc>
        <w:tc>
          <w:tcPr>
            <w:tcW w:w="2515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F3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0.59 (0.35–0.75)</w:t>
            </w:r>
          </w:p>
        </w:tc>
      </w:tr>
    </w:tbl>
    <w:p w14:paraId="1BA45CF5" w14:textId="77777777" w:rsidR="0048797D" w:rsidRPr="00680018" w:rsidRDefault="008F36D3">
      <w:pPr>
        <w:spacing w:before="60" w:after="200"/>
        <w:rPr>
          <w:rFonts w:ascii="Times New Roman" w:hAnsi="Times New Roman" w:cs="Times New Roman"/>
          <w:sz w:val="24"/>
          <w:szCs w:val="24"/>
        </w:rPr>
      </w:pPr>
      <w:r w:rsidRPr="00680018">
        <w:rPr>
          <w:rFonts w:ascii="Times New Roman" w:hAnsi="Times New Roman" w:cs="Times New Roman"/>
          <w:i/>
          <w:iCs/>
          <w:color w:val="333333"/>
          <w:sz w:val="24"/>
          <w:szCs w:val="24"/>
        </w:rPr>
        <w:t>Fluidity is genuine non-stationarity: the phase-randomised surrogate null is exceeded in essentially every subject globally (100%) and in the large majority per network, with group Wilcoxon P ≈ 10⁻³⁸ to 10⁻⁴¹. The population association with degree of alcohol use is present on the raw metric (four of five networks survive FDR) and modestly sharpened — not created — by surrogate correction. Fluidity is strongly heritable. Within-family robustness is in Supplementary Table 6. CI, confidence interval; FDR, fal</w:t>
      </w:r>
      <w:r w:rsidRPr="00680018">
        <w:rPr>
          <w:rFonts w:ascii="Times New Roman" w:hAnsi="Times New Roman" w:cs="Times New Roman"/>
          <w:i/>
          <w:iCs/>
          <w:color w:val="333333"/>
          <w:sz w:val="24"/>
          <w:szCs w:val="24"/>
        </w:rPr>
        <w:t>se discovery rate; q, FDR-adjusted P.</w:t>
      </w:r>
    </w:p>
    <w:p w14:paraId="1BA45CF6" w14:textId="77777777" w:rsidR="0048797D" w:rsidRPr="00680018" w:rsidRDefault="008F36D3">
      <w:pPr>
        <w:keepNext/>
        <w:pageBreakBefore/>
        <w:spacing w:after="60"/>
        <w:rPr>
          <w:rFonts w:ascii="Times New Roman" w:hAnsi="Times New Roman" w:cs="Times New Roman"/>
          <w:sz w:val="24"/>
          <w:szCs w:val="24"/>
        </w:rPr>
      </w:pPr>
      <w:r w:rsidRPr="00680018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2. Within-pair decomposition, full per-metric detail (MD, RD, AD).</w:t>
      </w:r>
    </w:p>
    <w:tbl>
      <w:tblPr>
        <w:tblW w:w="902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300"/>
        <w:gridCol w:w="1330"/>
        <w:gridCol w:w="1330"/>
        <w:gridCol w:w="1331"/>
        <w:gridCol w:w="1331"/>
      </w:tblGrid>
      <w:tr w:rsidR="0048797D" w:rsidRPr="00680018" w14:paraId="1BA45CF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CF7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Network</w:t>
            </w:r>
          </w:p>
        </w:tc>
        <w:tc>
          <w:tcPr>
            <w:tcW w:w="13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CF8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Metric</w:t>
            </w:r>
          </w:p>
        </w:tc>
        <w:tc>
          <w:tcPr>
            <w:tcW w:w="133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CF9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Pooled BF β (P)</w:t>
            </w:r>
          </w:p>
        </w:tc>
        <w:tc>
          <w:tcPr>
            <w:tcW w:w="133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CFA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Pooled WF β (P)</w:t>
            </w:r>
          </w:p>
        </w:tc>
        <w:tc>
          <w:tcPr>
            <w:tcW w:w="1331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CFB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 BF β (P)</w:t>
            </w:r>
          </w:p>
        </w:tc>
        <w:tc>
          <w:tcPr>
            <w:tcW w:w="1331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CFC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 WF β (P)</w:t>
            </w:r>
          </w:p>
        </w:tc>
      </w:tr>
      <w:tr w:rsidR="0048797D" w:rsidRPr="00680018" w14:paraId="1BA45D0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FE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CFF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00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0.18 (.008)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01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0.01 (.86)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02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0.01 (.91)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03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0.09 (.10)</w:t>
            </w:r>
          </w:p>
        </w:tc>
      </w:tr>
      <w:tr w:rsidR="0048797D" w:rsidRPr="00680018" w14:paraId="1BA45D0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05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06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RD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07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0.18 (.008)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08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0.01 (.88)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09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0.01 (.94)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0A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0.08 (.11)</w:t>
            </w:r>
          </w:p>
        </w:tc>
      </w:tr>
      <w:tr w:rsidR="0048797D" w:rsidRPr="00680018" w14:paraId="1BA45D1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0C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0D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0E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0.17 (.01)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0F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0.01 (.81)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10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0.02 (.87)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11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0.09 (.089)</w:t>
            </w:r>
          </w:p>
        </w:tc>
      </w:tr>
      <w:tr w:rsidR="0048797D" w:rsidRPr="00680018" w14:paraId="1BA45D1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13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14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15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0.21 (.001)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16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0.03 (.58)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17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0.12 (.23)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18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0.04 (.36)</w:t>
            </w:r>
          </w:p>
        </w:tc>
      </w:tr>
      <w:tr w:rsidR="0048797D" w:rsidRPr="00680018" w14:paraId="1BA45D2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1A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1B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RD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1C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0.21 (.001)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1D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0.04 (.58)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1E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0.13 (.20)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1F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0.05 (.33)</w:t>
            </w:r>
          </w:p>
        </w:tc>
      </w:tr>
      <w:tr w:rsidR="0048797D" w:rsidRPr="00680018" w14:paraId="1BA45D2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21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22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23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0.21 (.001)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24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0.03 (.59)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25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0.11 (.28)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26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0.04 (.43)</w:t>
            </w:r>
          </w:p>
        </w:tc>
      </w:tr>
    </w:tbl>
    <w:p w14:paraId="1BA45D28" w14:textId="77777777" w:rsidR="0048797D" w:rsidRPr="00680018" w:rsidRDefault="008F36D3">
      <w:pPr>
        <w:spacing w:before="60" w:after="200"/>
        <w:rPr>
          <w:rFonts w:ascii="Times New Roman" w:hAnsi="Times New Roman" w:cs="Times New Roman"/>
          <w:sz w:val="24"/>
          <w:szCs w:val="24"/>
        </w:rPr>
      </w:pPr>
      <w:r w:rsidRPr="00680018">
        <w:rPr>
          <w:rFonts w:ascii="Times New Roman" w:hAnsi="Times New Roman" w:cs="Times New Roman"/>
          <w:i/>
          <w:iCs/>
          <w:color w:val="333333"/>
          <w:sz w:val="24"/>
          <w:szCs w:val="24"/>
        </w:rPr>
        <w:t>BF, between-family; WF, within-family; AD, axial diffusivity; MD, mean diffusivity; MZ, monozygotic; RD, radial diffusivity.</w:t>
      </w:r>
    </w:p>
    <w:p w14:paraId="1BA45D29" w14:textId="77777777" w:rsidR="0048797D" w:rsidRPr="00680018" w:rsidRDefault="008F36D3">
      <w:pPr>
        <w:keepNext/>
        <w:pageBreakBefore/>
        <w:spacing w:after="60"/>
        <w:rPr>
          <w:rFonts w:ascii="Times New Roman" w:hAnsi="Times New Roman" w:cs="Times New Roman"/>
          <w:sz w:val="24"/>
          <w:szCs w:val="24"/>
        </w:rPr>
      </w:pPr>
      <w:r w:rsidRPr="00680018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3. Monozygotic-discordant oriented permutation, all metrics.</w:t>
      </w:r>
    </w:p>
    <w:tbl>
      <w:tblPr>
        <w:tblW w:w="902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300"/>
        <w:gridCol w:w="1330"/>
        <w:gridCol w:w="1330"/>
        <w:gridCol w:w="1331"/>
        <w:gridCol w:w="1331"/>
      </w:tblGrid>
      <w:tr w:rsidR="0048797D" w:rsidRPr="00680018" w14:paraId="1BA45D3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2A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Network</w:t>
            </w:r>
          </w:p>
        </w:tc>
        <w:tc>
          <w:tcPr>
            <w:tcW w:w="130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2B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Metric</w:t>
            </w:r>
          </w:p>
        </w:tc>
        <w:tc>
          <w:tcPr>
            <w:tcW w:w="133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2C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Pairs</w:t>
            </w:r>
          </w:p>
        </w:tc>
        <w:tc>
          <w:tcPr>
            <w:tcW w:w="133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2D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Positive %</w:t>
            </w:r>
          </w:p>
        </w:tc>
        <w:tc>
          <w:tcPr>
            <w:tcW w:w="1331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2E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Perm P</w:t>
            </w:r>
          </w:p>
        </w:tc>
        <w:tc>
          <w:tcPr>
            <w:tcW w:w="1331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2F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FDR q</w:t>
            </w:r>
          </w:p>
        </w:tc>
      </w:tr>
      <w:tr w:rsidR="0048797D" w:rsidRPr="00680018" w14:paraId="1BA45D3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31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32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33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34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35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36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48797D" w:rsidRPr="00680018" w14:paraId="1BA45D3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38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39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RD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3A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3B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3C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3D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48797D" w:rsidRPr="00680018" w14:paraId="1BA45D4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3F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40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41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42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43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44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48797D" w:rsidRPr="00680018" w14:paraId="1BA45D4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46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47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48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49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4A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4B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48797D" w:rsidRPr="00680018" w14:paraId="1BA45D5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4D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4E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RD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4F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50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51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52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48797D" w:rsidRPr="00680018" w14:paraId="1BA45D5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54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55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56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57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58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331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59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</w:tbl>
    <w:p w14:paraId="1BA45D5B" w14:textId="77777777" w:rsidR="0048797D" w:rsidRPr="00680018" w:rsidRDefault="008F36D3">
      <w:pPr>
        <w:spacing w:before="60" w:after="200"/>
        <w:rPr>
          <w:rFonts w:ascii="Times New Roman" w:hAnsi="Times New Roman" w:cs="Times New Roman"/>
          <w:sz w:val="24"/>
          <w:szCs w:val="24"/>
        </w:rPr>
      </w:pPr>
      <w:r w:rsidRPr="00680018">
        <w:rPr>
          <w:rFonts w:ascii="Times New Roman" w:hAnsi="Times New Roman" w:cs="Times New Roman"/>
          <w:i/>
          <w:iCs/>
          <w:color w:val="333333"/>
          <w:sz w:val="24"/>
          <w:szCs w:val="24"/>
        </w:rPr>
        <w:t>Oriented sign-flip permutation within the 21 MZ-discordant pairs (10,000 permutations). AD, axial diffusivity; FDR, false discovery rate; MD, mean diffusivity; RD, radial diffusivity.</w:t>
      </w:r>
    </w:p>
    <w:p w14:paraId="1BA45D5C" w14:textId="77777777" w:rsidR="0048797D" w:rsidRPr="00680018" w:rsidRDefault="008F36D3">
      <w:pPr>
        <w:keepNext/>
        <w:pageBreakBefore/>
        <w:spacing w:after="60"/>
        <w:rPr>
          <w:rFonts w:ascii="Times New Roman" w:hAnsi="Times New Roman" w:cs="Times New Roman"/>
          <w:sz w:val="24"/>
          <w:szCs w:val="24"/>
        </w:rPr>
      </w:pPr>
      <w:r w:rsidRPr="00680018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4. Static functional connectivity, task activation, and mediation (all null after correction).</w:t>
      </w:r>
    </w:p>
    <w:tbl>
      <w:tblPr>
        <w:tblW w:w="902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3"/>
        <w:gridCol w:w="1560"/>
        <w:gridCol w:w="619"/>
        <w:gridCol w:w="1740"/>
      </w:tblGrid>
      <w:tr w:rsidR="0048797D" w:rsidRPr="00680018" w14:paraId="1BA45D61" w14:textId="77777777" w:rsidTr="008F36D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3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5D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Test</w:t>
            </w:r>
          </w:p>
        </w:tc>
        <w:tc>
          <w:tcPr>
            <w:tcW w:w="15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5E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Estimate (β)</w:t>
            </w:r>
          </w:p>
        </w:tc>
        <w:tc>
          <w:tcPr>
            <w:tcW w:w="619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5F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74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60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FDR q</w:t>
            </w:r>
          </w:p>
        </w:tc>
      </w:tr>
      <w:tr w:rsidR="0048797D" w:rsidRPr="00680018" w14:paraId="1BA45D66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62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Static FC within-network, Limbic-olfactory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63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6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64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.48</w:t>
            </w:r>
          </w:p>
        </w:tc>
        <w:tc>
          <w:tcPr>
            <w:tcW w:w="1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65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48797D" w:rsidRPr="00680018" w14:paraId="1BA45D6B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67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Static FC within-network, DMN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68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6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69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.84</w:t>
            </w:r>
          </w:p>
        </w:tc>
        <w:tc>
          <w:tcPr>
            <w:tcW w:w="1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6A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48797D" w:rsidRPr="00680018" w14:paraId="1BA45D70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6C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Static FC within-network, Reward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6D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6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6E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.43</w:t>
            </w:r>
          </w:p>
        </w:tc>
        <w:tc>
          <w:tcPr>
            <w:tcW w:w="1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6F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48797D" w:rsidRPr="00680018" w14:paraId="1BA45D75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71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Static FC within-network, Salience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72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6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73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.68</w:t>
            </w:r>
          </w:p>
        </w:tc>
        <w:tc>
          <w:tcPr>
            <w:tcW w:w="1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74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48797D" w:rsidRPr="00680018" w14:paraId="1BA45D7A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76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DMN segregation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77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6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78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1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79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48797D" w:rsidRPr="00680018" w14:paraId="1BA45D7F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7B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Task activation, Limbic-olfactory (gambling)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7C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6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7D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.018</w:t>
            </w:r>
          </w:p>
        </w:tc>
        <w:tc>
          <w:tcPr>
            <w:tcW w:w="1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7E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48797D" w:rsidRPr="00680018" w14:paraId="1BA45D84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80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Task activation, Limbic-</w:t>
            </w:r>
            <w:proofErr w:type="spellStart"/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olf</w:t>
            </w:r>
            <w:proofErr w:type="spellEnd"/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 in DZ (same sign)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81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6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82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1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83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48797D" w:rsidRPr="00680018" w14:paraId="1BA45D89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85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Mediation (</w:t>
            </w:r>
            <w:proofErr w:type="spellStart"/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structure→function</w:t>
            </w:r>
            <w:proofErr w:type="spellEnd"/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), LON ACME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86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619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87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74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88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.37</w:t>
            </w:r>
          </w:p>
        </w:tc>
      </w:tr>
    </w:tbl>
    <w:p w14:paraId="1BA45D8A" w14:textId="77777777" w:rsidR="0048797D" w:rsidRPr="00680018" w:rsidRDefault="008F36D3">
      <w:pPr>
        <w:spacing w:before="60" w:after="200"/>
        <w:rPr>
          <w:rFonts w:ascii="Times New Roman" w:hAnsi="Times New Roman" w:cs="Times New Roman"/>
          <w:sz w:val="24"/>
          <w:szCs w:val="24"/>
        </w:rPr>
      </w:pPr>
      <w:r w:rsidRPr="00680018">
        <w:rPr>
          <w:rFonts w:ascii="Times New Roman" w:hAnsi="Times New Roman" w:cs="Times New Roman"/>
          <w:i/>
          <w:iCs/>
          <w:color w:val="333333"/>
          <w:sz w:val="24"/>
          <w:szCs w:val="24"/>
        </w:rPr>
        <w:t>Static within-network functional connectivity shows no association with degree of alcohol use in any network (all |β| ≤ 0.06, P ≥ .43). Task activation persists in dizygotic pairs with the same sign — the signature of genetic mediation rather than within-person exposure — and no mediation pathway survives correction. ACME, average causal mediation effect; DZ, dizygotic; FC, functional connectivity; LON, limbic-olfactory network.</w:t>
      </w:r>
    </w:p>
    <w:p w14:paraId="1BA45D8B" w14:textId="77777777" w:rsidR="0048797D" w:rsidRPr="00680018" w:rsidRDefault="008F36D3">
      <w:pPr>
        <w:keepNext/>
        <w:pageBreakBefore/>
        <w:spacing w:after="60"/>
        <w:rPr>
          <w:rFonts w:ascii="Times New Roman" w:hAnsi="Times New Roman" w:cs="Times New Roman"/>
          <w:sz w:val="24"/>
          <w:szCs w:val="24"/>
        </w:rPr>
      </w:pPr>
      <w:r w:rsidRPr="00680018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5. Network control theory — heritable architecture, no within-person alcohol effect.</w:t>
      </w:r>
    </w:p>
    <w:tbl>
      <w:tblPr>
        <w:tblW w:w="902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2846"/>
        <w:gridCol w:w="1741"/>
        <w:gridCol w:w="1741"/>
      </w:tblGrid>
      <w:tr w:rsidR="0048797D" w:rsidRPr="00680018" w14:paraId="1BA45D90" w14:textId="77777777" w:rsidTr="008F36D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94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8C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Quantity</w:t>
            </w:r>
          </w:p>
        </w:tc>
        <w:tc>
          <w:tcPr>
            <w:tcW w:w="2846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8D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Finding</w:t>
            </w:r>
          </w:p>
        </w:tc>
        <w:tc>
          <w:tcPr>
            <w:tcW w:w="1741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8E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Severity P (q)</w:t>
            </w:r>
          </w:p>
        </w:tc>
        <w:tc>
          <w:tcPr>
            <w:tcW w:w="1741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8F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 perm P (q)</w:t>
            </w:r>
          </w:p>
        </w:tc>
      </w:tr>
      <w:tr w:rsidR="0048797D" w:rsidRPr="00680018" w14:paraId="1BA45D95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91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Control-metric heritability (mean A)</w:t>
            </w:r>
          </w:p>
        </w:tc>
        <w:tc>
          <w:tcPr>
            <w:tcW w:w="28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92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MIND 0.21–0.23; structural connectome 0.34–0.37</w:t>
            </w:r>
          </w:p>
        </w:tc>
        <w:tc>
          <w:tcPr>
            <w:tcW w:w="17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93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7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94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48797D" w:rsidRPr="00680018" w14:paraId="1BA45D9A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96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Peak heritability</w:t>
            </w:r>
          </w:p>
        </w:tc>
        <w:tc>
          <w:tcPr>
            <w:tcW w:w="28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97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up to A ≈ 0.85 (reward structural)</w:t>
            </w:r>
          </w:p>
        </w:tc>
        <w:tc>
          <w:tcPr>
            <w:tcW w:w="17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98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7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99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48797D" w:rsidRPr="00680018" w14:paraId="1BA45D9F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9B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Control energy ~ severity (all networks)</w:t>
            </w:r>
          </w:p>
        </w:tc>
        <w:tc>
          <w:tcPr>
            <w:tcW w:w="28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9C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No association (both substrates)</w:t>
            </w:r>
          </w:p>
        </w:tc>
        <w:tc>
          <w:tcPr>
            <w:tcW w:w="17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9D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≥ .34 (≥ .34)</w:t>
            </w:r>
          </w:p>
        </w:tc>
        <w:tc>
          <w:tcPr>
            <w:tcW w:w="17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9E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≥ .43 (.89)</w:t>
            </w:r>
          </w:p>
        </w:tc>
      </w:tr>
      <w:tr w:rsidR="0048797D" w:rsidRPr="00680018" w14:paraId="1BA45DA4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A0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Modal / average controllability ~ severity</w:t>
            </w:r>
          </w:p>
        </w:tc>
        <w:tc>
          <w:tcPr>
            <w:tcW w:w="2846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A1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No association</w:t>
            </w:r>
          </w:p>
        </w:tc>
        <w:tc>
          <w:tcPr>
            <w:tcW w:w="1741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A2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≥ .34 (≥ .34)</w:t>
            </w:r>
          </w:p>
        </w:tc>
        <w:tc>
          <w:tcPr>
            <w:tcW w:w="1741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A3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≥ .43 (.89)</w:t>
            </w:r>
          </w:p>
        </w:tc>
      </w:tr>
    </w:tbl>
    <w:p w14:paraId="1BA45DA5" w14:textId="77777777" w:rsidR="0048797D" w:rsidRPr="00680018" w:rsidRDefault="008F36D3">
      <w:pPr>
        <w:spacing w:before="60" w:after="200"/>
        <w:rPr>
          <w:rFonts w:ascii="Times New Roman" w:hAnsi="Times New Roman" w:cs="Times New Roman"/>
          <w:sz w:val="24"/>
          <w:szCs w:val="24"/>
        </w:rPr>
      </w:pPr>
      <w:r w:rsidRPr="00680018">
        <w:rPr>
          <w:rFonts w:ascii="Times New Roman" w:hAnsi="Times New Roman" w:cs="Times New Roman"/>
          <w:i/>
          <w:iCs/>
          <w:color w:val="333333"/>
          <w:sz w:val="24"/>
          <w:szCs w:val="24"/>
        </w:rPr>
        <w:t>Network control theory on morphometric-similarity (MIND) and structural-connectome substrates. Control architecture is heritable (mean additive-genetic A = 0.21–0.37, peak ≈ 0.85) but shows no within-person alcohol association on any metric or substrate. A, additive genetic; MIND, morphometric inverse divergence; MZ, monozygotic; NCT, network control theory.</w:t>
      </w:r>
    </w:p>
    <w:p w14:paraId="1BA45DA6" w14:textId="77777777" w:rsidR="0048797D" w:rsidRPr="00680018" w:rsidRDefault="008F36D3">
      <w:pPr>
        <w:keepNext/>
        <w:pageBreakBefore/>
        <w:spacing w:after="60"/>
        <w:rPr>
          <w:rFonts w:ascii="Times New Roman" w:hAnsi="Times New Roman" w:cs="Times New Roman"/>
          <w:sz w:val="24"/>
          <w:szCs w:val="24"/>
        </w:rPr>
      </w:pPr>
      <w:r w:rsidRPr="00680018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6. Dynamic fluidity — within-family robustness battery.</w:t>
      </w:r>
    </w:p>
    <w:tbl>
      <w:tblPr>
        <w:tblW w:w="94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560"/>
        <w:gridCol w:w="1701"/>
        <w:gridCol w:w="1701"/>
        <w:gridCol w:w="1595"/>
        <w:gridCol w:w="1807"/>
      </w:tblGrid>
      <w:tr w:rsidR="0048797D" w:rsidRPr="00680018" w14:paraId="1BA45DAD" w14:textId="77777777" w:rsidTr="008F36D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34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A7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Network</w:t>
            </w:r>
          </w:p>
        </w:tc>
        <w:tc>
          <w:tcPr>
            <w:tcW w:w="1560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A8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 WF raw β (q)</w:t>
            </w:r>
          </w:p>
        </w:tc>
        <w:tc>
          <w:tcPr>
            <w:tcW w:w="1701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A9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 WF excess β (q)</w:t>
            </w:r>
          </w:p>
        </w:tc>
        <w:tc>
          <w:tcPr>
            <w:tcW w:w="1701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AA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 WF excess β (q)</w:t>
            </w:r>
          </w:p>
        </w:tc>
        <w:tc>
          <w:tcPr>
            <w:tcW w:w="1595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AB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Coef. perm P</w:t>
            </w:r>
          </w:p>
        </w:tc>
        <w:tc>
          <w:tcPr>
            <w:tcW w:w="1807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45DAC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Discord. perm P</w:t>
            </w:r>
          </w:p>
        </w:tc>
      </w:tr>
      <w:tr w:rsidR="0048797D" w:rsidRPr="00680018" w14:paraId="1BA45DB4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AE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Global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AF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0.057 (.34)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B0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0.117 (.047)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B1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0.230 (.057)</w:t>
            </w:r>
          </w:p>
        </w:tc>
        <w:tc>
          <w:tcPr>
            <w:tcW w:w="159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B2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.076</w:t>
            </w:r>
          </w:p>
        </w:tc>
        <w:tc>
          <w:tcPr>
            <w:tcW w:w="18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B3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.142</w:t>
            </w:r>
          </w:p>
        </w:tc>
      </w:tr>
      <w:tr w:rsidR="0048797D" w:rsidRPr="00680018" w14:paraId="1BA45DBB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B5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Reward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B6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0.045 (.34)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B7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0.120 (.054)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B8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0.153 (.156)</w:t>
            </w:r>
          </w:p>
        </w:tc>
        <w:tc>
          <w:tcPr>
            <w:tcW w:w="159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B9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.125</w:t>
            </w:r>
          </w:p>
        </w:tc>
        <w:tc>
          <w:tcPr>
            <w:tcW w:w="18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BA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.157</w:t>
            </w:r>
          </w:p>
        </w:tc>
      </w:tr>
      <w:tr w:rsidR="0048797D" w:rsidRPr="00680018" w14:paraId="1BA45DC2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BC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Salience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BD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0.076 (.34)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BE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0.143 (.047)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BF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0.230 (.057)</w:t>
            </w:r>
          </w:p>
        </w:tc>
        <w:tc>
          <w:tcPr>
            <w:tcW w:w="159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C0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.147</w:t>
            </w:r>
          </w:p>
        </w:tc>
        <w:tc>
          <w:tcPr>
            <w:tcW w:w="18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C1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.217</w:t>
            </w:r>
          </w:p>
        </w:tc>
      </w:tr>
      <w:tr w:rsidR="0048797D" w:rsidRPr="00680018" w14:paraId="1BA45DC9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C3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DMN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C4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0.087 (.34)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C5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0.145 (.047)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C6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0.141 (.160)</w:t>
            </w:r>
          </w:p>
        </w:tc>
        <w:tc>
          <w:tcPr>
            <w:tcW w:w="159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C7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.102</w:t>
            </w:r>
          </w:p>
        </w:tc>
        <w:tc>
          <w:tcPr>
            <w:tcW w:w="18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C8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.158</w:t>
            </w:r>
          </w:p>
        </w:tc>
      </w:tr>
      <w:tr w:rsidR="0048797D" w:rsidRPr="00680018" w14:paraId="1BA45DD0" w14:textId="77777777" w:rsidTr="008F36D3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CA" w14:textId="77777777" w:rsidR="0048797D" w:rsidRPr="00680018" w:rsidRDefault="008F3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Limbic-olfactory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CB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0.028 (.56)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CC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0.084 (.229)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CD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0.202 (.057)</w:t>
            </w:r>
          </w:p>
        </w:tc>
        <w:tc>
          <w:tcPr>
            <w:tcW w:w="1595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CE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.403</w:t>
            </w:r>
          </w:p>
        </w:tc>
        <w:tc>
          <w:tcPr>
            <w:tcW w:w="1807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A45DCF" w14:textId="77777777" w:rsidR="0048797D" w:rsidRPr="00680018" w:rsidRDefault="008F3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018">
              <w:rPr>
                <w:rFonts w:ascii="Times New Roman" w:hAnsi="Times New Roman" w:cs="Times New Roman"/>
                <w:sz w:val="24"/>
                <w:szCs w:val="24"/>
              </w:rPr>
              <w:t>.662</w:t>
            </w:r>
          </w:p>
        </w:tc>
      </w:tr>
    </w:tbl>
    <w:p w14:paraId="1BA45DD1" w14:textId="77777777" w:rsidR="0048797D" w:rsidRPr="00680018" w:rsidRDefault="008F36D3">
      <w:pPr>
        <w:spacing w:before="60" w:after="200"/>
        <w:rPr>
          <w:rFonts w:ascii="Times New Roman" w:hAnsi="Times New Roman" w:cs="Times New Roman"/>
          <w:sz w:val="24"/>
          <w:szCs w:val="24"/>
        </w:rPr>
      </w:pPr>
      <w:r w:rsidRPr="00680018"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The within-family fluidity signal is real but fragile and fails assumption-free testing. The MZ-only within-family effect on the excess metric survives FDR in three networks (global, salience, DMN; q ≈ .047) but does not survive permutation of the within-family coefficient (all coefficient-permutation P ≥ .076). The signal is carried as much by dizygotic as by monozygotic discordant pairs. Oriented discordant permutation is null in every network (P ≥ .14). Leave-one-pair-out jackknife on the global effect: </w:t>
      </w:r>
      <w:r w:rsidRPr="00680018">
        <w:rPr>
          <w:rFonts w:ascii="Times New Roman" w:hAnsi="Times New Roman" w:cs="Times New Roman"/>
          <w:i/>
          <w:iCs/>
          <w:color w:val="333333"/>
          <w:sz w:val="24"/>
          <w:szCs w:val="24"/>
        </w:rPr>
        <w:t>full-sample P = .028, range across removals [.012, .195], with Pair58 (QC-passing) accounting for the upper extreme. DZ, dizygotic; MZ, monozygotic; WF, within-family; q, FDR-adjusted P.</w:t>
      </w:r>
    </w:p>
    <w:sectPr w:rsidR="0048797D" w:rsidRPr="00680018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80217"/>
    <w:multiLevelType w:val="hybridMultilevel"/>
    <w:tmpl w:val="10D0382A"/>
    <w:lvl w:ilvl="0" w:tplc="29424512">
      <w:start w:val="1"/>
      <w:numFmt w:val="bullet"/>
      <w:lvlText w:val="●"/>
      <w:lvlJc w:val="left"/>
      <w:pPr>
        <w:ind w:left="720" w:hanging="360"/>
      </w:pPr>
    </w:lvl>
    <w:lvl w:ilvl="1" w:tplc="22A0A6E6">
      <w:start w:val="1"/>
      <w:numFmt w:val="bullet"/>
      <w:lvlText w:val="○"/>
      <w:lvlJc w:val="left"/>
      <w:pPr>
        <w:ind w:left="1440" w:hanging="360"/>
      </w:pPr>
    </w:lvl>
    <w:lvl w:ilvl="2" w:tplc="66C85D60">
      <w:start w:val="1"/>
      <w:numFmt w:val="bullet"/>
      <w:lvlText w:val="■"/>
      <w:lvlJc w:val="left"/>
      <w:pPr>
        <w:ind w:left="2160" w:hanging="360"/>
      </w:pPr>
    </w:lvl>
    <w:lvl w:ilvl="3" w:tplc="9DE87ED4">
      <w:start w:val="1"/>
      <w:numFmt w:val="bullet"/>
      <w:lvlText w:val="●"/>
      <w:lvlJc w:val="left"/>
      <w:pPr>
        <w:ind w:left="2880" w:hanging="360"/>
      </w:pPr>
    </w:lvl>
    <w:lvl w:ilvl="4" w:tplc="1F2884B4">
      <w:start w:val="1"/>
      <w:numFmt w:val="bullet"/>
      <w:lvlText w:val="○"/>
      <w:lvlJc w:val="left"/>
      <w:pPr>
        <w:ind w:left="3600" w:hanging="360"/>
      </w:pPr>
    </w:lvl>
    <w:lvl w:ilvl="5" w:tplc="5E0A0846">
      <w:start w:val="1"/>
      <w:numFmt w:val="bullet"/>
      <w:lvlText w:val="■"/>
      <w:lvlJc w:val="left"/>
      <w:pPr>
        <w:ind w:left="4320" w:hanging="360"/>
      </w:pPr>
    </w:lvl>
    <w:lvl w:ilvl="6" w:tplc="E864F5E6">
      <w:start w:val="1"/>
      <w:numFmt w:val="bullet"/>
      <w:lvlText w:val="●"/>
      <w:lvlJc w:val="left"/>
      <w:pPr>
        <w:ind w:left="5040" w:hanging="360"/>
      </w:pPr>
    </w:lvl>
    <w:lvl w:ilvl="7" w:tplc="0E0C28BA">
      <w:start w:val="1"/>
      <w:numFmt w:val="bullet"/>
      <w:lvlText w:val="●"/>
      <w:lvlJc w:val="left"/>
      <w:pPr>
        <w:ind w:left="5760" w:hanging="360"/>
      </w:pPr>
    </w:lvl>
    <w:lvl w:ilvl="8" w:tplc="B816CCE2">
      <w:start w:val="1"/>
      <w:numFmt w:val="bullet"/>
      <w:lvlText w:val="●"/>
      <w:lvlJc w:val="left"/>
      <w:pPr>
        <w:ind w:left="6480" w:hanging="360"/>
      </w:pPr>
    </w:lvl>
  </w:abstractNum>
  <w:num w:numId="1" w16cid:durableId="791828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97D"/>
    <w:rsid w:val="0048797D"/>
    <w:rsid w:val="00680018"/>
    <w:rsid w:val="008F36D3"/>
    <w:rsid w:val="00B6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45CC8"/>
  <w15:docId w15:val="{26FA5FD0-24F1-4781-B1A2-DBBD5F527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862</Words>
  <Characters>4915</Characters>
  <Application>Microsoft Office Word</Application>
  <DocSecurity>0</DocSecurity>
  <Lines>40</Lines>
  <Paragraphs>11</Paragraphs>
  <ScaleCrop>false</ScaleCrop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Tables</dc:title>
  <dc:creator>Roy et al.</dc:creator>
  <cp:lastModifiedBy>Ritam Kanti Roy</cp:lastModifiedBy>
  <cp:revision>3</cp:revision>
  <dcterms:created xsi:type="dcterms:W3CDTF">2026-07-14T10:17:00Z</dcterms:created>
  <dcterms:modified xsi:type="dcterms:W3CDTF">2026-07-15T07:56:00Z</dcterms:modified>
</cp:coreProperties>
</file>