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5699" w14:textId="77777777" w:rsidR="006B055C" w:rsidRPr="00691BC5" w:rsidRDefault="00000000">
      <w:pPr>
        <w:keepNext/>
        <w:spacing w:before="200" w:after="60"/>
        <w:rPr>
          <w:rFonts w:ascii="Times New Roman" w:hAnsi="Times New Roman" w:cs="Times New Roman"/>
          <w:sz w:val="24"/>
          <w:szCs w:val="24"/>
        </w:rPr>
      </w:pPr>
      <w:r w:rsidRPr="00691BC5">
        <w:rPr>
          <w:rFonts w:ascii="Times New Roman" w:hAnsi="Times New Roman" w:cs="Times New Roman"/>
          <w:b/>
          <w:bCs/>
          <w:sz w:val="24"/>
          <w:szCs w:val="24"/>
        </w:rPr>
        <w:t>Table 2. Heritability of circuit architecture across structural, functional, and dynamic metrics.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2955"/>
        <w:gridCol w:w="1474"/>
        <w:gridCol w:w="1474"/>
      </w:tblGrid>
      <w:tr w:rsidR="006B055C" w:rsidRPr="00691BC5" w14:paraId="54CE569F" w14:textId="77777777" w:rsidTr="00691BC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76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69A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1843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69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295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69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(95% CI)</w:t>
            </w:r>
          </w:p>
        </w:tc>
        <w:tc>
          <w:tcPr>
            <w:tcW w:w="147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69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47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69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</w:tr>
      <w:tr w:rsidR="006B055C" w:rsidRPr="00691BC5" w14:paraId="54CE56A5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0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0.74 (0.50–0.80)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AB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6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0.65 (0.11–0.82)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B1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C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0.79 (0.41–0.85)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A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B7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2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0.67 (0.14–0.81)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BD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8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0.74 (0.39–0.80)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C3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E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B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0.64 (0.09–0.82)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C9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4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0.79 (0.36–0.84)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CF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A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0.67 (0.17–0.82)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C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D5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0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0.74 (0.49–0.80)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DB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6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0.68 (0.10–0.81)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E1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C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0.79 (0.44–0.85)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D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E7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2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0.66 (0.19–0.80)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ED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8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0.40 (0.00–0.77)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F3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E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E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0.71 (0.28–0.82)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F9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4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0.31 (0.00–0.73)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6FF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A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0.60 (0.02–0.74)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6F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Falconer</w:t>
            </w:r>
          </w:p>
        </w:tc>
      </w:tr>
      <w:tr w:rsidR="006B055C" w:rsidRPr="00691BC5" w14:paraId="54CE5705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0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0.67 (0.16–0.83)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0B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6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0.69 (0.15–0.83)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11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C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0.65 (0.18–0.82)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0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17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2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0.82 (0.45–0.87)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1D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8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0.67 (0.36–0.91)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23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E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1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0.73 (0.28–0.91)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29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4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0.90 (0.50–0.94)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2F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A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0.81 (0.49–0.93)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2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35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0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0.66 (0.36–0.88)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3B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6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0.63 (0.15–0.89)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41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C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0.90 (0.50–0.93)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3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47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2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FDC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0.90 (0.67–0.93)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4D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8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Cortical 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0.41 (0.00–0.57)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53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E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Cortical 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4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0.47 (0.18–0.62)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59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4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Cortical 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0.59 (0.32–0.67)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5F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A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Cortical FC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0.46 (0.18–0.62)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5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65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0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Segregation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0.31 (0.00–0.66)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6B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6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Segregation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 (0.00–0.49)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71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C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Fluidity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D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E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0.69 (0.39–0.77)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6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77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2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Fluidity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3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4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0.70 (0.51–0.81)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7D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8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Fluidity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9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A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0.58 (0.26–0.76)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B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C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83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E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Fluidity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7F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0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0.62 (0.32–0.71)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1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2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  <w:tr w:rsidR="006B055C" w:rsidRPr="00691BC5" w14:paraId="54CE5789" w14:textId="77777777" w:rsidTr="00691BC5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4" w14:textId="77777777" w:rsidR="006B055C" w:rsidRPr="00691BC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Fluidity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5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295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6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0.59 (0.35–0.75)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7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E5788" w14:textId="77777777" w:rsidR="006B055C" w:rsidRPr="00691BC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C5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</w:tr>
    </w:tbl>
    <w:p w14:paraId="54CE578A" w14:textId="77777777" w:rsidR="006B055C" w:rsidRPr="00691BC5" w:rsidRDefault="00000000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91BC5">
        <w:rPr>
          <w:rFonts w:ascii="Times New Roman" w:hAnsi="Times New Roman" w:cs="Times New Roman"/>
          <w:i/>
          <w:iCs/>
          <w:color w:val="333333"/>
          <w:sz w:val="24"/>
          <w:szCs w:val="24"/>
        </w:rPr>
        <w:t>Additive-genetic (A) and shared-environment (C) variance, covariate-</w:t>
      </w:r>
      <w:proofErr w:type="spellStart"/>
      <w:r w:rsidRPr="00691BC5">
        <w:rPr>
          <w:rFonts w:ascii="Times New Roman" w:hAnsi="Times New Roman" w:cs="Times New Roman"/>
          <w:i/>
          <w:iCs/>
          <w:color w:val="333333"/>
          <w:sz w:val="24"/>
          <w:szCs w:val="24"/>
        </w:rPr>
        <w:t>residualised</w:t>
      </w:r>
      <w:proofErr w:type="spellEnd"/>
      <w:r w:rsidRPr="00691BC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and standardised. Tensor diffusivity metrics use Falconer decomposition with bootstrap CIs; fibre, functional-connectivity and fluidity metrics use the classical ACE model with nonparametric bootstrap CIs and the boundary-corrected likelihood-ratio test for dropping C. A is the dominant component for essentially every metric. With 39 DZ pairs, A and C are not precisely separable, so C is reported with its estimate rather than dropped; the boundary-corrected LRT never rejected the presence of C (all P ≥ 0.13). A, additive genetic; AD, axial diffusivity; C, shared environment; CI, confidence interval; FA, fractional anisotropy; FC, fibre cross-section (structural) / functional connectivity; FD, fibre density; FDC, fibre density and cross-section; MD, mean diffusivity; RD, radial diffusivity; DMN, default mode network.</w:t>
      </w:r>
    </w:p>
    <w:sectPr w:rsidR="006B055C" w:rsidRPr="00691BC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5FA0"/>
    <w:multiLevelType w:val="hybridMultilevel"/>
    <w:tmpl w:val="EC700664"/>
    <w:lvl w:ilvl="0" w:tplc="7818B370">
      <w:start w:val="1"/>
      <w:numFmt w:val="bullet"/>
      <w:lvlText w:val="●"/>
      <w:lvlJc w:val="left"/>
      <w:pPr>
        <w:ind w:left="720" w:hanging="360"/>
      </w:pPr>
    </w:lvl>
    <w:lvl w:ilvl="1" w:tplc="6D50FF02">
      <w:start w:val="1"/>
      <w:numFmt w:val="bullet"/>
      <w:lvlText w:val="○"/>
      <w:lvlJc w:val="left"/>
      <w:pPr>
        <w:ind w:left="1440" w:hanging="360"/>
      </w:pPr>
    </w:lvl>
    <w:lvl w:ilvl="2" w:tplc="805CBCCC">
      <w:start w:val="1"/>
      <w:numFmt w:val="bullet"/>
      <w:lvlText w:val="■"/>
      <w:lvlJc w:val="left"/>
      <w:pPr>
        <w:ind w:left="2160" w:hanging="360"/>
      </w:pPr>
    </w:lvl>
    <w:lvl w:ilvl="3" w:tplc="62F02FAA">
      <w:start w:val="1"/>
      <w:numFmt w:val="bullet"/>
      <w:lvlText w:val="●"/>
      <w:lvlJc w:val="left"/>
      <w:pPr>
        <w:ind w:left="2880" w:hanging="360"/>
      </w:pPr>
    </w:lvl>
    <w:lvl w:ilvl="4" w:tplc="EBE68AA2">
      <w:start w:val="1"/>
      <w:numFmt w:val="bullet"/>
      <w:lvlText w:val="○"/>
      <w:lvlJc w:val="left"/>
      <w:pPr>
        <w:ind w:left="3600" w:hanging="360"/>
      </w:pPr>
    </w:lvl>
    <w:lvl w:ilvl="5" w:tplc="EBB4EB78">
      <w:start w:val="1"/>
      <w:numFmt w:val="bullet"/>
      <w:lvlText w:val="■"/>
      <w:lvlJc w:val="left"/>
      <w:pPr>
        <w:ind w:left="4320" w:hanging="360"/>
      </w:pPr>
    </w:lvl>
    <w:lvl w:ilvl="6" w:tplc="1E1A26EC">
      <w:start w:val="1"/>
      <w:numFmt w:val="bullet"/>
      <w:lvlText w:val="●"/>
      <w:lvlJc w:val="left"/>
      <w:pPr>
        <w:ind w:left="5040" w:hanging="360"/>
      </w:pPr>
    </w:lvl>
    <w:lvl w:ilvl="7" w:tplc="75907258">
      <w:start w:val="1"/>
      <w:numFmt w:val="bullet"/>
      <w:lvlText w:val="●"/>
      <w:lvlJc w:val="left"/>
      <w:pPr>
        <w:ind w:left="5760" w:hanging="360"/>
      </w:pPr>
    </w:lvl>
    <w:lvl w:ilvl="8" w:tplc="079A2026">
      <w:start w:val="1"/>
      <w:numFmt w:val="bullet"/>
      <w:lvlText w:val="●"/>
      <w:lvlJc w:val="left"/>
      <w:pPr>
        <w:ind w:left="6480" w:hanging="360"/>
      </w:pPr>
    </w:lvl>
  </w:abstractNum>
  <w:num w:numId="1" w16cid:durableId="10666059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55C"/>
    <w:rsid w:val="00691BC5"/>
    <w:rsid w:val="006B055C"/>
    <w:rsid w:val="008B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5699"/>
  <w15:docId w15:val="{47D74763-8915-412D-A9B9-139B0715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</dc:title>
  <dc:creator>Roy et al.</dc:creator>
  <cp:lastModifiedBy>Ritam Kanti Roy</cp:lastModifiedBy>
  <cp:revision>2</cp:revision>
  <dcterms:created xsi:type="dcterms:W3CDTF">2026-07-14T10:17:00Z</dcterms:created>
  <dcterms:modified xsi:type="dcterms:W3CDTF">2026-07-15T07:49:00Z</dcterms:modified>
</cp:coreProperties>
</file>