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DCD4D" w14:textId="77777777" w:rsidR="00EB5687" w:rsidRPr="001429C0" w:rsidRDefault="001429C0">
      <w:pPr>
        <w:keepNext/>
        <w:spacing w:before="200" w:after="60"/>
        <w:rPr>
          <w:rFonts w:ascii="Times New Roman" w:hAnsi="Times New Roman" w:cs="Times New Roman"/>
          <w:sz w:val="24"/>
          <w:szCs w:val="24"/>
        </w:rPr>
      </w:pPr>
      <w:r w:rsidRPr="001429C0">
        <w:rPr>
          <w:rFonts w:ascii="Times New Roman" w:hAnsi="Times New Roman" w:cs="Times New Roman"/>
          <w:b/>
          <w:bCs/>
          <w:sz w:val="24"/>
          <w:szCs w:val="24"/>
        </w:rPr>
        <w:t>Table 4. Exclusion of free water and measured familial confounds across all four networks.</w:t>
      </w:r>
    </w:p>
    <w:tbl>
      <w:tblPr>
        <w:tblW w:w="1006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992"/>
        <w:gridCol w:w="1417"/>
        <w:gridCol w:w="1134"/>
        <w:gridCol w:w="1560"/>
      </w:tblGrid>
      <w:tr w:rsidR="00EB5687" w:rsidRPr="001429C0" w14:paraId="73CDCD53" w14:textId="77777777" w:rsidTr="001429C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62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DCD4E" w14:textId="77777777" w:rsidR="00EB5687" w:rsidRPr="001429C0" w:rsidRDefault="0014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992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DCD4F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Reward</w:t>
            </w:r>
          </w:p>
        </w:tc>
        <w:tc>
          <w:tcPr>
            <w:tcW w:w="1417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DCD50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Salience</w:t>
            </w:r>
          </w:p>
        </w:tc>
        <w:tc>
          <w:tcPr>
            <w:tcW w:w="1134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DCD51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DMN</w:t>
            </w:r>
          </w:p>
        </w:tc>
        <w:tc>
          <w:tcPr>
            <w:tcW w:w="1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DCD52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Limbic-</w:t>
            </w:r>
            <w:proofErr w:type="spellStart"/>
            <w:r w:rsidRPr="00142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olf</w:t>
            </w:r>
            <w:proofErr w:type="spellEnd"/>
            <w:r w:rsidRPr="00142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B5687" w:rsidRPr="001429C0" w14:paraId="73CDCD59" w14:textId="77777777" w:rsidTr="001429C0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4" w14:textId="77777777" w:rsidR="00EB5687" w:rsidRPr="001429C0" w:rsidRDefault="0014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Bi-tensor FW-corrected MD vs standard MD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5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6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</w:p>
        </w:tc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7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8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EB5687" w:rsidRPr="001429C0" w14:paraId="73CDCD5F" w14:textId="77777777" w:rsidTr="001429C0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A" w14:textId="77777777" w:rsidR="00EB5687" w:rsidRPr="001429C0" w:rsidRDefault="0014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Bi-tensor FW fraction vs age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B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0.270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C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0.249</w:t>
            </w:r>
          </w:p>
        </w:tc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D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0.211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5E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0.406</w:t>
            </w:r>
          </w:p>
        </w:tc>
      </w:tr>
      <w:tr w:rsidR="00EB5687" w:rsidRPr="001429C0" w14:paraId="73CDCD65" w14:textId="77777777" w:rsidTr="001429C0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0" w14:textId="77777777" w:rsidR="00EB5687" w:rsidRPr="001429C0" w:rsidRDefault="0014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NODDI ISOVF vs standard MD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1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0.285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2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0.794</w:t>
            </w:r>
          </w:p>
        </w:tc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3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0.781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4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0.242</w:t>
            </w:r>
          </w:p>
        </w:tc>
      </w:tr>
      <w:tr w:rsidR="00EB5687" w:rsidRPr="001429C0" w14:paraId="73CDCD6B" w14:textId="77777777" w:rsidTr="001429C0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6" w14:textId="77777777" w:rsidR="00EB5687" w:rsidRPr="001429C0" w:rsidRDefault="0014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NODDI ISOVF vs age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7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8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0.161</w:t>
            </w:r>
          </w:p>
        </w:tc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9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A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0.316</w:t>
            </w:r>
          </w:p>
        </w:tc>
      </w:tr>
      <w:tr w:rsidR="00EB5687" w:rsidRPr="001429C0" w14:paraId="73CDCD71" w14:textId="77777777" w:rsidTr="001429C0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C" w14:textId="77777777" w:rsidR="00EB5687" w:rsidRPr="001429C0" w:rsidRDefault="0014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Between-family β, no ISOVF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D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0.234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E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6F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0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0.245</w:t>
            </w:r>
          </w:p>
        </w:tc>
      </w:tr>
      <w:tr w:rsidR="00EB5687" w:rsidRPr="001429C0" w14:paraId="73CDCD77" w14:textId="77777777" w:rsidTr="001429C0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2" w14:textId="77777777" w:rsidR="00EB5687" w:rsidRPr="001429C0" w:rsidRDefault="0014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Between-family β, familial ISOVF added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3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0.279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4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5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6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0.248</w:t>
            </w:r>
          </w:p>
        </w:tc>
      </w:tr>
      <w:tr w:rsidR="00EB5687" w:rsidRPr="001429C0" w14:paraId="73CDCD7D" w14:textId="77777777" w:rsidTr="001429C0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8" w14:textId="77777777" w:rsidR="00EB5687" w:rsidRPr="001429C0" w:rsidRDefault="0014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ISOVF ~ degree of alcohol use: β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9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A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B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C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</w:tr>
      <w:tr w:rsidR="00EB5687" w:rsidRPr="001429C0" w14:paraId="73CDCD83" w14:textId="77777777" w:rsidTr="001429C0">
        <w:tblPrEx>
          <w:tblCellMar>
            <w:top w:w="0" w:type="dxa"/>
            <w:bottom w:w="0" w:type="dxa"/>
          </w:tblCellMar>
        </w:tblPrEx>
        <w:tc>
          <w:tcPr>
            <w:tcW w:w="496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E" w14:textId="77777777" w:rsidR="00EB5687" w:rsidRPr="001429C0" w:rsidRDefault="0014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ISOVF ~ degree of alcohol use: P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7F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.093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80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.240</w:t>
            </w:r>
          </w:p>
        </w:tc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81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.507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DCD82" w14:textId="77777777" w:rsidR="00EB5687" w:rsidRPr="001429C0" w:rsidRDefault="0014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9C0">
              <w:rPr>
                <w:rFonts w:ascii="Times New Roman" w:hAnsi="Times New Roman" w:cs="Times New Roman"/>
                <w:sz w:val="24"/>
                <w:szCs w:val="24"/>
              </w:rPr>
              <w:t>.064</w:t>
            </w:r>
          </w:p>
        </w:tc>
      </w:tr>
    </w:tbl>
    <w:p w14:paraId="73CDCD84" w14:textId="77777777" w:rsidR="00EB5687" w:rsidRPr="001429C0" w:rsidRDefault="001429C0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1429C0">
        <w:rPr>
          <w:rFonts w:ascii="Times New Roman" w:hAnsi="Times New Roman" w:cs="Times New Roman"/>
          <w:i/>
          <w:iCs/>
          <w:color w:val="333333"/>
          <w:sz w:val="24"/>
          <w:szCs w:val="24"/>
        </w:rPr>
        <w:t>A free-water mechanism predicts (</w:t>
      </w:r>
      <w:proofErr w:type="spellStart"/>
      <w:r w:rsidRPr="001429C0">
        <w:rPr>
          <w:rFonts w:ascii="Times New Roman" w:hAnsi="Times New Roman" w:cs="Times New Roman"/>
          <w:i/>
          <w:iCs/>
          <w:color w:val="333333"/>
          <w:sz w:val="24"/>
          <w:szCs w:val="24"/>
        </w:rPr>
        <w:t>i</w:t>
      </w:r>
      <w:proofErr w:type="spellEnd"/>
      <w:r w:rsidRPr="001429C0">
        <w:rPr>
          <w:rFonts w:ascii="Times New Roman" w:hAnsi="Times New Roman" w:cs="Times New Roman"/>
          <w:i/>
          <w:iCs/>
          <w:color w:val="333333"/>
          <w:sz w:val="24"/>
          <w:szCs w:val="24"/>
        </w:rPr>
        <w:t>) coherent free-water-corrected diffusivity, (ii) attenuation of the between-family severity coefficient when the isotropic compartment is controlled, and (iii) a same-direction isotropic–exposure relationship. None holds: the bi-tensor free-water model fails its own coherence check and is discarded; NODDI ISOVF is validated; the between-family coefficient is unattenuated (reward and limbic-olfactory unchanged or strengthened when familial ISOVF is added); and ISOVF runs opposite to the exposure in every n</w:t>
      </w:r>
      <w:r w:rsidRPr="001429C0">
        <w:rPr>
          <w:rFonts w:ascii="Times New Roman" w:hAnsi="Times New Roman" w:cs="Times New Roman"/>
          <w:i/>
          <w:iCs/>
          <w:color w:val="333333"/>
          <w:sz w:val="24"/>
          <w:szCs w:val="24"/>
        </w:rPr>
        <w:t>etwork. FW, free water; ISOVF, isotropic volume fraction; MD, mean diffusivity; NODDI, neurite orientation dispersion and density imaging.</w:t>
      </w:r>
    </w:p>
    <w:sectPr w:rsidR="00EB5687" w:rsidRPr="001429C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96859"/>
    <w:multiLevelType w:val="hybridMultilevel"/>
    <w:tmpl w:val="22743DF4"/>
    <w:lvl w:ilvl="0" w:tplc="2870976C">
      <w:start w:val="1"/>
      <w:numFmt w:val="bullet"/>
      <w:lvlText w:val="●"/>
      <w:lvlJc w:val="left"/>
      <w:pPr>
        <w:ind w:left="720" w:hanging="360"/>
      </w:pPr>
    </w:lvl>
    <w:lvl w:ilvl="1" w:tplc="7EE8FE9C">
      <w:start w:val="1"/>
      <w:numFmt w:val="bullet"/>
      <w:lvlText w:val="○"/>
      <w:lvlJc w:val="left"/>
      <w:pPr>
        <w:ind w:left="1440" w:hanging="360"/>
      </w:pPr>
    </w:lvl>
    <w:lvl w:ilvl="2" w:tplc="56DCD0CE">
      <w:start w:val="1"/>
      <w:numFmt w:val="bullet"/>
      <w:lvlText w:val="■"/>
      <w:lvlJc w:val="left"/>
      <w:pPr>
        <w:ind w:left="2160" w:hanging="360"/>
      </w:pPr>
    </w:lvl>
    <w:lvl w:ilvl="3" w:tplc="E59060A2">
      <w:start w:val="1"/>
      <w:numFmt w:val="bullet"/>
      <w:lvlText w:val="●"/>
      <w:lvlJc w:val="left"/>
      <w:pPr>
        <w:ind w:left="2880" w:hanging="360"/>
      </w:pPr>
    </w:lvl>
    <w:lvl w:ilvl="4" w:tplc="ABC8A1B8">
      <w:start w:val="1"/>
      <w:numFmt w:val="bullet"/>
      <w:lvlText w:val="○"/>
      <w:lvlJc w:val="left"/>
      <w:pPr>
        <w:ind w:left="3600" w:hanging="360"/>
      </w:pPr>
    </w:lvl>
    <w:lvl w:ilvl="5" w:tplc="A0926B1C">
      <w:start w:val="1"/>
      <w:numFmt w:val="bullet"/>
      <w:lvlText w:val="■"/>
      <w:lvlJc w:val="left"/>
      <w:pPr>
        <w:ind w:left="4320" w:hanging="360"/>
      </w:pPr>
    </w:lvl>
    <w:lvl w:ilvl="6" w:tplc="B28641D4">
      <w:start w:val="1"/>
      <w:numFmt w:val="bullet"/>
      <w:lvlText w:val="●"/>
      <w:lvlJc w:val="left"/>
      <w:pPr>
        <w:ind w:left="5040" w:hanging="360"/>
      </w:pPr>
    </w:lvl>
    <w:lvl w:ilvl="7" w:tplc="CB32EBEE">
      <w:start w:val="1"/>
      <w:numFmt w:val="bullet"/>
      <w:lvlText w:val="●"/>
      <w:lvlJc w:val="left"/>
      <w:pPr>
        <w:ind w:left="5760" w:hanging="360"/>
      </w:pPr>
    </w:lvl>
    <w:lvl w:ilvl="8" w:tplc="A67093D2">
      <w:start w:val="1"/>
      <w:numFmt w:val="bullet"/>
      <w:lvlText w:val="●"/>
      <w:lvlJc w:val="left"/>
      <w:pPr>
        <w:ind w:left="6480" w:hanging="360"/>
      </w:pPr>
    </w:lvl>
  </w:abstractNum>
  <w:num w:numId="1" w16cid:durableId="2976085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687"/>
    <w:rsid w:val="001429C0"/>
    <w:rsid w:val="002C7E00"/>
    <w:rsid w:val="00EB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DCD4D"/>
  <w15:docId w15:val="{CCCB26F6-558A-4C75-A0FF-DE28DA2B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4</dc:title>
  <dc:creator>Roy et al.</dc:creator>
  <cp:lastModifiedBy>Ritam Kanti Roy</cp:lastModifiedBy>
  <cp:revision>2</cp:revision>
  <dcterms:created xsi:type="dcterms:W3CDTF">2026-07-14T10:17:00Z</dcterms:created>
  <dcterms:modified xsi:type="dcterms:W3CDTF">2026-07-15T07:51:00Z</dcterms:modified>
</cp:coreProperties>
</file>