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sz w:val="32"/>
        </w:rPr>
        <w:t>Supplementary information: PGK1 expression across molecular subtypes and overall survival in breast cancer</w:t>
      </w:r>
    </w:p>
    <w:p>
      <w:pPr>
        <w:spacing w:after="120" w:line="276" w:lineRule="auto"/>
        <w:jc w:val="center"/>
      </w:pPr>
      <w:r>
        <w:rPr>
          <w:rFonts w:ascii="Arial" w:hAnsi="Arial" w:eastAsia="Arial"/>
          <w:sz w:val="24"/>
        </w:rPr>
        <w:t>Bu He¹, Bai Junwen²*</w:t>
      </w:r>
    </w:p>
    <w:p>
      <w:pPr>
        <w:spacing w:after="120" w:line="276" w:lineRule="auto"/>
        <w:jc w:val="center"/>
      </w:pPr>
      <w:r>
        <w:rPr>
          <w:rFonts w:ascii="Arial" w:hAnsi="Arial" w:eastAsia="Arial"/>
          <w:sz w:val="24"/>
        </w:rPr>
        <w:t>¹ Department of Breast and Thyroid Surgery, Inner Mongolia Medical University, Hohhot 010000, China; ² Affiliated Hospital of Inner Mongolia Medical University, Hohhot 010000, China; * Corresponding author: Bai Junwen, baijunwen2001@163.com</w:t>
      </w:r>
    </w:p>
    <w:p>
      <w:pPr>
        <w:spacing w:after="120" w:line="276" w:lineRule="auto"/>
      </w:pPr>
    </w:p>
    <w:p>
      <w:pPr>
        <w:spacing w:after="120" w:line="276" w:lineRule="auto"/>
      </w:pPr>
      <w:r>
        <w:rPr>
          <w:rFonts w:ascii="Arial" w:hAnsi="Arial" w:eastAsia="Arial"/>
          <w:sz w:val="24"/>
        </w:rPr>
        <w:t>This Supplementary Information accompanies the Analysis article reconstructed exclusively from official cBioPortal TCGA-BRCA PanCancer Atlas files. It contains source-file checksums, detailed numerical outputs, gene definitions, and reproducibility notes. Processed data and executable code are provided separately in ESM 2.</w:t>
      </w:r>
    </w:p>
    <w:p>
      <w:pPr>
        <w:pStyle w:val="Heading1"/>
      </w:pPr>
      <w:r>
        <w:rPr>
          <w:rFonts w:ascii="Arial" w:hAnsi="Arial" w:eastAsia="Arial"/>
          <w:sz w:val="28"/>
        </w:rPr>
        <w:t>Supplementary Methods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The complete processed-data workflow is implemented in scripts/run_all_analyses.py in ESM 2. The processed expression matrix contains the 119 unique curated panel genes derived from the official RNA-seq V2 RSEM file. The full source file is not redistributed because of its size; its exact filename, source URL, and SHA-256 checksum are provided in ESM 2. The script prepare_from_raw.py rebuilds the processed expression subset from the complete official file.</w:t>
      </w:r>
    </w:p>
    <w:p>
      <w:pPr>
        <w:spacing w:after="120" w:line="276" w:lineRule="auto"/>
      </w:pPr>
      <w:r>
        <w:rPr>
          <w:rFonts w:ascii="Arial" w:hAnsi="Arial" w:eastAsia="Arial"/>
          <w:b/>
          <w:sz w:val="24"/>
        </w:rPr>
        <w:t>Supplementary Table S1. Official source files and checksums.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rPr>
          <w:tblHeader w:val="true"/>
        </w:trPr>
        <w:tc>
          <w:tcPr>
            <w:tcW w:type="dxa" w:w="2948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Official file</w:t>
            </w:r>
          </w:p>
        </w:tc>
        <w:tc>
          <w:tcPr>
            <w:tcW w:type="dxa" w:w="2948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Local audit filename</w:t>
            </w:r>
          </w:p>
        </w:tc>
        <w:tc>
          <w:tcPr>
            <w:tcW w:type="dxa" w:w="4252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SHA-256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data_mrna_seq_v2_rsem.txt</w:t>
            </w:r>
          </w:p>
        </w:tc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data_mrna_seq_v2_rsem.txt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aba030e1f04a196ee6c2118ed37e777b533f7fd24ffd1bcbde908dcee33b2eb5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data_clinical_patient.txt</w:t>
            </w:r>
          </w:p>
        </w:tc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data_clinical_patient.txt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13c939025794ce21905ccb3409865fa08506b2283b432f8e3a3022f60a4c7682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data_clinical_sample.txt</w:t>
            </w:r>
          </w:p>
        </w:tc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data_clinical_sample.txt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e96e6e4895a6ddcdb31d508a9e8f5676ca78ce396d2f82cd111a286a17e75ca6</w:t>
            </w:r>
          </w:p>
        </w:tc>
      </w:tr>
    </w:tbl>
    <w:p>
      <w:pPr>
        <w:spacing w:after="120" w:line="276" w:lineRule="auto"/>
      </w:pPr>
    </w:p>
    <w:p>
      <w:pPr>
        <w:spacing w:after="120" w:line="276" w:lineRule="auto"/>
      </w:pPr>
      <w:r>
        <w:rPr>
          <w:rFonts w:ascii="Arial" w:hAnsi="Arial" w:eastAsia="Arial"/>
          <w:b/>
          <w:sz w:val="24"/>
        </w:rPr>
        <w:t>Supplementary Table S2. PGK1 expression summary by PAM50 subtype.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26"/>
        <w:gridCol w:w="1926"/>
        <w:gridCol w:w="1926"/>
        <w:gridCol w:w="1926"/>
        <w:gridCol w:w="1926"/>
      </w:tblGrid>
      <w:tr>
        <w:trPr>
          <w:tblHeader w:val="true"/>
        </w:trPr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PAM50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count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mean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std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median</w:t>
            </w:r>
          </w:p>
        </w:tc>
      </w:tr>
      <w:tr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Basal-like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171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13.408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0.656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13.413</w:t>
            </w:r>
          </w:p>
        </w:tc>
      </w:tr>
      <w:tr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HER2-enriched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78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13.761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0.71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13.745</w:t>
            </w:r>
          </w:p>
        </w:tc>
      </w:tr>
      <w:tr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A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499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12.758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0.534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12.677</w:t>
            </w:r>
          </w:p>
        </w:tc>
      </w:tr>
      <w:tr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B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197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13.162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0.615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13.173</w:t>
            </w:r>
          </w:p>
        </w:tc>
      </w:tr>
      <w:tr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Normal-like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36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12.818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0.595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12.867</w:t>
            </w:r>
          </w:p>
        </w:tc>
      </w:tr>
    </w:tbl>
    <w:p>
      <w:pPr>
        <w:spacing w:after="120" w:line="276" w:lineRule="auto"/>
      </w:pPr>
    </w:p>
    <w:p>
      <w:pPr>
        <w:spacing w:after="120" w:line="276" w:lineRule="auto"/>
      </w:pPr>
      <w:r>
        <w:rPr>
          <w:rFonts w:ascii="Arial" w:hAnsi="Arial" w:eastAsia="Arial"/>
          <w:b/>
          <w:sz w:val="24"/>
        </w:rPr>
        <w:t>Supplementary Table S3. Tukey-adjusted PAM50 pairwise comparisons.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76"/>
        <w:gridCol w:w="1376"/>
        <w:gridCol w:w="1376"/>
        <w:gridCol w:w="1376"/>
        <w:gridCol w:w="1376"/>
        <w:gridCol w:w="1376"/>
        <w:gridCol w:w="1376"/>
      </w:tblGrid>
      <w:tr>
        <w:trPr>
          <w:tblHeader w:val="true"/>
        </w:trPr>
        <w:tc>
          <w:tcPr>
            <w:tcW w:type="dxa" w:w="137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group1</w:t>
            </w:r>
          </w:p>
        </w:tc>
        <w:tc>
          <w:tcPr>
            <w:tcW w:type="dxa" w:w="137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group2</w:t>
            </w:r>
          </w:p>
        </w:tc>
        <w:tc>
          <w:tcPr>
            <w:tcW w:type="dxa" w:w="137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meandiff</w:t>
            </w:r>
          </w:p>
        </w:tc>
        <w:tc>
          <w:tcPr>
            <w:tcW w:type="dxa" w:w="137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p-adj</w:t>
            </w:r>
          </w:p>
        </w:tc>
        <w:tc>
          <w:tcPr>
            <w:tcW w:type="dxa" w:w="137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lower</w:t>
            </w:r>
          </w:p>
        </w:tc>
        <w:tc>
          <w:tcPr>
            <w:tcW w:type="dxa" w:w="137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upper</w:t>
            </w:r>
          </w:p>
        </w:tc>
        <w:tc>
          <w:tcPr>
            <w:tcW w:type="dxa" w:w="137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reject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Basal-like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HER2-enriched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0.3528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0.0001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0.1322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0.5733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Basal-like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A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-0.6503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-0.7933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-0.5072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Basal-like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B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-0.2464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0.0007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-0.4151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-0.0777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Basal-like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Normal-like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-0.5903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-0.8863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-0.2943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HER2-enriched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A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-1.003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-1.1995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-0.8065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HER2-enriched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B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-0.5992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-0.8151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-0.3832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HER2-enriched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Normal-like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-0.943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-1.2683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-0.6178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A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B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0.4039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0.268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0.5397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A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Normal-like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0.06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0.9768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-0.2186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0.3385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False</w:t>
            </w:r>
          </w:p>
        </w:tc>
      </w:tr>
      <w:tr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Luminal B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Normal-like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-0.3439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0.0119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-0.6364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-0.0513</w:t>
            </w:r>
          </w:p>
        </w:tc>
        <w:tc>
          <w:tcPr>
            <w:tcW w:type="dxa" w:w="13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True</w:t>
            </w:r>
          </w:p>
        </w:tc>
      </w:tr>
    </w:tbl>
    <w:p>
      <w:pPr>
        <w:spacing w:after="120" w:line="276" w:lineRule="auto"/>
      </w:pPr>
    </w:p>
    <w:p>
      <w:pPr>
        <w:spacing w:after="120" w:line="276" w:lineRule="auto"/>
      </w:pPr>
      <w:r>
        <w:rPr>
          <w:rFonts w:ascii="Arial" w:hAnsi="Arial" w:eastAsia="Arial"/>
          <w:b/>
          <w:sz w:val="24"/>
        </w:rPr>
        <w:t>Supplementary Table S4. Coefficients in the primary age-adjusted Cox model stratified by stage and PAM50.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26"/>
        <w:gridCol w:w="1926"/>
        <w:gridCol w:w="1926"/>
        <w:gridCol w:w="1926"/>
        <w:gridCol w:w="1926"/>
      </w:tblGrid>
      <w:tr>
        <w:trPr>
          <w:tblHeader w:val="true"/>
        </w:trPr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Covariate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HR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95% CI lower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95% CI upper</w:t>
            </w:r>
          </w:p>
        </w:tc>
        <w:tc>
          <w:tcPr>
            <w:tcW w:type="dxa" w:w="192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P value</w:t>
            </w:r>
          </w:p>
        </w:tc>
      </w:tr>
      <w:tr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PGK1_Z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1.411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1.134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1.757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0.002044</w:t>
            </w:r>
          </w:p>
        </w:tc>
      </w:tr>
      <w:tr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AGE10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1.393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1.193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1.628</w:t>
            </w:r>
          </w:p>
        </w:tc>
        <w:tc>
          <w:tcPr>
            <w:tcW w:type="dxa" w:w="19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2.925e-05</w:t>
            </w:r>
          </w:p>
        </w:tc>
      </w:tr>
    </w:tbl>
    <w:p>
      <w:pPr>
        <w:spacing w:after="120" w:line="276" w:lineRule="auto"/>
      </w:pPr>
    </w:p>
    <w:p>
      <w:pPr>
        <w:spacing w:after="120" w:line="276" w:lineRule="auto"/>
      </w:pPr>
      <w:r>
        <w:rPr>
          <w:rFonts w:ascii="Arial" w:hAnsi="Arial" w:eastAsia="Arial"/>
          <w:b/>
          <w:sz w:val="24"/>
        </w:rPr>
        <w:t>Supplementary Table S5. Genes included in the composite expression signatures.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rPr>
          <w:tblHeader w:val="true"/>
        </w:trPr>
        <w:tc>
          <w:tcPr>
            <w:tcW w:type="dxa" w:w="481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Signature</w:t>
            </w:r>
          </w:p>
        </w:tc>
        <w:tc>
          <w:tcPr>
            <w:tcW w:type="dxa" w:w="481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Gene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LDHA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ENO1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HK2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ALDOA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PKM2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GAPDH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PGAM1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PFKL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PFKP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TPI1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GPI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SLC2A1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HIF1A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VEGFA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ARNT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EP300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HIF1AN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EGLN1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EGLN2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EGLN3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VHL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CA9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SNAI1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VIM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FN1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TWIST1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ZEB1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ACTA2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CDH2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Cell cycle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CCNA2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Cell cycle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CCNB1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Cell cycle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CDK1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Cell cycle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MKI67</w:t>
            </w:r>
          </w:p>
        </w:tc>
      </w:tr>
      <w:tr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Cell cycle</w:t>
            </w:r>
          </w:p>
        </w:tc>
        <w:tc>
          <w:tcPr>
            <w:tcW w:type="dxa" w:w="481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PCNA</w:t>
            </w:r>
          </w:p>
        </w:tc>
      </w:tr>
    </w:tbl>
    <w:p>
      <w:pPr>
        <w:spacing w:after="120" w:line="276" w:lineRule="auto"/>
      </w:pPr>
    </w:p>
    <w:p>
      <w:pPr>
        <w:spacing w:after="120" w:line="276" w:lineRule="auto"/>
      </w:pPr>
      <w:r>
        <w:rPr>
          <w:rFonts w:ascii="Arial" w:hAnsi="Arial" w:eastAsia="Arial"/>
          <w:b/>
          <w:sz w:val="24"/>
        </w:rPr>
        <w:t>Supplementary Table S6. Correlations between PGK1 and composite signatures.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05"/>
        <w:gridCol w:w="1605"/>
        <w:gridCol w:w="1605"/>
        <w:gridCol w:w="1605"/>
        <w:gridCol w:w="1605"/>
        <w:gridCol w:w="1605"/>
      </w:tblGrid>
      <w:tr>
        <w:trPr>
          <w:tblHeader w:val="true"/>
        </w:trPr>
        <w:tc>
          <w:tcPr>
            <w:tcW w:type="dxa" w:w="1605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Signature</w:t>
            </w:r>
          </w:p>
        </w:tc>
        <w:tc>
          <w:tcPr>
            <w:tcW w:type="dxa" w:w="1605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Analysis</w:t>
            </w:r>
          </w:p>
        </w:tc>
        <w:tc>
          <w:tcPr>
            <w:tcW w:type="dxa" w:w="1605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n</w:t>
            </w:r>
          </w:p>
        </w:tc>
        <w:tc>
          <w:tcPr>
            <w:tcW w:type="dxa" w:w="1605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r</w:t>
            </w:r>
          </w:p>
        </w:tc>
        <w:tc>
          <w:tcPr>
            <w:tcW w:type="dxa" w:w="1605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P</w:t>
            </w:r>
          </w:p>
        </w:tc>
        <w:tc>
          <w:tcPr>
            <w:tcW w:type="dxa" w:w="1605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FDR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Unadjusted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1082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0.675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4.53e-145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3.62e-144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Unadjusted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1082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0.340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1.07e-30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2.14e-30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Unadjusted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1082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0.110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0.000278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0.000278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Cell cycle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Unadjusted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1082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0.442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7.26e-53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1.93e-52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Glycolysis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Partial adjusted for PAM50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981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0.575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2.17e-87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8.68e-87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HIF-1 regulatory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Partial adjusted for PAM50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981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0.305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1.34e-22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2.15e-22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EMT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Partial adjusted for PAM50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981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0.136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1.86e-05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2.13e-05</w:t>
            </w:r>
          </w:p>
        </w:tc>
      </w:tr>
      <w:tr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Cell cycle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Partial adjusted for PAM50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981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0.209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3.53e-11</w:t>
            </w:r>
          </w:p>
        </w:tc>
        <w:tc>
          <w:tcPr>
            <w:tcW w:type="dxa" w:w="16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4.71e-11</w:t>
            </w:r>
          </w:p>
        </w:tc>
      </w:tr>
    </w:tbl>
    <w:p>
      <w:pPr>
        <w:spacing w:after="120" w:line="276" w:lineRule="auto"/>
      </w:pPr>
    </w:p>
    <w:p>
      <w:pPr>
        <w:spacing w:after="120" w:line="276" w:lineRule="auto"/>
      </w:pPr>
      <w:r>
        <w:rPr>
          <w:rFonts w:ascii="Arial" w:hAnsi="Arial" w:eastAsia="Arial"/>
          <w:b/>
          <w:sz w:val="24"/>
        </w:rPr>
        <w:t>Supplementary Table S7. Fifteen strongest positive and negative panel-gene correlations with PGK1.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08"/>
        <w:gridCol w:w="2408"/>
        <w:gridCol w:w="2408"/>
        <w:gridCol w:w="2408"/>
      </w:tblGrid>
      <w:tr>
        <w:trPr>
          <w:tblHeader w:val="true"/>
        </w:trPr>
        <w:tc>
          <w:tcPr>
            <w:tcW w:type="dxa" w:w="2408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Gene</w:t>
            </w:r>
          </w:p>
        </w:tc>
        <w:tc>
          <w:tcPr>
            <w:tcW w:type="dxa" w:w="2408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Pearson_r</w:t>
            </w:r>
          </w:p>
        </w:tc>
        <w:tc>
          <w:tcPr>
            <w:tcW w:type="dxa" w:w="2408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P</w:t>
            </w:r>
          </w:p>
        </w:tc>
        <w:tc>
          <w:tcPr>
            <w:tcW w:type="dxa" w:w="2408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sz w:val="24"/>
              </w:rPr>
              <w:t>FDR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LDHA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0.565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3.83e-92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4.52e-90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PGAM1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0.561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1.22e-90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7.18e-89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ENO1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0.519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7.98e-76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3.14e-74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CA9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0.512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2.21e-73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6.52e-72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TPI1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0.505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3.24e-71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7.66e-70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GPI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0.502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3.04e-70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5.98e-69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PDK1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0.465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2.91e-59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4.91e-58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PKM2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0.462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2.16e-58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3.18e-57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CCNA2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0.442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5.16e-53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6.76e-52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GAPDH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0.430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5.54e-50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6.54e-49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MKI67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0.425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1.4e-48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1.37e-47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SLC2A1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0.424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1.7e-48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1.54e-47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PFKP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0.411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2.79e-45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2.35e-44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HIF1A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0.404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8.89e-44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6.99e-43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CCNB1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0.401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5.86e-43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4.32e-42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HIF1AN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-0.103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0.000654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0.0011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MS4A1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-0.105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0.000571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0.000977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MAPK3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-0.106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0.000462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0.000801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KLRK1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-0.119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9.03e-05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0.000172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PTEN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-0.122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5.87e-05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0.000115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TGFB1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-0.129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2.11e-05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4.3e-05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ZEB1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-0.148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1.04e-06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2.32e-06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ARNT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-0.175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7.34e-09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1.77e-08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ENG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-0.191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2.45e-10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6.02e-10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CCND1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-0.193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1.72e-10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4.31e-10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HES1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-0.211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2.34e-12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6.72e-12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EGLN2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-0.290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1.98e-22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8.97e-22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ESR1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-0.335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9.69e-30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5.2e-29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PGR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-0.367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9.66e-36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6e-35</w:t>
            </w:r>
          </w:p>
        </w:tc>
      </w:tr>
      <w:tr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BCL2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-0.426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4.78e-49</w:t>
            </w:r>
          </w:p>
        </w:tc>
        <w:tc>
          <w:tcPr>
            <w:tcW w:type="dxa" w:w="24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24"/>
              </w:rPr>
              <w:t>5.13e-48</w:t>
            </w:r>
          </w:p>
        </w:tc>
      </w:tr>
    </w:tbl>
    <w:p>
      <w:pPr>
        <w:spacing w:after="120" w:line="276" w:lineRule="auto"/>
      </w:pPr>
    </w:p>
    <w:p>
      <w:pPr>
        <w:pStyle w:val="Heading1"/>
      </w:pPr>
      <w:r>
        <w:rPr>
          <w:rFonts w:ascii="Arial" w:hAnsi="Arial" w:eastAsia="Arial"/>
          <w:sz w:val="28"/>
        </w:rPr>
        <w:t>Reproducibility notes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Follow the instructions in README.md in ESM 2. The workflow contains no absolute local paths and deterministically regenerates the reported PAM50 analyses, survival cohort characteristics, Cox models, proportional-hazards tests, Kaplan–Meier analysis, panel-gene correlations, composite-signature results, numerical tables, and both main figures.</w:t>
      </w:r>
    </w:p>
    <w:sectPr w:rsidR="00FC693F" w:rsidRPr="0006063C" w:rsidSect="00034616"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59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4E79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