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9103F" w14:textId="6A93376A" w:rsidR="001F560C" w:rsidRDefault="005E0D5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0D58">
        <w:rPr>
          <w:rFonts w:ascii="Times New Roman" w:hAnsi="Times New Roman" w:cs="Times New Roman"/>
          <w:b/>
          <w:bCs/>
          <w:sz w:val="24"/>
          <w:szCs w:val="24"/>
          <w:lang w:val="en-US"/>
        </w:rPr>
        <w:t>Instrumentation data</w:t>
      </w:r>
    </w:p>
    <w:p w14:paraId="05A5D21E" w14:textId="59F20871" w:rsidR="005E0D58" w:rsidRPr="005E0D58" w:rsidRDefault="005E0D58" w:rsidP="005E0D58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0D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Characterizations:</w:t>
      </w:r>
    </w:p>
    <w:p w14:paraId="457A7BED" w14:textId="77777777" w:rsidR="005E0D58" w:rsidRDefault="005E0D58" w:rsidP="005E0D58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crystallinity and phase composition of the synthesized nanoparticles were </w:t>
      </w:r>
      <w:proofErr w:type="spellStart"/>
      <w:r w:rsidRPr="005E0D58">
        <w:rPr>
          <w:rFonts w:ascii="Times New Roman" w:hAnsi="Times New Roman" w:cs="Times New Roman"/>
          <w:color w:val="000000" w:themeColor="text1"/>
          <w:sz w:val="24"/>
          <w:szCs w:val="24"/>
        </w:rPr>
        <w:t>analyzed</w:t>
      </w:r>
      <w:proofErr w:type="spellEnd"/>
      <w:r w:rsidRPr="005E0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an X-ray diffractometer </w:t>
      </w:r>
      <w:proofErr w:type="spellStart"/>
      <w:r w:rsidRPr="005E0D58">
        <w:rPr>
          <w:rFonts w:ascii="Times New Roman" w:hAnsi="Times New Roman" w:cs="Times New Roman"/>
          <w:color w:val="000000" w:themeColor="text1"/>
          <w:sz w:val="24"/>
          <w:szCs w:val="24"/>
        </w:rPr>
        <w:t>Ringaku</w:t>
      </w:r>
      <w:proofErr w:type="spellEnd"/>
      <w:r w:rsidRPr="005E0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5E0D58">
        <w:rPr>
          <w:rFonts w:ascii="Times New Roman" w:hAnsi="Times New Roman" w:cs="Times New Roman"/>
          <w:color w:val="000000" w:themeColor="text1"/>
          <w:sz w:val="24"/>
          <w:szCs w:val="24"/>
        </w:rPr>
        <w:t>Miniflex</w:t>
      </w:r>
      <w:proofErr w:type="spellEnd"/>
      <w:r w:rsidRPr="005E0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600) equipped with Cu Ka radiation (1.54178 A) operating over a Bragg angle (2θ) range of 10°–80°. Functional groups present on the nanoparticle surface were identified by Fourier-transform infrared (FTIR) spectroscopy using Shimadzu spectrophotometer (Serial No. A224160) in the wavenumber range of 4000 to 500 cm⁻¹. Surface and morphological and elemental composition were study, by field-emission scanning electron microscopy (FE-SEM; JSM-7610F) energy coupled with energy- dispersive X-ray spectroscopy (EDS). Internal morphology and particle size distribution were further investigated using transmission electron microscopy (TEM), on </w:t>
      </w:r>
      <w:proofErr w:type="spellStart"/>
      <w:r w:rsidRPr="005E0D58">
        <w:rPr>
          <w:rFonts w:ascii="Times New Roman" w:hAnsi="Times New Roman" w:cs="Times New Roman"/>
          <w:color w:val="000000" w:themeColor="text1"/>
          <w:sz w:val="24"/>
          <w:szCs w:val="24"/>
        </w:rPr>
        <w:t>Thermo</w:t>
      </w:r>
      <w:proofErr w:type="spellEnd"/>
      <w:r w:rsidRPr="005E0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Scientific Themis 300 G3 using an accelerating voltage of 300 kV.</w:t>
      </w:r>
    </w:p>
    <w:p w14:paraId="14279134" w14:textId="5407DE96" w:rsidR="00D61AF5" w:rsidRDefault="00D61AF5" w:rsidP="00D61AF5">
      <w:pPr>
        <w:spacing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1E2930C" wp14:editId="63C59DAA">
            <wp:extent cx="5296302" cy="5159375"/>
            <wp:effectExtent l="0" t="0" r="0" b="3175"/>
            <wp:docPr id="540982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132" cy="5161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A296E0" w14:textId="4E8E07E3" w:rsidR="00A74ADA" w:rsidRPr="00F454CD" w:rsidRDefault="00A74ADA" w:rsidP="00A74AD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54CD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Pr="00F454C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7DA4">
        <w:rPr>
          <w:rFonts w:ascii="Times New Roman" w:hAnsi="Times New Roman" w:cs="Times New Roman"/>
          <w:sz w:val="24"/>
          <w:szCs w:val="24"/>
        </w:rPr>
        <w:t>(a-d)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54CD">
        <w:rPr>
          <w:rFonts w:ascii="Times New Roman" w:hAnsi="Times New Roman" w:cs="Times New Roman"/>
          <w:sz w:val="24"/>
          <w:szCs w:val="24"/>
        </w:rPr>
        <w:t xml:space="preserve">Antimicrobial activity </w:t>
      </w:r>
      <w:r>
        <w:rPr>
          <w:rFonts w:ascii="Times New Roman" w:hAnsi="Times New Roman" w:cs="Times New Roman"/>
          <w:sz w:val="24"/>
          <w:szCs w:val="24"/>
        </w:rPr>
        <w:t>Ciprofloxacin</w:t>
      </w:r>
      <w:r w:rsidRPr="00F454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against </w:t>
      </w:r>
      <w:r w:rsidRPr="00F454CD">
        <w:rPr>
          <w:rFonts w:ascii="Times New Roman" w:hAnsi="Times New Roman" w:cs="Times New Roman"/>
          <w:sz w:val="24"/>
          <w:szCs w:val="24"/>
        </w:rPr>
        <w:t>Gram-positive and Gram-Negative bacteria</w:t>
      </w:r>
    </w:p>
    <w:p w14:paraId="4DE26994" w14:textId="77777777" w:rsidR="00D61AF5" w:rsidRPr="005E0D58" w:rsidRDefault="00D61AF5" w:rsidP="005E0D58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F60835" w14:textId="77777777" w:rsidR="005E0D58" w:rsidRPr="005E0D58" w:rsidRDefault="005E0D5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5E0D58" w:rsidRPr="005E0D58" w:rsidSect="00DB690B">
      <w:pgSz w:w="11906" w:h="16838" w:code="9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D58"/>
    <w:rsid w:val="001F560C"/>
    <w:rsid w:val="002D65C5"/>
    <w:rsid w:val="003E4B61"/>
    <w:rsid w:val="004C464C"/>
    <w:rsid w:val="005E0D58"/>
    <w:rsid w:val="00896E3B"/>
    <w:rsid w:val="00A74ADA"/>
    <w:rsid w:val="00C11964"/>
    <w:rsid w:val="00D45034"/>
    <w:rsid w:val="00D61AF5"/>
    <w:rsid w:val="00DB690B"/>
    <w:rsid w:val="00DB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BDFD1"/>
  <w15:chartTrackingRefBased/>
  <w15:docId w15:val="{147A39BE-E66D-4936-8A8F-FD627297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D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D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D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D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D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D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D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D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D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D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D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D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D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D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D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D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D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Pranali Vighe</dc:creator>
  <cp:keywords/>
  <dc:description/>
  <cp:lastModifiedBy>Pranali Vighe</cp:lastModifiedBy>
  <cp:revision>2</cp:revision>
  <dcterms:created xsi:type="dcterms:W3CDTF">2026-07-23T19:34:00Z</dcterms:created>
  <dcterms:modified xsi:type="dcterms:W3CDTF">2026-07-23T19:48:00Z</dcterms:modified>
</cp:coreProperties>
</file>