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535" w:rsidRDefault="00864B3D">
      <w:r>
        <w:rPr>
          <w:rFonts w:hint="eastAsia"/>
        </w:rPr>
        <w:t>T</w:t>
      </w:r>
      <w:r>
        <w:t>able S2</w:t>
      </w:r>
      <w:r w:rsidR="009E6594">
        <w:t xml:space="preserve"> Association of embryo morphological features with z-score and birthweight </w:t>
      </w:r>
      <w:r w:rsidR="009E6594">
        <w:rPr>
          <w:rFonts w:hint="eastAsia"/>
        </w:rPr>
        <w:t>in</w:t>
      </w:r>
      <w:r w:rsidR="009E6594">
        <w:t xml:space="preserve"> frozen-thawed cycles resulting in singletons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83"/>
        <w:gridCol w:w="960"/>
        <w:gridCol w:w="1815"/>
        <w:gridCol w:w="748"/>
        <w:gridCol w:w="1795"/>
        <w:gridCol w:w="801"/>
        <w:gridCol w:w="2345"/>
        <w:gridCol w:w="874"/>
        <w:gridCol w:w="2364"/>
        <w:gridCol w:w="673"/>
      </w:tblGrid>
      <w:tr w:rsidR="00864B3D" w:rsidRPr="00864B3D" w:rsidTr="009E6594">
        <w:trPr>
          <w:trHeight w:val="28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Arial Unicode MS" w:eastAsia="Arial Unicode MS" w:hAnsi="Arial Unicode MS" w:cs="Arial Unicode MS"/>
                <w:kern w:val="0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Arial Unicode MS" w:eastAsia="Arial Unicode MS" w:hAnsi="Arial Unicode MS" w:cs="Arial Unicode MS"/>
                <w:kern w:val="0"/>
                <w:sz w:val="12"/>
                <w:szCs w:val="12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Arial Unicode MS" w:eastAsia="Arial Unicode MS" w:hAnsi="Arial Unicode MS" w:cs="Arial Unicode MS"/>
                <w:kern w:val="0"/>
                <w:sz w:val="12"/>
                <w:szCs w:val="12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Arial Unicode MS" w:eastAsia="Arial Unicode MS" w:hAnsi="Arial Unicode MS" w:cs="Arial Unicode MS"/>
                <w:kern w:val="0"/>
                <w:sz w:val="12"/>
                <w:szCs w:val="12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Arial Unicode MS" w:eastAsia="Arial Unicode MS" w:hAnsi="Arial Unicode MS" w:cs="Arial Unicode MS"/>
                <w:kern w:val="0"/>
                <w:sz w:val="12"/>
                <w:szCs w:val="12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Arial Unicode MS" w:eastAsia="Arial Unicode MS" w:hAnsi="Arial Unicode MS" w:cs="Arial Unicode MS"/>
                <w:kern w:val="0"/>
                <w:sz w:val="12"/>
                <w:szCs w:val="12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Arial Unicode MS" w:eastAsia="Arial Unicode MS" w:hAnsi="Arial Unicode MS" w:cs="Arial Unicode MS"/>
                <w:kern w:val="0"/>
                <w:sz w:val="12"/>
                <w:szCs w:val="12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Arial Unicode MS" w:eastAsia="Arial Unicode MS" w:hAnsi="Arial Unicode MS" w:cs="Arial Unicode MS"/>
                <w:kern w:val="0"/>
                <w:sz w:val="12"/>
                <w:szCs w:val="12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Arial Unicode MS" w:eastAsia="Arial Unicode MS" w:hAnsi="Arial Unicode MS" w:cs="Arial Unicode MS"/>
                <w:kern w:val="0"/>
                <w:sz w:val="12"/>
                <w:szCs w:val="12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Arial Unicode MS" w:eastAsia="Arial Unicode MS" w:hAnsi="Arial Unicode MS" w:cs="Arial Unicode MS"/>
                <w:kern w:val="0"/>
                <w:sz w:val="12"/>
                <w:szCs w:val="12"/>
              </w:rPr>
            </w:pPr>
          </w:p>
        </w:tc>
      </w:tr>
      <w:tr w:rsidR="00864B3D" w:rsidRPr="00864B3D" w:rsidTr="009E6594">
        <w:trPr>
          <w:trHeight w:val="285"/>
        </w:trPr>
        <w:tc>
          <w:tcPr>
            <w:tcW w:w="5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1848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z-score</w:t>
            </w:r>
          </w:p>
        </w:tc>
        <w:tc>
          <w:tcPr>
            <w:tcW w:w="2241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birthweight</w:t>
            </w:r>
          </w:p>
        </w:tc>
      </w:tr>
      <w:tr w:rsidR="00864B3D" w:rsidRPr="00864B3D" w:rsidTr="009E6594">
        <w:trPr>
          <w:trHeight w:val="28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Arial Unicode MS" w:eastAsia="Arial Unicode MS" w:hAnsi="Arial Unicode MS" w:cs="Arial Unicode MS"/>
                <w:kern w:val="0"/>
                <w:sz w:val="12"/>
                <w:szCs w:val="12"/>
              </w:rPr>
            </w:pPr>
          </w:p>
        </w:tc>
        <w:tc>
          <w:tcPr>
            <w:tcW w:w="9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unadjusted</w:t>
            </w:r>
          </w:p>
        </w:tc>
        <w:tc>
          <w:tcPr>
            <w:tcW w:w="9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adjusted</w:t>
            </w:r>
          </w:p>
        </w:tc>
        <w:tc>
          <w:tcPr>
            <w:tcW w:w="11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unadjusted</w:t>
            </w:r>
          </w:p>
        </w:tc>
        <w:tc>
          <w:tcPr>
            <w:tcW w:w="10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adjusted</w:t>
            </w:r>
          </w:p>
        </w:tc>
      </w:tr>
      <w:tr w:rsidR="00864B3D" w:rsidRPr="00864B3D" w:rsidTr="009E6594">
        <w:trPr>
          <w:trHeight w:val="285"/>
        </w:trPr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Coefficient (95% CI)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P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Coefficient (95% CI)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P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Coefficient (95% CI)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P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Coefficient (95% CI)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P</w:t>
            </w:r>
          </w:p>
        </w:tc>
      </w:tr>
      <w:tr w:rsidR="00864B3D" w:rsidRPr="00864B3D" w:rsidTr="009E6594">
        <w:trPr>
          <w:trHeight w:val="28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Early cleavage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yes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0.02 (-0.35 to 0.39)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0.918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0.08 (-0.3 to 0.45)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0.687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141.4 (-37.61 to 320.4)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0.122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36.58 (-117.81 to 190.96)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0.642</w:t>
            </w:r>
          </w:p>
        </w:tc>
      </w:tr>
      <w:tr w:rsidR="00864B3D" w:rsidRPr="00864B3D" w:rsidTr="009E6594">
        <w:trPr>
          <w:trHeight w:val="28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no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</w:tr>
      <w:tr w:rsidR="00864B3D" w:rsidRPr="00864B3D" w:rsidTr="009E6594">
        <w:trPr>
          <w:trHeight w:val="28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Fragmentation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≧10%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-0.35 (-0.95 to 0.24)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0.24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-0.43 (-1.03 to 0.18)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0.164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-102.84 (-389.66 to 183.99)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0.482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-217.59 (-458.48 to 23.31)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0.077</w:t>
            </w:r>
          </w:p>
        </w:tc>
      </w:tr>
      <w:tr w:rsidR="00864B3D" w:rsidRPr="00864B3D" w:rsidTr="009E6594">
        <w:trPr>
          <w:trHeight w:val="28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&lt;10%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</w:tr>
      <w:tr w:rsidR="00864B3D" w:rsidRPr="00864B3D" w:rsidTr="009E6594">
        <w:trPr>
          <w:trHeight w:val="28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Cell number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&gt;8 cells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-0.22 (-0.71 to 0.27)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0.373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-0.15 (-0.65 to 0.35)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0.555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-154.59 (-390.81 to 81.64)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0.2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-90.06 (-290.88 to 110.76)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0.379</w:t>
            </w:r>
          </w:p>
        </w:tc>
      </w:tr>
      <w:tr w:rsidR="00864B3D" w:rsidRPr="00864B3D" w:rsidTr="009E6594">
        <w:trPr>
          <w:trHeight w:val="28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&lt;8 cells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-0.24 (-0.67 to 0.19)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0.267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-0.25 (-0.69 to 0.2)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0.273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-144.74 (-351.45 to 61.98)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0.17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-80.64 (-259.22 to 97.94)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0.376</w:t>
            </w:r>
          </w:p>
        </w:tc>
      </w:tr>
      <w:tr w:rsidR="00864B3D" w:rsidRPr="00864B3D" w:rsidTr="009E6594">
        <w:trPr>
          <w:trHeight w:val="28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8 cells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</w:tr>
      <w:tr w:rsidR="00864B3D" w:rsidRPr="00864B3D" w:rsidTr="009E6594">
        <w:trPr>
          <w:trHeight w:val="28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Symmentry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uneven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-0.14 (-0.56 to 0.28)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0.518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-0.12 (-0.55 to 0.31)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0.581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-76.58 (-279.42 to 126.25)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0.459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-29.9 (-203.68 to 143.88)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0.736</w:t>
            </w:r>
          </w:p>
        </w:tc>
      </w:tr>
      <w:tr w:rsidR="00864B3D" w:rsidRPr="00864B3D" w:rsidTr="009E6594">
        <w:trPr>
          <w:trHeight w:val="28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even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</w:tr>
      <w:tr w:rsidR="00864B3D" w:rsidRPr="00864B3D" w:rsidTr="009E6594">
        <w:trPr>
          <w:trHeight w:val="28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Cleavage score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Grade I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0.8 (-0.48 to 2.07)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0.221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0.99 (-0.3 to 2.28)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0.133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388.7 (-229.48 to 1006.87)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0.218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386.53 (-139.17 to 912.23)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0.15</w:t>
            </w:r>
          </w:p>
        </w:tc>
      </w:tr>
      <w:tr w:rsidR="00864B3D" w:rsidRPr="00864B3D" w:rsidTr="009E6594">
        <w:trPr>
          <w:trHeight w:val="28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Grade II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0.28 (-0.2 to 0.76)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0.257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0.35 (-0.15 to 0.85)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0.17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-18.48 (-251.15 to 214.19)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0.876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154.42 (-48.43 to 357.26)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0.136</w:t>
            </w:r>
          </w:p>
        </w:tc>
      </w:tr>
      <w:tr w:rsidR="00864B3D" w:rsidRPr="00864B3D" w:rsidTr="009E6594">
        <w:trPr>
          <w:trHeight w:val="285"/>
        </w:trPr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Grade III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</w:tr>
    </w:tbl>
    <w:p w:rsidR="00864B3D" w:rsidRDefault="009E6594">
      <w:r>
        <w:rPr>
          <w:rFonts w:hint="eastAsia"/>
        </w:rPr>
        <w:t>M</w:t>
      </w:r>
      <w:r>
        <w:t xml:space="preserve">odels were adjusted for </w:t>
      </w:r>
      <w:r w:rsidRPr="00CC7140">
        <w:t>maternal age, BMI, parity, peak estradiol level</w:t>
      </w:r>
      <w:r>
        <w:t xml:space="preserve">, </w:t>
      </w:r>
      <w:r w:rsidRPr="00CC7140">
        <w:t>endometrial thickness</w:t>
      </w:r>
      <w:r>
        <w:t>,</w:t>
      </w:r>
      <w:r w:rsidRPr="00CC7140">
        <w:t xml:space="preserve"> insemination protocol (IVF or ICSI), female etiologies (tubal factor, endometriosis), order of transfer (1 or &gt;1), mode of delivery (virginal or cesarean) and year of treatment</w:t>
      </w:r>
      <w:r>
        <w:t xml:space="preserve">. Analyses for birthweight were also adjusted for gestational age and gender. </w:t>
      </w:r>
    </w:p>
    <w:p w:rsidR="00864B3D" w:rsidRDefault="00864B3D">
      <w:pPr>
        <w:widowControl/>
        <w:jc w:val="left"/>
      </w:pPr>
      <w:bookmarkStart w:id="0" w:name="_GoBack"/>
      <w:bookmarkEnd w:id="0"/>
    </w:p>
    <w:sectPr w:rsidR="00864B3D" w:rsidSect="00864B3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535" w:rsidRDefault="00C71535" w:rsidP="00C71535">
      <w:r>
        <w:separator/>
      </w:r>
    </w:p>
  </w:endnote>
  <w:endnote w:type="continuationSeparator" w:id="0">
    <w:p w:rsidR="00C71535" w:rsidRDefault="00C71535" w:rsidP="00C71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535" w:rsidRDefault="00C71535" w:rsidP="00C71535">
      <w:r>
        <w:separator/>
      </w:r>
    </w:p>
  </w:footnote>
  <w:footnote w:type="continuationSeparator" w:id="0">
    <w:p w:rsidR="00C71535" w:rsidRDefault="00C71535" w:rsidP="00C715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ADA"/>
    <w:rsid w:val="00864B3D"/>
    <w:rsid w:val="009E6594"/>
    <w:rsid w:val="00C71535"/>
    <w:rsid w:val="00CF01C8"/>
    <w:rsid w:val="00E6316E"/>
    <w:rsid w:val="00FC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8F8F98"/>
  <w15:chartTrackingRefBased/>
  <w15:docId w15:val="{D4E6CC6F-A72C-45B3-AFDF-E1A87AD1E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5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15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15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15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王新丽</dc:creator>
  <cp:keywords/>
  <dc:description/>
  <cp:lastModifiedBy>ASUS</cp:lastModifiedBy>
  <cp:revision>4</cp:revision>
  <dcterms:created xsi:type="dcterms:W3CDTF">2021-06-30T16:09:00Z</dcterms:created>
  <dcterms:modified xsi:type="dcterms:W3CDTF">2021-07-21T03:08:00Z</dcterms:modified>
</cp:coreProperties>
</file>