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9EB21E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480" w:lineRule="auto"/>
        <w:ind w:firstLine="420" w:firstLineChars="200"/>
        <w:jc w:val="center"/>
        <w:textAlignment w:val="auto"/>
        <w:rPr>
          <w:rFonts w:hint="default" w:ascii="Times New Roman" w:hAnsi="Times New Roman" w:eastAsia="宋体" w:cs="Times New Roman"/>
          <w:szCs w:val="21"/>
        </w:rPr>
      </w:pPr>
      <w:r>
        <w:rPr>
          <w:rFonts w:hint="default" w:ascii="Times New Roman" w:hAnsi="Times New Roman" w:eastAsia="宋体" w:cs="Times New Roman"/>
          <w:szCs w:val="21"/>
        </w:rPr>
        <w:t>Table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Cs w:val="21"/>
        </w:rPr>
        <w:t>1 Comparison of Key Properties between Phase Change Composites and Sintered Hollow Bricks</w:t>
      </w:r>
    </w:p>
    <w:tbl>
      <w:tblPr>
        <w:tblStyle w:val="2"/>
        <w:tblW w:w="8363" w:type="dxa"/>
        <w:jc w:val="center"/>
        <w:tblCellSpacing w:w="15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60"/>
        <w:gridCol w:w="3745"/>
        <w:gridCol w:w="3458"/>
      </w:tblGrid>
      <w:tr w14:paraId="15289AA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  <w:jc w:val="center"/>
        </w:trPr>
        <w:tc>
          <w:tcPr>
            <w:tcW w:w="1089" w:type="dxa"/>
            <w:tcBorders>
              <w:top w:val="nil"/>
              <w:bottom w:val="single" w:color="auto" w:sz="12" w:space="0"/>
            </w:tcBorders>
            <w:vAlign w:val="center"/>
          </w:tcPr>
          <w:p w14:paraId="452417F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Comparison Dimension</w:t>
            </w:r>
          </w:p>
        </w:tc>
        <w:tc>
          <w:tcPr>
            <w:tcW w:w="3729" w:type="dxa"/>
            <w:tcBorders>
              <w:top w:val="nil"/>
              <w:bottom w:val="single" w:color="auto" w:sz="12" w:space="0"/>
            </w:tcBorders>
            <w:vAlign w:val="center"/>
          </w:tcPr>
          <w:p w14:paraId="14B759B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Fatty Acid-based Composite Phase Change Material</w:t>
            </w:r>
          </w:p>
        </w:tc>
        <w:tc>
          <w:tcPr>
            <w:tcW w:w="3425" w:type="dxa"/>
            <w:tcBorders>
              <w:top w:val="nil"/>
              <w:bottom w:val="single" w:color="auto" w:sz="12" w:space="0"/>
            </w:tcBorders>
            <w:vAlign w:val="center"/>
          </w:tcPr>
          <w:p w14:paraId="58FA4B5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Sintered Hollow Brick</w:t>
            </w:r>
          </w:p>
        </w:tc>
      </w:tr>
      <w:tr w14:paraId="4090E32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089" w:type="dxa"/>
            <w:vAlign w:val="center"/>
          </w:tcPr>
          <w:p w14:paraId="51C2AB6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Functional Positioning</w:t>
            </w:r>
          </w:p>
        </w:tc>
        <w:tc>
          <w:tcPr>
            <w:tcW w:w="3729" w:type="dxa"/>
            <w:vAlign w:val="center"/>
          </w:tcPr>
          <w:p w14:paraId="3437408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Latent heat storage and temperature regulation within the temperature zone</w:t>
            </w:r>
          </w:p>
        </w:tc>
        <w:tc>
          <w:tcPr>
            <w:tcW w:w="3425" w:type="dxa"/>
            <w:vAlign w:val="center"/>
          </w:tcPr>
          <w:p w14:paraId="46B2486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Structural enclosure matrix</w:t>
            </w:r>
          </w:p>
        </w:tc>
      </w:tr>
      <w:tr w14:paraId="4811147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089" w:type="dxa"/>
            <w:vAlign w:val="center"/>
          </w:tcPr>
          <w:p w14:paraId="1166FE1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Temperature Regulation Mechanism</w:t>
            </w:r>
          </w:p>
        </w:tc>
        <w:tc>
          <w:tcPr>
            <w:tcW w:w="3729" w:type="dxa"/>
            <w:vAlign w:val="center"/>
          </w:tcPr>
          <w:p w14:paraId="372DED8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Solid-liquid phase change latent heat, enabling time redistribution of heat absorption, storage, and release</w:t>
            </w:r>
          </w:p>
        </w:tc>
        <w:tc>
          <w:tcPr>
            <w:tcW w:w="3425" w:type="dxa"/>
            <w:vAlign w:val="center"/>
          </w:tcPr>
          <w:p w14:paraId="77FD361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Sensible heat storage and thermal resistance</w:t>
            </w:r>
          </w:p>
        </w:tc>
      </w:tr>
      <w:tr w14:paraId="71446BD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089" w:type="dxa"/>
            <w:vAlign w:val="center"/>
          </w:tcPr>
          <w:p w14:paraId="524A88F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Dynamic Thermal Response</w:t>
            </w:r>
          </w:p>
        </w:tc>
        <w:tc>
          <w:tcPr>
            <w:tcW w:w="3729" w:type="dxa"/>
            <w:vAlign w:val="center"/>
          </w:tcPr>
          <w:p w14:paraId="1075825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Peak reduction, peak delay, and significant temperature fluctuation convergence</w:t>
            </w:r>
          </w:p>
        </w:tc>
        <w:tc>
          <w:tcPr>
            <w:tcW w:w="3425" w:type="dxa"/>
            <w:vAlign w:val="center"/>
          </w:tcPr>
          <w:p w14:paraId="0715FAD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Primarily reduces heat flux; limited dynamic peak-shaving capability</w:t>
            </w:r>
          </w:p>
        </w:tc>
      </w:tr>
      <w:tr w14:paraId="65AA9AA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089" w:type="dxa"/>
            <w:vAlign w:val="center"/>
          </w:tcPr>
          <w:p w14:paraId="68E9BBE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Phase Change Temperature Zone</w:t>
            </w:r>
          </w:p>
        </w:tc>
        <w:tc>
          <w:tcPr>
            <w:tcW w:w="3729" w:type="dxa"/>
            <w:vAlign w:val="center"/>
          </w:tcPr>
          <w:p w14:paraId="69DA213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Customizable via eutectic ratio design</w:t>
            </w:r>
          </w:p>
        </w:tc>
        <w:tc>
          <w:tcPr>
            <w:tcW w:w="3425" w:type="dxa"/>
            <w:vAlign w:val="center"/>
          </w:tcPr>
          <w:p w14:paraId="70396A2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No phase change platform; temperature zone not customizable</w:t>
            </w:r>
          </w:p>
        </w:tc>
      </w:tr>
      <w:tr w14:paraId="4882720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089" w:type="dxa"/>
            <w:vAlign w:val="center"/>
          </w:tcPr>
          <w:p w14:paraId="5CFC114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Heat Transfer Capability</w:t>
            </w:r>
          </w:p>
        </w:tc>
        <w:tc>
          <w:tcPr>
            <w:tcW w:w="3729" w:type="dxa"/>
            <w:vAlign w:val="center"/>
          </w:tcPr>
          <w:p w14:paraId="4D306A8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Intrinsically low; can be enhanced by thermally conductive fillers</w:t>
            </w:r>
          </w:p>
        </w:tc>
        <w:tc>
          <w:tcPr>
            <w:tcW w:w="3425" w:type="dxa"/>
            <w:vAlign w:val="center"/>
          </w:tcPr>
          <w:p w14:paraId="55736F5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Affected by porosity and moisture content; overall medium-low thermal conductivity</w:t>
            </w:r>
          </w:p>
        </w:tc>
      </w:tr>
      <w:tr w14:paraId="78DE9DB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089" w:type="dxa"/>
            <w:vAlign w:val="center"/>
          </w:tcPr>
          <w:p w14:paraId="4F5E780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Leakage Risk</w:t>
            </w:r>
          </w:p>
        </w:tc>
        <w:tc>
          <w:tcPr>
            <w:tcW w:w="3729" w:type="dxa"/>
            <w:vAlign w:val="center"/>
          </w:tcPr>
          <w:p w14:paraId="763052F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Requires shape-stabilized encapsulation and interface control to suppress leakage</w:t>
            </w:r>
          </w:p>
        </w:tc>
        <w:tc>
          <w:tcPr>
            <w:tcW w:w="3425" w:type="dxa"/>
            <w:vAlign w:val="center"/>
          </w:tcPr>
          <w:p w14:paraId="36EB386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No leakage issues</w:t>
            </w:r>
          </w:p>
        </w:tc>
      </w:tr>
      <w:tr w14:paraId="6E33212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089" w:type="dxa"/>
            <w:vAlign w:val="center"/>
          </w:tcPr>
          <w:p w14:paraId="0F54F2A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Mechanics &amp; Construction</w:t>
            </w:r>
          </w:p>
        </w:tc>
        <w:tc>
          <w:tcPr>
            <w:tcW w:w="3729" w:type="dxa"/>
            <w:vAlign w:val="center"/>
          </w:tcPr>
          <w:p w14:paraId="48ED0E9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Needs integration with substrate; limited standalone load-bearing capacity</w:t>
            </w:r>
          </w:p>
        </w:tc>
        <w:tc>
          <w:tcPr>
            <w:tcW w:w="3425" w:type="dxa"/>
            <w:vAlign w:val="center"/>
          </w:tcPr>
          <w:p w14:paraId="4955733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High compressive strength; mature construction system</w:t>
            </w:r>
          </w:p>
        </w:tc>
      </w:tr>
      <w:tr w14:paraId="7DD4EB8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089" w:type="dxa"/>
            <w:vAlign w:val="center"/>
          </w:tcPr>
          <w:p w14:paraId="3A8C039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Durability &amp; Safety</w:t>
            </w:r>
          </w:p>
        </w:tc>
        <w:tc>
          <w:tcPr>
            <w:tcW w:w="3729" w:type="dxa"/>
            <w:vAlign w:val="center"/>
          </w:tcPr>
          <w:p w14:paraId="2872FF6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Requires verification of thermal cycling stability and fireproofing design</w:t>
            </w:r>
          </w:p>
        </w:tc>
        <w:tc>
          <w:tcPr>
            <w:tcW w:w="3425" w:type="dxa"/>
            <w:vAlign w:val="center"/>
          </w:tcPr>
          <w:p w14:paraId="5EBC6E0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Fire-resistant and weather-resistant; stable long-term service</w:t>
            </w:r>
          </w:p>
        </w:tc>
      </w:tr>
      <w:tr w14:paraId="1D8BA4A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089" w:type="dxa"/>
            <w:vAlign w:val="center"/>
          </w:tcPr>
          <w:p w14:paraId="6C5DCCE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Engineering Integration</w:t>
            </w:r>
          </w:p>
        </w:tc>
        <w:tc>
          <w:tcPr>
            <w:tcW w:w="3729" w:type="dxa"/>
            <w:vAlign w:val="center"/>
          </w:tcPr>
          <w:p w14:paraId="658B833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Suitable for interlayers and functional layers embedded in walls or panels</w:t>
            </w:r>
          </w:p>
        </w:tc>
        <w:tc>
          <w:tcPr>
            <w:tcW w:w="3425" w:type="dxa"/>
            <w:vAlign w:val="center"/>
          </w:tcPr>
          <w:p w14:paraId="34362DE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Suitable for main masonry and infill wall materials</w:t>
            </w:r>
          </w:p>
        </w:tc>
      </w:tr>
    </w:tbl>
    <w:p w14:paraId="657B568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szCs w:val="21"/>
        </w:rPr>
      </w:pPr>
    </w:p>
    <w:p w14:paraId="02182B7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szCs w:val="21"/>
        </w:rPr>
      </w:pPr>
      <w:r>
        <w:rPr>
          <w:rFonts w:hint="default" w:ascii="Times New Roman" w:hAnsi="Times New Roman" w:eastAsia="宋体" w:cs="Times New Roman"/>
          <w:szCs w:val="21"/>
        </w:rPr>
        <w:t xml:space="preserve">Table 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Cs w:val="21"/>
        </w:rPr>
        <w:t xml:space="preserve"> Physical parameters of various materials of the model house</w:t>
      </w:r>
    </w:p>
    <w:tbl>
      <w:tblPr>
        <w:tblStyle w:val="3"/>
        <w:tblW w:w="850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5"/>
        <w:gridCol w:w="1299"/>
        <w:gridCol w:w="992"/>
        <w:gridCol w:w="1134"/>
        <w:gridCol w:w="929"/>
        <w:gridCol w:w="1298"/>
        <w:gridCol w:w="1033"/>
      </w:tblGrid>
      <w:tr w14:paraId="6B9981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  <w:jc w:val="center"/>
        </w:trPr>
        <w:tc>
          <w:tcPr>
            <w:tcW w:w="1815" w:type="dxa"/>
            <w:tcBorders>
              <w:top w:val="single" w:color="auto" w:sz="12" w:space="0"/>
              <w:bottom w:val="single" w:color="000000" w:sz="12" w:space="0"/>
            </w:tcBorders>
            <w:vAlign w:val="center"/>
          </w:tcPr>
          <w:p w14:paraId="7447684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Material</w:t>
            </w:r>
          </w:p>
        </w:tc>
        <w:tc>
          <w:tcPr>
            <w:tcW w:w="1299" w:type="dxa"/>
            <w:tcBorders>
              <w:top w:val="single" w:color="auto" w:sz="12" w:space="0"/>
              <w:bottom w:val="single" w:color="000000" w:sz="12" w:space="0"/>
            </w:tcBorders>
            <w:vAlign w:val="center"/>
          </w:tcPr>
          <w:p w14:paraId="7277C6D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Thermal Conductivity (W/(m·K))</w:t>
            </w:r>
          </w:p>
        </w:tc>
        <w:tc>
          <w:tcPr>
            <w:tcW w:w="992" w:type="dxa"/>
            <w:tcBorders>
              <w:top w:val="single" w:color="auto" w:sz="12" w:space="0"/>
              <w:bottom w:val="single" w:color="000000" w:sz="12" w:space="0"/>
            </w:tcBorders>
            <w:vAlign w:val="center"/>
          </w:tcPr>
          <w:p w14:paraId="49986C7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Density (kg/m³)</w:t>
            </w:r>
          </w:p>
        </w:tc>
        <w:tc>
          <w:tcPr>
            <w:tcW w:w="1134" w:type="dxa"/>
            <w:tcBorders>
              <w:top w:val="single" w:color="auto" w:sz="12" w:space="0"/>
              <w:bottom w:val="single" w:color="000000" w:sz="12" w:space="0"/>
            </w:tcBorders>
            <w:vAlign w:val="center"/>
          </w:tcPr>
          <w:p w14:paraId="7784ED0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Specific Heat at Constant Pressure (J/(kg·K))</w:t>
            </w:r>
          </w:p>
        </w:tc>
        <w:tc>
          <w:tcPr>
            <w:tcW w:w="929" w:type="dxa"/>
            <w:tcBorders>
              <w:top w:val="single" w:color="auto" w:sz="12" w:space="0"/>
              <w:bottom w:val="single" w:color="000000" w:sz="12" w:space="0"/>
            </w:tcBorders>
            <w:vAlign w:val="center"/>
          </w:tcPr>
          <w:p w14:paraId="418759A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Specific Heat Ratio</w:t>
            </w:r>
          </w:p>
        </w:tc>
        <w:tc>
          <w:tcPr>
            <w:tcW w:w="1298" w:type="dxa"/>
            <w:tcBorders>
              <w:top w:val="single" w:color="auto" w:sz="12" w:space="0"/>
              <w:bottom w:val="single" w:color="000000" w:sz="12" w:space="0"/>
            </w:tcBorders>
            <w:vAlign w:val="center"/>
          </w:tcPr>
          <w:p w14:paraId="00862EA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Phase Change Temperature (°C)</w:t>
            </w:r>
          </w:p>
        </w:tc>
        <w:tc>
          <w:tcPr>
            <w:tcW w:w="1033" w:type="dxa"/>
            <w:tcBorders>
              <w:top w:val="single" w:color="auto" w:sz="12" w:space="0"/>
              <w:bottom w:val="single" w:color="000000" w:sz="12" w:space="0"/>
            </w:tcBorders>
            <w:vAlign w:val="center"/>
          </w:tcPr>
          <w:p w14:paraId="36B8D39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Phase Change Latent Heat (kJ/kg)</w:t>
            </w:r>
          </w:p>
        </w:tc>
      </w:tr>
      <w:tr w14:paraId="134C55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5" w:type="dxa"/>
            <w:tcBorders>
              <w:top w:val="single" w:color="000000" w:sz="12" w:space="0"/>
            </w:tcBorders>
            <w:vAlign w:val="center"/>
          </w:tcPr>
          <w:p w14:paraId="7B09DB4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Ordinary concrete wall</w:t>
            </w:r>
          </w:p>
        </w:tc>
        <w:tc>
          <w:tcPr>
            <w:tcW w:w="1299" w:type="dxa"/>
            <w:tcBorders>
              <w:top w:val="single" w:color="000000" w:sz="12" w:space="0"/>
            </w:tcBorders>
            <w:vAlign w:val="center"/>
          </w:tcPr>
          <w:p w14:paraId="442EDDA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1.28</w:t>
            </w:r>
          </w:p>
        </w:tc>
        <w:tc>
          <w:tcPr>
            <w:tcW w:w="992" w:type="dxa"/>
            <w:tcBorders>
              <w:top w:val="single" w:color="000000" w:sz="12" w:space="0"/>
            </w:tcBorders>
            <w:vAlign w:val="center"/>
          </w:tcPr>
          <w:p w14:paraId="54FB4BC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2352</w:t>
            </w:r>
          </w:p>
        </w:tc>
        <w:tc>
          <w:tcPr>
            <w:tcW w:w="1134" w:type="dxa"/>
            <w:tcBorders>
              <w:top w:val="single" w:color="000000" w:sz="12" w:space="0"/>
            </w:tcBorders>
            <w:vAlign w:val="center"/>
          </w:tcPr>
          <w:p w14:paraId="4796FCE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970</w:t>
            </w:r>
          </w:p>
        </w:tc>
        <w:tc>
          <w:tcPr>
            <w:tcW w:w="929" w:type="dxa"/>
            <w:tcBorders>
              <w:top w:val="single" w:color="000000" w:sz="12" w:space="0"/>
            </w:tcBorders>
            <w:vAlign w:val="center"/>
          </w:tcPr>
          <w:p w14:paraId="06708A6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98" w:type="dxa"/>
            <w:tcBorders>
              <w:top w:val="single" w:color="000000" w:sz="12" w:space="0"/>
            </w:tcBorders>
            <w:vAlign w:val="center"/>
          </w:tcPr>
          <w:p w14:paraId="26794CA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033" w:type="dxa"/>
            <w:tcBorders>
              <w:top w:val="single" w:color="000000" w:sz="12" w:space="0"/>
            </w:tcBorders>
            <w:vAlign w:val="center"/>
          </w:tcPr>
          <w:p w14:paraId="167EA35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/</w:t>
            </w:r>
          </w:p>
        </w:tc>
      </w:tr>
      <w:tr w14:paraId="17116B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815" w:type="dxa"/>
            <w:vAlign w:val="center"/>
          </w:tcPr>
          <w:p w14:paraId="72888C4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Phase change concrete wall (before phase change)</w:t>
            </w:r>
          </w:p>
        </w:tc>
        <w:tc>
          <w:tcPr>
            <w:tcW w:w="1299" w:type="dxa"/>
            <w:vAlign w:val="center"/>
          </w:tcPr>
          <w:p w14:paraId="7B7B832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1.18</w:t>
            </w:r>
          </w:p>
        </w:tc>
        <w:tc>
          <w:tcPr>
            <w:tcW w:w="992" w:type="dxa"/>
            <w:vAlign w:val="center"/>
          </w:tcPr>
          <w:p w14:paraId="4C640C1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2100</w:t>
            </w:r>
          </w:p>
        </w:tc>
        <w:tc>
          <w:tcPr>
            <w:tcW w:w="1134" w:type="dxa"/>
            <w:vAlign w:val="center"/>
          </w:tcPr>
          <w:p w14:paraId="3531D2B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2260</w:t>
            </w:r>
          </w:p>
        </w:tc>
        <w:tc>
          <w:tcPr>
            <w:tcW w:w="929" w:type="dxa"/>
            <w:vAlign w:val="center"/>
          </w:tcPr>
          <w:p w14:paraId="536D549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1.1</w:t>
            </w:r>
          </w:p>
        </w:tc>
        <w:tc>
          <w:tcPr>
            <w:tcW w:w="1298" w:type="dxa"/>
            <w:vAlign w:val="center"/>
          </w:tcPr>
          <w:p w14:paraId="2453728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1033" w:type="dxa"/>
            <w:vAlign w:val="center"/>
          </w:tcPr>
          <w:p w14:paraId="305DBC6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</w:tr>
      <w:tr w14:paraId="41848B8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1815" w:type="dxa"/>
            <w:vAlign w:val="center"/>
          </w:tcPr>
          <w:p w14:paraId="12599E8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Phase change concrete wall (after phase change)</w:t>
            </w:r>
          </w:p>
        </w:tc>
        <w:tc>
          <w:tcPr>
            <w:tcW w:w="1299" w:type="dxa"/>
            <w:vAlign w:val="center"/>
          </w:tcPr>
          <w:p w14:paraId="13247C7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92" w:type="dxa"/>
            <w:vAlign w:val="center"/>
          </w:tcPr>
          <w:p w14:paraId="79C8852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2100</w:t>
            </w:r>
          </w:p>
        </w:tc>
        <w:tc>
          <w:tcPr>
            <w:tcW w:w="1134" w:type="dxa"/>
            <w:vAlign w:val="center"/>
          </w:tcPr>
          <w:p w14:paraId="1CA8F66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4500</w:t>
            </w:r>
          </w:p>
        </w:tc>
        <w:tc>
          <w:tcPr>
            <w:tcW w:w="929" w:type="dxa"/>
            <w:vAlign w:val="center"/>
          </w:tcPr>
          <w:p w14:paraId="19024B3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98" w:type="dxa"/>
            <w:vAlign w:val="center"/>
          </w:tcPr>
          <w:p w14:paraId="080BC5B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1033" w:type="dxa"/>
            <w:vAlign w:val="center"/>
          </w:tcPr>
          <w:p w14:paraId="46ABA27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</w:tr>
      <w:tr w14:paraId="75EB7F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1815" w:type="dxa"/>
            <w:tcBorders>
              <w:bottom w:val="single" w:color="auto" w:sz="12" w:space="0"/>
            </w:tcBorders>
            <w:vAlign w:val="center"/>
          </w:tcPr>
          <w:p w14:paraId="14EA24F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Air (software embedded)</w:t>
            </w:r>
          </w:p>
        </w:tc>
        <w:tc>
          <w:tcPr>
            <w:tcW w:w="1299" w:type="dxa"/>
            <w:tcBorders>
              <w:bottom w:val="single" w:color="auto" w:sz="12" w:space="0"/>
            </w:tcBorders>
            <w:vAlign w:val="center"/>
          </w:tcPr>
          <w:p w14:paraId="75981C6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0.023</w:t>
            </w: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7864FA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1.29</w:t>
            </w:r>
          </w:p>
        </w:tc>
        <w:tc>
          <w:tcPr>
            <w:tcW w:w="1134" w:type="dxa"/>
            <w:tcBorders>
              <w:bottom w:val="single" w:color="auto" w:sz="12" w:space="0"/>
            </w:tcBorders>
            <w:vAlign w:val="center"/>
          </w:tcPr>
          <w:p w14:paraId="26AA37A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1005</w:t>
            </w:r>
          </w:p>
        </w:tc>
        <w:tc>
          <w:tcPr>
            <w:tcW w:w="929" w:type="dxa"/>
            <w:tcBorders>
              <w:bottom w:val="single" w:color="auto" w:sz="12" w:space="0"/>
            </w:tcBorders>
            <w:vAlign w:val="center"/>
          </w:tcPr>
          <w:p w14:paraId="6B25927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1.4</w:t>
            </w:r>
          </w:p>
        </w:tc>
        <w:tc>
          <w:tcPr>
            <w:tcW w:w="1298" w:type="dxa"/>
            <w:tcBorders>
              <w:bottom w:val="single" w:color="auto" w:sz="12" w:space="0"/>
            </w:tcBorders>
            <w:vAlign w:val="center"/>
          </w:tcPr>
          <w:p w14:paraId="1B7039F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033" w:type="dxa"/>
            <w:tcBorders>
              <w:bottom w:val="single" w:color="auto" w:sz="12" w:space="0"/>
            </w:tcBorders>
            <w:vAlign w:val="center"/>
          </w:tcPr>
          <w:p w14:paraId="3B6D94A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lang w:val="en-US" w:eastAsia="zh-CN"/>
              </w:rPr>
              <w:t>/</w:t>
            </w:r>
          </w:p>
        </w:tc>
      </w:tr>
    </w:tbl>
    <w:p w14:paraId="0C55A06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EA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2026-07-16T08:59:45Z</dcterms:created>
  <dc:creator>ma</dc:creator>
  <cp:lastModifiedBy>Yingjie Ma</cp:lastModifiedBy>
  <dcterms:modified xsi:type="dcterms:W3CDTF">2026-07-16T09:00:55Z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eyJoZGlkIjoiYjg1MjY1OTI3MjFjZGI0YWIxMWMxYmViMWZhMmU1NGMiLCJ1c2VySWQiOiI2Mjg5NzMwMzEifQ==</vt:lpwstr>
  </property>
  <property fmtid="{D5CDD505-2E9C-101B-9397-08002B2CF9AE}" pid="4" name="ICV">
    <vt:lpwstr>3DB933202FC347F59181E6144F0BC8C1_12</vt:lpwstr>
  </property>
</Properties>
</file>