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33474" w14:textId="696BDF6D" w:rsidR="000C4139" w:rsidRPr="006F7C01" w:rsidRDefault="00FE0C4B" w:rsidP="006F7C01">
      <w:pPr>
        <w:spacing w:line="48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6F7C01">
        <w:rPr>
          <w:rFonts w:ascii="Times New Roman" w:eastAsia="宋体" w:hAnsi="Times New Roman" w:cs="Times New Roman"/>
          <w:b/>
          <w:sz w:val="32"/>
          <w:szCs w:val="32"/>
        </w:rPr>
        <w:t>-</w:t>
      </w:r>
      <w:r w:rsidRPr="006F7C01">
        <w:rPr>
          <w:rFonts w:ascii="Times New Roman" w:eastAsia="宋体" w:hAnsi="Times New Roman" w:cs="Times New Roman"/>
          <w:sz w:val="32"/>
          <w:szCs w:val="32"/>
        </w:rPr>
        <w:t xml:space="preserve"> </w:t>
      </w:r>
      <w:r w:rsidRPr="006F7C01">
        <w:rPr>
          <w:rFonts w:ascii="Times New Roman" w:eastAsia="宋体" w:hAnsi="Times New Roman" w:cs="Times New Roman"/>
          <w:b/>
          <w:sz w:val="32"/>
          <w:szCs w:val="32"/>
        </w:rPr>
        <w:t>Supplementary Information-</w:t>
      </w:r>
    </w:p>
    <w:p w14:paraId="3BA012CB" w14:textId="77777777" w:rsidR="000C4139" w:rsidRPr="006F7C01" w:rsidRDefault="000C4139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06FDC89F" w14:textId="77777777" w:rsidR="000C4139" w:rsidRPr="006F7C01" w:rsidRDefault="000C4139" w:rsidP="006F7C01">
      <w:pPr>
        <w:pStyle w:val="3"/>
        <w:spacing w:before="0" w:after="0" w:line="480" w:lineRule="auto"/>
        <w:jc w:val="center"/>
        <w:rPr>
          <w:rFonts w:ascii="Times New Roman" w:hAnsi="Times New Roman" w:cs="Times New Roman"/>
          <w:szCs w:val="32"/>
        </w:rPr>
      </w:pPr>
      <w:r w:rsidRPr="006F7C01">
        <w:rPr>
          <w:rFonts w:ascii="Times New Roman" w:hAnsi="Times New Roman" w:cs="Times New Roman"/>
          <w:szCs w:val="32"/>
        </w:rPr>
        <w:t>Rapid adsorption of triclosan and p-chloro-m-xylenol by nitrogen doped magnetic porous carbon</w:t>
      </w:r>
    </w:p>
    <w:p w14:paraId="51062B31" w14:textId="77777777" w:rsidR="000C4139" w:rsidRPr="006F7C01" w:rsidRDefault="000C4139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1911541E" w14:textId="77777777" w:rsidR="006F7C01" w:rsidRPr="006F7C01" w:rsidRDefault="006F7C01" w:rsidP="006F7C01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bookmarkStart w:id="0" w:name="_Hlk71529476"/>
      <w:proofErr w:type="spellStart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Qiuxing</w:t>
      </w:r>
      <w:proofErr w:type="spellEnd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Li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a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, Li </w:t>
      </w:r>
      <w:proofErr w:type="spellStart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Huang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b</w:t>
      </w:r>
      <w:proofErr w:type="spellEnd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, </w:t>
      </w:r>
      <w:proofErr w:type="spellStart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Paijin</w:t>
      </w:r>
      <w:proofErr w:type="spellEnd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</w:t>
      </w:r>
      <w:proofErr w:type="spellStart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Zhu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b</w:t>
      </w:r>
      <w:proofErr w:type="spellEnd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, Min </w:t>
      </w:r>
      <w:proofErr w:type="spellStart"/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Zhong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b</w:t>
      </w:r>
      <w:proofErr w:type="spellEnd"/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, c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, Shuxia Xu*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 xml:space="preserve">b, c </w:t>
      </w:r>
      <w:r w:rsidRPr="006F7C01">
        <w:rPr>
          <w:rFonts w:ascii="Times New Roman" w:hAnsi="Times New Roman" w:cs="Times New Roman"/>
          <w:color w:val="000000" w:themeColor="text1"/>
          <w:kern w:val="0"/>
          <w:sz w:val="24"/>
        </w:rPr>
        <w:t>*</w:t>
      </w:r>
    </w:p>
    <w:p w14:paraId="48D4C6DC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25DDB619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</w:rPr>
      </w:pPr>
      <w:bookmarkStart w:id="1" w:name="_Hlk19189373"/>
      <w:r w:rsidRPr="006F7C01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a</w:t>
      </w:r>
      <w:r w:rsidRPr="006F7C01">
        <w:rPr>
          <w:rFonts w:ascii="Times New Roman" w:hAnsi="Times New Roman" w:cs="Times New Roman"/>
          <w:i/>
          <w:color w:val="000000" w:themeColor="text1"/>
          <w:sz w:val="24"/>
        </w:rPr>
        <w:t xml:space="preserve"> College of Earth Science, Chengdu University of Technology, Chengdu, Sichuan 610059, China </w:t>
      </w:r>
    </w:p>
    <w:p w14:paraId="459F9E32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</w:rPr>
      </w:pPr>
      <w:r w:rsidRPr="006F7C01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b</w:t>
      </w:r>
      <w:r w:rsidRPr="006F7C01">
        <w:rPr>
          <w:rFonts w:ascii="Times New Roman" w:hAnsi="Times New Roman" w:cs="Times New Roman"/>
          <w:i/>
          <w:color w:val="000000" w:themeColor="text1"/>
          <w:sz w:val="24"/>
        </w:rPr>
        <w:t xml:space="preserve"> College of Ecology and Environment, Chengdu University of Technology, Chengdu, Sichuan 610059, China</w:t>
      </w:r>
    </w:p>
    <w:p w14:paraId="1784B816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</w:rPr>
      </w:pPr>
      <w:r w:rsidRPr="006F7C01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c</w:t>
      </w:r>
      <w:r w:rsidRPr="006F7C01">
        <w:rPr>
          <w:rFonts w:ascii="Times New Roman" w:hAnsi="Times New Roman" w:cs="Times New Roman"/>
          <w:i/>
          <w:color w:val="000000" w:themeColor="text1"/>
          <w:sz w:val="24"/>
        </w:rPr>
        <w:t xml:space="preserve"> State Environmental Protection Key Laboratory of Synergetic Control and Joint Remediation for Soil &amp; Water Pollution, Chengdu University of Technology, Chengdu 610059, China</w:t>
      </w:r>
    </w:p>
    <w:p w14:paraId="5996E840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</w:rPr>
      </w:pPr>
      <w:r w:rsidRPr="006F7C01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c</w:t>
      </w:r>
      <w:r w:rsidRPr="006F7C01">
        <w:rPr>
          <w:rFonts w:ascii="Times New Roman" w:hAnsi="Times New Roman" w:cs="Times New Roman"/>
          <w:i/>
          <w:color w:val="000000" w:themeColor="text1"/>
          <w:sz w:val="24"/>
        </w:rPr>
        <w:t xml:space="preserve"> </w:t>
      </w:r>
    </w:p>
    <w:p w14:paraId="0D58CB4D" w14:textId="77777777" w:rsidR="006F7C01" w:rsidRPr="006F7C01" w:rsidRDefault="006F7C01" w:rsidP="006F7C01">
      <w:pPr>
        <w:spacing w:line="480" w:lineRule="auto"/>
        <w:rPr>
          <w:rFonts w:ascii="Times New Roman" w:hAnsi="Times New Roman" w:cs="Times New Roman"/>
          <w:i/>
          <w:color w:val="000000" w:themeColor="text1"/>
          <w:sz w:val="24"/>
        </w:rPr>
      </w:pPr>
    </w:p>
    <w:bookmarkEnd w:id="0"/>
    <w:bookmarkEnd w:id="1"/>
    <w:p w14:paraId="0ECCBB9D" w14:textId="77777777" w:rsidR="00146895" w:rsidRPr="006F7C01" w:rsidRDefault="00146895" w:rsidP="006F7C01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br w:type="page"/>
      </w:r>
    </w:p>
    <w:p w14:paraId="5F463C17" w14:textId="77777777" w:rsidR="00FD26CC" w:rsidRPr="006F7C01" w:rsidRDefault="003578C0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8"/>
          <w:szCs w:val="28"/>
        </w:rPr>
        <w:lastRenderedPageBreak/>
        <w:t>1. Experimental Section</w:t>
      </w:r>
      <w:r w:rsidRPr="006F7C01">
        <w:rPr>
          <w:rFonts w:ascii="Times New Roman" w:hAnsi="Times New Roman" w:cs="Times New Roman"/>
          <w:b/>
          <w:sz w:val="24"/>
        </w:rPr>
        <w:br/>
        <w:t>1</w:t>
      </w:r>
      <w:r w:rsidR="00933F97" w:rsidRPr="006F7C01">
        <w:rPr>
          <w:rFonts w:ascii="Times New Roman" w:hAnsi="Times New Roman" w:cs="Times New Roman"/>
          <w:b/>
          <w:sz w:val="24"/>
        </w:rPr>
        <w:t>.1 Chemicals</w:t>
      </w:r>
    </w:p>
    <w:p w14:paraId="247C3831" w14:textId="04B310F5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2-methylimidazole, Disodium hydrogen phosphate, Cobalt nitrate, P-chloro-m-xylenol</w:t>
      </w:r>
      <w:r w:rsidR="006F7C01" w:rsidRPr="006F7C01">
        <w:rPr>
          <w:rFonts w:ascii="Times New Roman" w:hAnsi="Times New Roman" w:cs="Times New Roman"/>
          <w:sz w:val="24"/>
        </w:rPr>
        <w:t xml:space="preserve"> </w:t>
      </w:r>
      <w:r w:rsidRPr="006F7C01">
        <w:rPr>
          <w:rFonts w:ascii="Times New Roman" w:hAnsi="Times New Roman" w:cs="Times New Roman"/>
          <w:sz w:val="24"/>
        </w:rPr>
        <w:t xml:space="preserve">(PCMX) and sodium hydroxide were purchased from Chengdu </w:t>
      </w:r>
      <w:proofErr w:type="spellStart"/>
      <w:r w:rsidRPr="006F7C01">
        <w:rPr>
          <w:rFonts w:ascii="Times New Roman" w:hAnsi="Times New Roman" w:cs="Times New Roman"/>
          <w:sz w:val="24"/>
        </w:rPr>
        <w:t>Kelong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Chemical Reagent Factory. Triclosan</w:t>
      </w:r>
      <w:r w:rsidR="006F7C01" w:rsidRPr="006F7C01">
        <w:rPr>
          <w:rFonts w:ascii="Times New Roman" w:hAnsi="Times New Roman" w:cs="Times New Roman"/>
          <w:sz w:val="24"/>
        </w:rPr>
        <w:t xml:space="preserve"> </w:t>
      </w:r>
      <w:r w:rsidRPr="006F7C01">
        <w:rPr>
          <w:rFonts w:ascii="Times New Roman" w:hAnsi="Times New Roman" w:cs="Times New Roman"/>
          <w:sz w:val="24"/>
        </w:rPr>
        <w:t xml:space="preserve">(TCS) were supplied by Shanghai </w:t>
      </w:r>
      <w:proofErr w:type="spellStart"/>
      <w:r w:rsidRPr="006F7C01">
        <w:rPr>
          <w:rFonts w:ascii="Times New Roman" w:hAnsi="Times New Roman" w:cs="Times New Roman"/>
          <w:sz w:val="24"/>
        </w:rPr>
        <w:t>Macleans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Biochemical Technology Company.</w:t>
      </w:r>
      <w:r w:rsidRPr="006F7C01">
        <w:rPr>
          <w:rFonts w:ascii="Times New Roman" w:hAnsi="Times New Roman" w:cs="Times New Roman"/>
          <w:b/>
          <w:sz w:val="24"/>
        </w:rPr>
        <w:t xml:space="preserve"> </w:t>
      </w:r>
      <w:r w:rsidRPr="006F7C01">
        <w:rPr>
          <w:rFonts w:ascii="Times New Roman" w:hAnsi="Times New Roman" w:cs="Times New Roman"/>
          <w:sz w:val="24"/>
        </w:rPr>
        <w:t>Potassium Bromide were obtained from Shanghai Titan Technology Company. All chemicals were at least analytical grade and used as received. All aqueous solutions were prepared with ultra-pure water (18.25 mΩ·cm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>).</w:t>
      </w:r>
    </w:p>
    <w:p w14:paraId="4C84709D" w14:textId="77777777" w:rsidR="00FD26CC" w:rsidRPr="006F7C01" w:rsidRDefault="00FD26CC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</w:p>
    <w:p w14:paraId="0FE11573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6F7C01">
        <w:rPr>
          <w:rFonts w:ascii="Times New Roman" w:hAnsi="Times New Roman" w:cs="Times New Roman"/>
          <w:b/>
          <w:sz w:val="28"/>
          <w:szCs w:val="28"/>
        </w:rPr>
        <w:t>1</w:t>
      </w:r>
      <w:r w:rsidR="00933F97" w:rsidRPr="006F7C01">
        <w:rPr>
          <w:rFonts w:ascii="Times New Roman" w:hAnsi="Times New Roman" w:cs="Times New Roman"/>
          <w:b/>
          <w:sz w:val="28"/>
          <w:szCs w:val="28"/>
        </w:rPr>
        <w:t>.</w:t>
      </w:r>
      <w:r w:rsidRPr="006F7C01">
        <w:rPr>
          <w:rFonts w:ascii="Times New Roman" w:hAnsi="Times New Roman" w:cs="Times New Roman"/>
          <w:b/>
          <w:sz w:val="28"/>
          <w:szCs w:val="28"/>
        </w:rPr>
        <w:t>2</w:t>
      </w:r>
      <w:r w:rsidR="00933F97" w:rsidRPr="006F7C01">
        <w:rPr>
          <w:rFonts w:ascii="Times New Roman" w:hAnsi="Times New Roman" w:cs="Times New Roman"/>
          <w:b/>
          <w:sz w:val="28"/>
          <w:szCs w:val="28"/>
        </w:rPr>
        <w:t xml:space="preserve">. Materials characterization </w:t>
      </w:r>
    </w:p>
    <w:p w14:paraId="49008B28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.1 XRD Characterization of ZIF-67(Co) and Co-NPCs</w:t>
      </w:r>
    </w:p>
    <w:p w14:paraId="34E76815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The crystal form of ZIF-67(Co) and Co-NPCs could be characterized by the multifunctional diffractometer (DX-2700BH, Dandong </w:t>
      </w:r>
      <w:proofErr w:type="spellStart"/>
      <w:r w:rsidRPr="006F7C01">
        <w:rPr>
          <w:rFonts w:ascii="Times New Roman" w:hAnsi="Times New Roman" w:cs="Times New Roman"/>
          <w:sz w:val="24"/>
        </w:rPr>
        <w:t>Haoyuan</w:t>
      </w:r>
      <w:proofErr w:type="spellEnd"/>
      <w:r w:rsidRPr="006F7C01">
        <w:rPr>
          <w:rFonts w:ascii="Times New Roman" w:hAnsi="Times New Roman" w:cs="Times New Roman"/>
          <w:sz w:val="24"/>
        </w:rPr>
        <w:t>, China). k</w:t>
      </w:r>
      <w:r w:rsidRPr="006F7C01">
        <w:rPr>
          <w:rFonts w:ascii="Times New Roman" w:hAnsi="Times New Roman" w:cs="Times New Roman"/>
          <w:sz w:val="24"/>
        </w:rPr>
        <w:sym w:font="Symbol" w:char="F061"/>
      </w:r>
      <w:r w:rsidRPr="006F7C01">
        <w:rPr>
          <w:rFonts w:ascii="Times New Roman" w:hAnsi="Times New Roman" w:cs="Times New Roman"/>
          <w:sz w:val="24"/>
        </w:rPr>
        <w:t xml:space="preserve"> ray of Cu target was used as ray source. The instrument tube voltage and current were 40 KV and 30 mA, respectively. The scan range of diffraction angle was 5-80</w:t>
      </w:r>
      <w:r w:rsidRPr="006F7C01">
        <w:rPr>
          <w:rFonts w:ascii="Times New Roman" w:hAnsi="Times New Roman" w:cs="Times New Roman"/>
          <w:sz w:val="24"/>
          <w:vertAlign w:val="superscript"/>
        </w:rPr>
        <w:t>o</w:t>
      </w:r>
      <w:r w:rsidRPr="006F7C01">
        <w:rPr>
          <w:rFonts w:ascii="Times New Roman" w:hAnsi="Times New Roman" w:cs="Times New Roman"/>
          <w:sz w:val="24"/>
        </w:rPr>
        <w:t>, and the acquisition step length was 0.08</w:t>
      </w:r>
      <w:r w:rsidRPr="006F7C01">
        <w:rPr>
          <w:rFonts w:ascii="Times New Roman" w:hAnsi="Times New Roman" w:cs="Times New Roman"/>
          <w:sz w:val="24"/>
          <w:vertAlign w:val="superscript"/>
        </w:rPr>
        <w:t>o</w:t>
      </w:r>
      <w:r w:rsidRPr="006F7C01">
        <w:rPr>
          <w:rFonts w:ascii="Times New Roman" w:hAnsi="Times New Roman" w:cs="Times New Roman"/>
          <w:sz w:val="24"/>
        </w:rPr>
        <w:t>.</w:t>
      </w:r>
    </w:p>
    <w:p w14:paraId="2C90AC58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.2 SEM Characterization of ZIF-67(Co) and Co-NPCs</w:t>
      </w:r>
    </w:p>
    <w:p w14:paraId="45308715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The morphology of ZIF-67(Co) and Co-NPCs were observed by the scanning electron microscope (HITACHI S-4800, Hitachi, Japan). In order to enhance the conductivity of the sample, the surface of the material was sprayed with gold. Moreover, the working distance and voltage were 9.6 mm and 10 kV, respectively.</w:t>
      </w:r>
    </w:p>
    <w:p w14:paraId="71BB05AB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.3 IR Characterization of ZIF-67(Co) and Co-NPCs</w:t>
      </w:r>
    </w:p>
    <w:p w14:paraId="2ED5778B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The functional groups of ZIF-67(Co) and Co-NPCs could be characterized by Fourier Transform </w:t>
      </w:r>
      <w:r w:rsidRPr="006F7C01">
        <w:rPr>
          <w:rFonts w:ascii="Times New Roman" w:hAnsi="Times New Roman" w:cs="Times New Roman"/>
          <w:sz w:val="24"/>
        </w:rPr>
        <w:lastRenderedPageBreak/>
        <w:t>Infrared Spectrometer (Cary 630, Agilent, America). Before the test, a small amount of dried material and KBr were evenly mixed under an infrared baking lamp at a mass ratio of about 1:100, and then pressed into a tablet for spectral scanning. The scanning range was 400-4000 cm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>.</w:t>
      </w:r>
    </w:p>
    <w:p w14:paraId="4E57E43D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.4 XPS Characterization of Co-NPC-800</w:t>
      </w:r>
    </w:p>
    <w:p w14:paraId="1CDBE2B6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In the experiment, the X-ray Photoelectron Spectrometer (ESCALAB 250Xi, Thermo Fisher, America) was used to analyze the element composition and valence state of ZIF-67(Co) and Co-NPC-800.</w:t>
      </w:r>
    </w:p>
    <w:p w14:paraId="3A951ED5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.5 Raman Spectroscopic Characterization of Co-NPC-800</w:t>
      </w:r>
    </w:p>
    <w:p w14:paraId="05CCAC7F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The Raman spectrum of Co-NPC-800 was tested with the confocal Raman microscope (HR-800, HORIBA </w:t>
      </w:r>
      <w:proofErr w:type="spellStart"/>
      <w:r w:rsidRPr="006F7C01">
        <w:rPr>
          <w:rFonts w:ascii="Times New Roman" w:hAnsi="Times New Roman" w:cs="Times New Roman"/>
          <w:sz w:val="24"/>
        </w:rPr>
        <w:t>JobinYvon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, France). It was self-excited with </w:t>
      </w:r>
      <w:proofErr w:type="spellStart"/>
      <w:r w:rsidRPr="006F7C01">
        <w:rPr>
          <w:rFonts w:ascii="Times New Roman" w:hAnsi="Times New Roman" w:cs="Times New Roman"/>
          <w:sz w:val="24"/>
        </w:rPr>
        <w:t>Ar</w:t>
      </w:r>
      <w:proofErr w:type="spellEnd"/>
      <w:r w:rsidRPr="006F7C01">
        <w:rPr>
          <w:rFonts w:ascii="Times New Roman" w:hAnsi="Times New Roman" w:cs="Times New Roman"/>
          <w:sz w:val="24"/>
        </w:rPr>
        <w:t>+, and the excitation wavelength was 514 nm.</w:t>
      </w:r>
    </w:p>
    <w:p w14:paraId="180232D2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>.6 N</w:t>
      </w:r>
      <w:r w:rsidR="00933F97" w:rsidRPr="006F7C01">
        <w:rPr>
          <w:rFonts w:ascii="Times New Roman" w:hAnsi="Times New Roman" w:cs="Times New Roman"/>
          <w:b/>
          <w:sz w:val="24"/>
          <w:vertAlign w:val="subscript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isothermal adsorption-desorption curve test of Co-NPCs</w:t>
      </w:r>
    </w:p>
    <w:p w14:paraId="27645BFC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The N</w:t>
      </w:r>
      <w:r w:rsidRPr="006F7C01">
        <w:rPr>
          <w:rFonts w:ascii="Times New Roman" w:hAnsi="Times New Roman" w:cs="Times New Roman"/>
          <w:sz w:val="24"/>
          <w:vertAlign w:val="subscript"/>
        </w:rPr>
        <w:t>2</w:t>
      </w:r>
      <w:r w:rsidRPr="006F7C01">
        <w:rPr>
          <w:rFonts w:ascii="Times New Roman" w:hAnsi="Times New Roman" w:cs="Times New Roman"/>
          <w:sz w:val="24"/>
        </w:rPr>
        <w:t xml:space="preserve"> physical adsorption-desorption isotherms of Co-NPCs at 77K were measured by the automatic surface and porosity analyzer (ASAP 2460, Mike, America). Before the test, the sample was vacuum degassed at 300 </w:t>
      </w:r>
      <w:proofErr w:type="spellStart"/>
      <w:r w:rsidRPr="006F7C01">
        <w:rPr>
          <w:rFonts w:ascii="Times New Roman" w:hAnsi="Times New Roman" w:cs="Times New Roman"/>
          <w:sz w:val="24"/>
          <w:vertAlign w:val="superscript"/>
        </w:rPr>
        <w:t>o</w:t>
      </w:r>
      <w:r w:rsidRPr="006F7C01">
        <w:rPr>
          <w:rFonts w:ascii="Times New Roman" w:hAnsi="Times New Roman" w:cs="Times New Roman"/>
          <w:sz w:val="24"/>
        </w:rPr>
        <w:t>C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for 3h. The specific surface area of the sample was calculated by the BET equation, and the pore diameter of the sample was calculated by the BJH model.</w:t>
      </w:r>
    </w:p>
    <w:p w14:paraId="5029A724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68FDECB0" w14:textId="77777777" w:rsidR="00224553" w:rsidRPr="006F7C01" w:rsidRDefault="00224553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1.3 Preparation of Co-NPCs suspension and pollutant stock solution</w:t>
      </w:r>
    </w:p>
    <w:p w14:paraId="706E0941" w14:textId="77777777" w:rsidR="00224553" w:rsidRPr="006F7C01" w:rsidRDefault="00224553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48660357" w14:textId="77777777" w:rsidR="00224553" w:rsidRPr="006F7C01" w:rsidRDefault="00224553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/>
          <w:sz w:val="24"/>
        </w:rPr>
        <w:lastRenderedPageBreak/>
        <w:drawing>
          <wp:inline distT="0" distB="0" distL="0" distR="0" wp14:anchorId="1E8F8473" wp14:editId="02D9001B">
            <wp:extent cx="4067810" cy="3585210"/>
            <wp:effectExtent l="0" t="0" r="8890" b="0"/>
            <wp:docPr id="22" name="TCS PCMX线性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CS PCMX线性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000" cy="358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AFCD8" w14:textId="77777777" w:rsidR="00224553" w:rsidRPr="006F7C01" w:rsidRDefault="00224553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146895" w:rsidRPr="006F7C01">
        <w:rPr>
          <w:rFonts w:ascii="Times New Roman" w:hAnsi="Times New Roman" w:cs="Times New Roman"/>
          <w:b/>
          <w:sz w:val="24"/>
        </w:rPr>
        <w:t>S1</w:t>
      </w:r>
      <w:r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sz w:val="24"/>
        </w:rPr>
        <w:t xml:space="preserve"> </w:t>
      </w:r>
      <w:r w:rsidRPr="006F7C01">
        <w:rPr>
          <w:rFonts w:ascii="Times New Roman" w:hAnsi="Times New Roman" w:cs="Times New Roman"/>
          <w:b/>
          <w:sz w:val="24"/>
        </w:rPr>
        <w:t>Working curve of (A) TCS or (C) PCMX;</w:t>
      </w:r>
      <w:r w:rsidRPr="006F7C01">
        <w:rPr>
          <w:rFonts w:ascii="Times New Roman" w:hAnsi="Times New Roman" w:cs="Times New Roman"/>
          <w:sz w:val="24"/>
        </w:rPr>
        <w:t xml:space="preserve"> </w:t>
      </w:r>
      <w:r w:rsidRPr="006F7C01">
        <w:rPr>
          <w:rFonts w:ascii="Times New Roman" w:hAnsi="Times New Roman" w:cs="Times New Roman"/>
          <w:b/>
          <w:sz w:val="24"/>
        </w:rPr>
        <w:t>Absorption spectrum of (B) TCS or (D) PCMX.</w:t>
      </w:r>
    </w:p>
    <w:p w14:paraId="30E2B4F3" w14:textId="77777777" w:rsidR="00224553" w:rsidRPr="006F7C01" w:rsidRDefault="00224553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044496E3" w14:textId="77777777" w:rsidR="00224553" w:rsidRPr="006F7C01" w:rsidRDefault="00224553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Preparation of Co-NPCs suspension: Transferred 25 mg of Co-NPC-800 sample to a 50 mL colorimetric tube, fixed the volume with ultrapure water, and 0.5 mg·mL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 xml:space="preserve"> Co-NPC-800 suspension was obtained after ultrasonic for 1 h. Co-NPC-600, Co-NPC-700, Co-NPC-800(</w:t>
      </w:r>
      <w:proofErr w:type="spellStart"/>
      <w:r w:rsidRPr="006F7C01">
        <w:rPr>
          <w:rFonts w:ascii="Times New Roman" w:hAnsi="Times New Roman" w:cs="Times New Roman"/>
          <w:sz w:val="24"/>
        </w:rPr>
        <w:t>Ar</w:t>
      </w:r>
      <w:proofErr w:type="spellEnd"/>
      <w:r w:rsidRPr="006F7C01">
        <w:rPr>
          <w:rFonts w:ascii="Times New Roman" w:hAnsi="Times New Roman" w:cs="Times New Roman"/>
          <w:sz w:val="24"/>
        </w:rPr>
        <w:t>) were also configured as suspensions of the same concentration under the same conditions.</w:t>
      </w:r>
    </w:p>
    <w:p w14:paraId="565D3650" w14:textId="77777777" w:rsidR="00224553" w:rsidRPr="006F7C01" w:rsidRDefault="00224553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Preparation of contaminant stock solution: Transferred 0.2 g of TCS and PCMX to a 100 mL volumetric flask respectively, fixed the volume with 1:1 ethanol and water, Then, TCS stock solution (200 mg·L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>) and PCMX stock solution (200 mg·L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 xml:space="preserve">) were obtained after ultrasonic until the chemicals were completely dissolved. The stock solutions were stored in the refrigerator away from light and at low temperature for further use. </w:t>
      </w:r>
    </w:p>
    <w:p w14:paraId="50F98F93" w14:textId="77777777" w:rsidR="00224553" w:rsidRPr="006F7C01" w:rsidRDefault="00224553" w:rsidP="006F7C01">
      <w:pPr>
        <w:spacing w:line="480" w:lineRule="auto"/>
        <w:ind w:firstLine="420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The absorbance of TCS and PCMX were measured by a UV-VIS Spectrometer (UV-5200PC, </w:t>
      </w:r>
      <w:r w:rsidRPr="006F7C01">
        <w:rPr>
          <w:rFonts w:ascii="Times New Roman" w:hAnsi="Times New Roman" w:cs="Times New Roman"/>
          <w:sz w:val="24"/>
        </w:rPr>
        <w:lastRenderedPageBreak/>
        <w:t xml:space="preserve">Shanghai </w:t>
      </w:r>
      <w:proofErr w:type="spellStart"/>
      <w:r w:rsidRPr="006F7C01">
        <w:rPr>
          <w:rFonts w:ascii="Times New Roman" w:hAnsi="Times New Roman" w:cs="Times New Roman"/>
          <w:sz w:val="24"/>
        </w:rPr>
        <w:t>Yuanxi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Instrument Company), and the concentration of the two were calculated by Lambert Beer's law. The absorption spectra and working curves of TCS and PCMX were shown in </w:t>
      </w: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146895" w:rsidRPr="006F7C01">
        <w:rPr>
          <w:rFonts w:ascii="Times New Roman" w:hAnsi="Times New Roman" w:cs="Times New Roman"/>
          <w:b/>
          <w:sz w:val="24"/>
        </w:rPr>
        <w:t>S1</w:t>
      </w:r>
      <w:r w:rsidRPr="006F7C01">
        <w:rPr>
          <w:rFonts w:ascii="Times New Roman" w:hAnsi="Times New Roman" w:cs="Times New Roman"/>
          <w:sz w:val="24"/>
        </w:rPr>
        <w:t>. It could be seen that the maximum absorption wavelength of both was around 280 nm. The working solution obtained by diluting the stock solution had a good correlation, conformed to Lambert Beer's law in a wide concentration range and could be used for quantitative calculation.</w:t>
      </w:r>
    </w:p>
    <w:p w14:paraId="1105E58E" w14:textId="77777777" w:rsidR="00224553" w:rsidRPr="006F7C01" w:rsidRDefault="00224553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2A442253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6F7C01">
        <w:rPr>
          <w:rFonts w:ascii="Times New Roman" w:hAnsi="Times New Roman" w:cs="Times New Roman"/>
          <w:b/>
          <w:sz w:val="28"/>
          <w:szCs w:val="28"/>
        </w:rPr>
        <w:t>1</w:t>
      </w:r>
      <w:r w:rsidR="00933F97" w:rsidRPr="006F7C01">
        <w:rPr>
          <w:rFonts w:ascii="Times New Roman" w:hAnsi="Times New Roman" w:cs="Times New Roman"/>
          <w:b/>
          <w:sz w:val="28"/>
          <w:szCs w:val="28"/>
        </w:rPr>
        <w:t>.</w:t>
      </w:r>
      <w:r w:rsidR="00224553" w:rsidRPr="006F7C01">
        <w:rPr>
          <w:rFonts w:ascii="Times New Roman" w:hAnsi="Times New Roman" w:cs="Times New Roman"/>
          <w:b/>
          <w:sz w:val="28"/>
          <w:szCs w:val="28"/>
        </w:rPr>
        <w:t>4</w:t>
      </w:r>
      <w:r w:rsidR="00933F97" w:rsidRPr="006F7C01">
        <w:rPr>
          <w:rFonts w:ascii="Times New Roman" w:hAnsi="Times New Roman" w:cs="Times New Roman"/>
          <w:b/>
          <w:sz w:val="28"/>
          <w:szCs w:val="28"/>
        </w:rPr>
        <w:t>. Adsorption experiments of TCS and PCMX by Co-NPCs</w:t>
      </w:r>
    </w:p>
    <w:p w14:paraId="12E5844D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="00224553"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The effect of pH on the adsorption performance of Co-NPC-800</w:t>
      </w:r>
    </w:p>
    <w:p w14:paraId="0A112FA7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1 mL of PBS with different pH (pH=4, 5, 6, 7, 8, 9),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Co-NPC-800 suspension, 200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TCS stock solution and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ultrapure water (or 100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PCMX stock solution and 500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>L ultrapure water) were added in a 2 mL centrifugal tube. The adsorption was carried out for 20 min in a 298 K water bath. Then, the supernatant was separated with a magnet. The concentrations of TCS/PCMX in the supernatant were analyzed by an UV−visible spectrophotometer at 280 nm. The amount of TCS/PCMX adsorbed on Co-NPC-800 in different pH were calculated from the expression E-1.</w:t>
      </w:r>
    </w:p>
    <w:p w14:paraId="505DDD8D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The Zeta potential of Co-NPC-800 at different pH were measured with the Nanoparticle Size and Potential Analyzer (ZEN 3600, Malvern, UK). The resistivity of Co-NPC-800 suspension was diluted to less than 1 </w:t>
      </w:r>
      <w:proofErr w:type="spellStart"/>
      <w:r w:rsidRPr="006F7C01">
        <w:rPr>
          <w:rFonts w:ascii="Times New Roman" w:hAnsi="Times New Roman" w:cs="Times New Roman"/>
          <w:sz w:val="24"/>
        </w:rPr>
        <w:t>Ω·cm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during the measurement. </w:t>
      </w:r>
    </w:p>
    <w:p w14:paraId="3C0959CB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="00224553"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2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The effect of NaCl concentration on the adsorption performance of Co-NPC-800</w:t>
      </w:r>
    </w:p>
    <w:p w14:paraId="4DC685FB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1 mL of PBS (pH = 7.0) with different NaCl concentration (</w:t>
      </w:r>
      <w:proofErr w:type="spellStart"/>
      <w:r w:rsidRPr="006F7C01">
        <w:rPr>
          <w:rFonts w:ascii="Times New Roman" w:hAnsi="Times New Roman" w:cs="Times New Roman"/>
          <w:sz w:val="24"/>
        </w:rPr>
        <w:t>C</w:t>
      </w:r>
      <w:r w:rsidRPr="006F7C01">
        <w:rPr>
          <w:rFonts w:ascii="Times New Roman" w:hAnsi="Times New Roman" w:cs="Times New Roman"/>
          <w:sz w:val="24"/>
          <w:vertAlign w:val="subscript"/>
        </w:rPr>
        <w:t>NaCl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= 0, 0.2, 0.4, 0.6, 0.8, 1.0 mol</w:t>
      </w:r>
      <w:r w:rsidRPr="006F7C01">
        <w:rPr>
          <w:rFonts w:ascii="Times New Roman" w:hAnsi="Times New Roman" w:cs="Times New Roman"/>
          <w:sz w:val="24"/>
        </w:rPr>
        <w:sym w:font="Wingdings 2" w:char="F09F"/>
      </w:r>
      <w:r w:rsidRPr="006F7C01">
        <w:rPr>
          <w:rFonts w:ascii="Times New Roman" w:hAnsi="Times New Roman" w:cs="Times New Roman"/>
          <w:sz w:val="24"/>
        </w:rPr>
        <w:t>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 xml:space="preserve">),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Co-NPC-800 suspension, 200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TCS stock solution and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ultrapure water (or 100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PCMX stock solution and 500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ultrapure water) were added in a 2 mL </w:t>
      </w:r>
      <w:r w:rsidRPr="006F7C01">
        <w:rPr>
          <w:rFonts w:ascii="Times New Roman" w:hAnsi="Times New Roman" w:cs="Times New Roman"/>
          <w:sz w:val="24"/>
        </w:rPr>
        <w:lastRenderedPageBreak/>
        <w:t>centrifugal tube. The adsorption was carried out for 20 min in a 298 K water bath. Then, the supernatant was separated with a magnet. The concentrations of TCS/PCMX in the supernatant were analyzed by an UV−visible spectrophotometer at 280 nm. The amount of TCS/PCMX adsorbed on Co-NPC-800 in different NaCl concentration were calculated from the expression E-1.</w:t>
      </w:r>
    </w:p>
    <w:p w14:paraId="540EC1BA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1.</w:t>
      </w:r>
      <w:r w:rsidR="00224553"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3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Adsorption kinetics</w:t>
      </w:r>
    </w:p>
    <w:p w14:paraId="552AEAB7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1 mL of PBS (pH = 7.0),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Co-NPC-800 suspension, 200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TCS stock solution and 400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ultrapure water (or 100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 xml:space="preserve">L of PCMX stock solution and 500 </w:t>
      </w:r>
      <w:r w:rsidRPr="006F7C01">
        <w:rPr>
          <w:rFonts w:ascii="Times New Roman" w:hAnsi="Times New Roman" w:cs="Times New Roman"/>
          <w:sz w:val="24"/>
        </w:rPr>
        <w:sym w:font="Symbol" w:char="F06D"/>
      </w:r>
      <w:r w:rsidRPr="006F7C01">
        <w:rPr>
          <w:rFonts w:ascii="Times New Roman" w:hAnsi="Times New Roman" w:cs="Times New Roman"/>
          <w:sz w:val="24"/>
        </w:rPr>
        <w:t>L ultrapure water) were added into a 2 mL cuvette. Then placed the cuvette in the UV−visible spectrometer for kinetic scanning, and collected an absorbance at 280 nm every 5 s until the absorbance no longer changes.</w:t>
      </w:r>
    </w:p>
    <w:p w14:paraId="6A7B48C4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="00224553"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Adsorption Thermodynamics</w:t>
      </w:r>
    </w:p>
    <w:p w14:paraId="16A382B0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>The TCS/PCMX solutions for adsorption thermodynamic experiments were prepared via serial dilution of the TCS/TCMX stock solution (200 mg·L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>) to desired concentrations with ultrapure water. 0.6 mL above solution of gradient concentration were added with 0.4 mL of Co-NPC-800 suspension and 1 mL of PBS (pH = 7.0) in several 2 mL centrifugal tube. The adsorption was carried out for 20 min in a 298 K, 308 K, 318 K water bath, respectively. Then, the supernatant was separated with a magnet. The concentrations of TCS/PCMX in the supernatant were analyzed by an UV−visible spectrophotometer at 280 nm. The amount of TCS/PCMX adsorbed on Co-NPC-800 in different temperature were calculated from the expression E-1.</w:t>
      </w:r>
    </w:p>
    <w:p w14:paraId="19D95A9A" w14:textId="77777777" w:rsidR="00FD26CC" w:rsidRPr="006F7C01" w:rsidRDefault="00445E6B" w:rsidP="006F7C0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>1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="00224553" w:rsidRPr="006F7C01">
        <w:rPr>
          <w:rFonts w:ascii="Times New Roman" w:hAnsi="Times New Roman" w:cs="Times New Roman"/>
          <w:b/>
          <w:sz w:val="24"/>
        </w:rPr>
        <w:t>4</w:t>
      </w:r>
      <w:r w:rsidR="00933F97" w:rsidRPr="006F7C01">
        <w:rPr>
          <w:rFonts w:ascii="Times New Roman" w:hAnsi="Times New Roman" w:cs="Times New Roman"/>
          <w:b/>
          <w:sz w:val="24"/>
        </w:rPr>
        <w:t>.</w:t>
      </w:r>
      <w:r w:rsidRPr="006F7C01">
        <w:rPr>
          <w:rFonts w:ascii="Times New Roman" w:hAnsi="Times New Roman" w:cs="Times New Roman"/>
          <w:b/>
          <w:sz w:val="24"/>
        </w:rPr>
        <w:t>6</w:t>
      </w:r>
      <w:r w:rsidR="00933F97" w:rsidRPr="006F7C01">
        <w:rPr>
          <w:rFonts w:ascii="Times New Roman" w:hAnsi="Times New Roman" w:cs="Times New Roman"/>
          <w:b/>
          <w:sz w:val="24"/>
        </w:rPr>
        <w:t xml:space="preserve"> Practical application</w:t>
      </w:r>
    </w:p>
    <w:p w14:paraId="4275966B" w14:textId="77777777" w:rsidR="00FD26CC" w:rsidRPr="006F7C01" w:rsidRDefault="00933F97" w:rsidP="006F7C01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t xml:space="preserve">To remove insoluble impurities, the collected water samples were filtered with a 0.45 </w:t>
      </w:r>
      <w:proofErr w:type="spellStart"/>
      <w:r w:rsidRPr="006F7C01">
        <w:rPr>
          <w:rFonts w:ascii="Times New Roman" w:hAnsi="Times New Roman" w:cs="Times New Roman"/>
          <w:sz w:val="24"/>
        </w:rPr>
        <w:t>μm</w:t>
      </w:r>
      <w:proofErr w:type="spellEnd"/>
      <w:r w:rsidRPr="006F7C01">
        <w:rPr>
          <w:rFonts w:ascii="Times New Roman" w:hAnsi="Times New Roman" w:cs="Times New Roman"/>
          <w:sz w:val="24"/>
        </w:rPr>
        <w:t xml:space="preserve"> filter membrane. And the water samples were spiked to make the final concentration of TCS and PCMX be 20 and 10 mg·L</w:t>
      </w:r>
      <w:r w:rsidRPr="006F7C01">
        <w:rPr>
          <w:rFonts w:ascii="Times New Roman" w:hAnsi="Times New Roman" w:cs="Times New Roman"/>
          <w:sz w:val="24"/>
          <w:vertAlign w:val="superscript"/>
        </w:rPr>
        <w:t>-1</w:t>
      </w:r>
      <w:r w:rsidRPr="006F7C01">
        <w:rPr>
          <w:rFonts w:ascii="Times New Roman" w:hAnsi="Times New Roman" w:cs="Times New Roman"/>
          <w:sz w:val="24"/>
        </w:rPr>
        <w:t xml:space="preserve"> respectively. Afterward, repeated the adsorption procedures and calculated the </w:t>
      </w:r>
      <w:r w:rsidRPr="006F7C01">
        <w:rPr>
          <w:rFonts w:ascii="Times New Roman" w:hAnsi="Times New Roman" w:cs="Times New Roman"/>
          <w:sz w:val="24"/>
        </w:rPr>
        <w:lastRenderedPageBreak/>
        <w:t>adsorption capacity of Co-NPC-800 in actual water samples.</w:t>
      </w:r>
    </w:p>
    <w:p w14:paraId="341863DC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26BBB25C" w14:textId="77777777" w:rsidR="00FD26CC" w:rsidRPr="006F7C01" w:rsidRDefault="00933F97" w:rsidP="006F7C01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br w:type="page"/>
      </w:r>
    </w:p>
    <w:p w14:paraId="09B6392F" w14:textId="77777777" w:rsidR="006A0397" w:rsidRPr="006F7C01" w:rsidRDefault="006A0397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2EBC77AC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59E5B47E" wp14:editId="5C4A37D1">
            <wp:extent cx="3599815" cy="2813685"/>
            <wp:effectExtent l="0" t="0" r="635" b="5715"/>
            <wp:docPr id="13" name="Zif67 XR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Zif67 XRD.tif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1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7D2C9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864E9A" w:rsidRPr="006F7C01">
        <w:rPr>
          <w:rFonts w:ascii="Times New Roman" w:hAnsi="Times New Roman" w:cs="Times New Roman"/>
          <w:b/>
          <w:sz w:val="24"/>
        </w:rPr>
        <w:t>S2</w:t>
      </w:r>
      <w:r w:rsidRPr="006F7C01">
        <w:rPr>
          <w:rFonts w:ascii="Times New Roman" w:hAnsi="Times New Roman" w:cs="Times New Roman"/>
          <w:b/>
          <w:sz w:val="24"/>
        </w:rPr>
        <w:t>. XRD spectra of simulated ZIF-67 and synthesized ZIF-67.</w:t>
      </w:r>
    </w:p>
    <w:p w14:paraId="516E1F91" w14:textId="0A178603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37CE5CD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08BDE083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264C28F1" wp14:editId="52CB5B20">
            <wp:extent cx="4679950" cy="3951605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95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AA51A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864E9A" w:rsidRPr="006F7C01">
        <w:rPr>
          <w:rFonts w:ascii="Times New Roman" w:hAnsi="Times New Roman" w:cs="Times New Roman"/>
          <w:b/>
          <w:sz w:val="24"/>
        </w:rPr>
        <w:t>S3</w:t>
      </w:r>
      <w:r w:rsidRPr="006F7C01">
        <w:rPr>
          <w:rFonts w:ascii="Times New Roman" w:hAnsi="Times New Roman" w:cs="Times New Roman"/>
          <w:b/>
          <w:sz w:val="24"/>
        </w:rPr>
        <w:t>. SEM results of synthesized ZIF-67(Co) in different magnification, including (A) 10000</w:t>
      </w:r>
      <w:r w:rsidRPr="006F7C01">
        <w:rPr>
          <w:rFonts w:ascii="Times New Roman" w:hAnsi="Times New Roman" w:cs="Times New Roman"/>
          <w:b/>
          <w:sz w:val="24"/>
        </w:rPr>
        <w:sym w:font="Symbol" w:char="F0B4"/>
      </w:r>
      <w:r w:rsidRPr="006F7C01">
        <w:rPr>
          <w:rFonts w:ascii="Times New Roman" w:hAnsi="Times New Roman" w:cs="Times New Roman"/>
          <w:b/>
          <w:sz w:val="24"/>
        </w:rPr>
        <w:t>, (B) 50000</w:t>
      </w:r>
      <w:r w:rsidRPr="006F7C01">
        <w:rPr>
          <w:rFonts w:ascii="Times New Roman" w:hAnsi="Times New Roman" w:cs="Times New Roman"/>
          <w:b/>
          <w:sz w:val="24"/>
        </w:rPr>
        <w:sym w:font="Symbol" w:char="F0B4"/>
      </w:r>
      <w:r w:rsidRPr="006F7C01">
        <w:rPr>
          <w:rFonts w:ascii="Times New Roman" w:hAnsi="Times New Roman" w:cs="Times New Roman"/>
          <w:b/>
          <w:sz w:val="24"/>
        </w:rPr>
        <w:t>, (C) 100000</w:t>
      </w:r>
      <w:r w:rsidRPr="006F7C01">
        <w:rPr>
          <w:rFonts w:ascii="Times New Roman" w:hAnsi="Times New Roman" w:cs="Times New Roman"/>
          <w:b/>
          <w:sz w:val="24"/>
        </w:rPr>
        <w:sym w:font="Symbol" w:char="F0B4"/>
      </w:r>
      <w:r w:rsidRPr="006F7C01">
        <w:rPr>
          <w:rFonts w:ascii="Times New Roman" w:hAnsi="Times New Roman" w:cs="Times New Roman"/>
          <w:b/>
          <w:sz w:val="24"/>
        </w:rPr>
        <w:t>, and (D) 200000</w:t>
      </w:r>
      <w:r w:rsidRPr="006F7C01">
        <w:rPr>
          <w:rFonts w:ascii="Times New Roman" w:hAnsi="Times New Roman" w:cs="Times New Roman"/>
          <w:b/>
          <w:sz w:val="24"/>
        </w:rPr>
        <w:sym w:font="Symbol" w:char="F0B4"/>
      </w:r>
      <w:r w:rsidRPr="006F7C01">
        <w:rPr>
          <w:rFonts w:ascii="Times New Roman" w:hAnsi="Times New Roman" w:cs="Times New Roman"/>
          <w:b/>
          <w:sz w:val="24"/>
        </w:rPr>
        <w:t>.</w:t>
      </w:r>
    </w:p>
    <w:p w14:paraId="6B7CDA64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2FD32996" w14:textId="2988B29B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C38A292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2EF31B0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5E73AF98" wp14:editId="17243350">
            <wp:extent cx="3599815" cy="2851150"/>
            <wp:effectExtent l="0" t="0" r="635" b="6350"/>
            <wp:docPr id="27" name="ZIF-67 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ZIF-67 IR.tif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5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210BE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864E9A" w:rsidRPr="006F7C01">
        <w:rPr>
          <w:rFonts w:ascii="Times New Roman" w:hAnsi="Times New Roman" w:cs="Times New Roman"/>
          <w:b/>
          <w:sz w:val="24"/>
        </w:rPr>
        <w:t>S4</w:t>
      </w:r>
      <w:r w:rsidRPr="006F7C01">
        <w:rPr>
          <w:rFonts w:ascii="Times New Roman" w:hAnsi="Times New Roman" w:cs="Times New Roman"/>
          <w:b/>
          <w:sz w:val="24"/>
        </w:rPr>
        <w:t>. Infrared spectra of synthesized ZIF-67(Co) and 2-methylimidazole.</w:t>
      </w:r>
    </w:p>
    <w:p w14:paraId="105920C5" w14:textId="23C1B912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9E5AF18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464ACD94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3EBD8075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62D1366A" wp14:editId="0F215CBF">
            <wp:extent cx="3418840" cy="2729230"/>
            <wp:effectExtent l="0" t="0" r="0" b="0"/>
            <wp:docPr id="12" name="CoNPC XR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oNPC XRD.tif"/>
                    <pic:cNvPicPr preferRelativeResize="0"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129" cy="272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5CC3E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864E9A" w:rsidRPr="006F7C01">
        <w:rPr>
          <w:rFonts w:ascii="Times New Roman" w:hAnsi="Times New Roman" w:cs="Times New Roman"/>
          <w:b/>
          <w:sz w:val="24"/>
        </w:rPr>
        <w:t>S5</w:t>
      </w:r>
      <w:r w:rsidRPr="006F7C01">
        <w:rPr>
          <w:rFonts w:ascii="Times New Roman" w:hAnsi="Times New Roman" w:cs="Times New Roman"/>
          <w:b/>
          <w:sz w:val="24"/>
        </w:rPr>
        <w:t>. XRD spectra of synthesized Co-NPC-800 and Co-NPC-800 (</w:t>
      </w:r>
      <w:proofErr w:type="spellStart"/>
      <w:r w:rsidRPr="006F7C01">
        <w:rPr>
          <w:rFonts w:ascii="Times New Roman" w:hAnsi="Times New Roman" w:cs="Times New Roman"/>
          <w:b/>
          <w:sz w:val="24"/>
        </w:rPr>
        <w:t>Ar</w:t>
      </w:r>
      <w:proofErr w:type="spellEnd"/>
      <w:r w:rsidRPr="006F7C01">
        <w:rPr>
          <w:rFonts w:ascii="Times New Roman" w:hAnsi="Times New Roman" w:cs="Times New Roman"/>
          <w:b/>
          <w:sz w:val="24"/>
        </w:rPr>
        <w:t>).</w:t>
      </w:r>
    </w:p>
    <w:p w14:paraId="59823639" w14:textId="60F45905" w:rsidR="00FD26CC" w:rsidRPr="006F7C01" w:rsidRDefault="006F7C01" w:rsidP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366FB80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0CB52B0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0DEFD5DE" wp14:editId="44EC6E41">
            <wp:extent cx="3490595" cy="2823210"/>
            <wp:effectExtent l="0" t="0" r="0" b="0"/>
            <wp:docPr id="28" name="多孔炭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多孔炭IR.tif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705" cy="282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00713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9A60D0" w:rsidRPr="006F7C01">
        <w:rPr>
          <w:rFonts w:ascii="Times New Roman" w:hAnsi="Times New Roman" w:cs="Times New Roman"/>
          <w:b/>
          <w:sz w:val="24"/>
        </w:rPr>
        <w:t>S6</w:t>
      </w:r>
      <w:r w:rsidRPr="006F7C01">
        <w:rPr>
          <w:rFonts w:ascii="Times New Roman" w:hAnsi="Times New Roman" w:cs="Times New Roman"/>
          <w:b/>
          <w:sz w:val="24"/>
        </w:rPr>
        <w:t>. Infrared spectra of synthesized Co-NPC-800 (</w:t>
      </w:r>
      <w:proofErr w:type="spellStart"/>
      <w:r w:rsidRPr="006F7C01">
        <w:rPr>
          <w:rFonts w:ascii="Times New Roman" w:hAnsi="Times New Roman" w:cs="Times New Roman"/>
          <w:b/>
          <w:sz w:val="24"/>
        </w:rPr>
        <w:t>Ar</w:t>
      </w:r>
      <w:proofErr w:type="spellEnd"/>
      <w:r w:rsidRPr="006F7C01">
        <w:rPr>
          <w:rFonts w:ascii="Times New Roman" w:hAnsi="Times New Roman" w:cs="Times New Roman"/>
          <w:b/>
          <w:sz w:val="24"/>
        </w:rPr>
        <w:t>) and Co-NPC-800.</w:t>
      </w:r>
    </w:p>
    <w:p w14:paraId="048C3547" w14:textId="1907EFDB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1E4A250" w14:textId="77777777" w:rsidR="006A0397" w:rsidRPr="006F7C01" w:rsidRDefault="006A0397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0B338F6A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3D4E8DD4" wp14:editId="09A3CC2B">
            <wp:extent cx="3599815" cy="3114675"/>
            <wp:effectExtent l="0" t="0" r="635" b="9525"/>
            <wp:docPr id="30" name="拉曼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拉曼.tif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1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17966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9A60D0" w:rsidRPr="006F7C01">
        <w:rPr>
          <w:rFonts w:ascii="Times New Roman" w:hAnsi="Times New Roman" w:cs="Times New Roman"/>
          <w:b/>
          <w:sz w:val="24"/>
        </w:rPr>
        <w:t>S7</w:t>
      </w:r>
      <w:r w:rsidRPr="006F7C01">
        <w:rPr>
          <w:rFonts w:ascii="Times New Roman" w:hAnsi="Times New Roman" w:cs="Times New Roman"/>
          <w:b/>
          <w:sz w:val="24"/>
        </w:rPr>
        <w:t>. Raman spectra of synthesized Co-NPC-800.</w:t>
      </w:r>
    </w:p>
    <w:p w14:paraId="3D6B181E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0891D79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373C9E59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2B938BAF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66279C3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黑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BDC5267" wp14:editId="7E522FE0">
            <wp:extent cx="5219700" cy="4687570"/>
            <wp:effectExtent l="0" t="0" r="0" b="0"/>
            <wp:docPr id="40" name="多孔炭XP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多孔炭XPS1.tif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468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608BB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9A60D0" w:rsidRPr="006F7C01">
        <w:rPr>
          <w:rFonts w:ascii="Times New Roman" w:hAnsi="Times New Roman" w:cs="Times New Roman"/>
          <w:b/>
          <w:sz w:val="24"/>
        </w:rPr>
        <w:t>S8</w:t>
      </w:r>
      <w:r w:rsidRPr="006F7C01">
        <w:rPr>
          <w:rFonts w:ascii="Times New Roman" w:hAnsi="Times New Roman" w:cs="Times New Roman"/>
          <w:b/>
          <w:sz w:val="24"/>
        </w:rPr>
        <w:t>. XPS spectra of synthesized Co-NPC-800. (A) Full range, (B) N1s region with fitting and (C) Co2p region with fitting.</w:t>
      </w:r>
    </w:p>
    <w:p w14:paraId="05E9AE13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70C7D4F5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3D41B4D6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1CC35D12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0DD64187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F9C7E2E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1A19602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0F04A8C4" w14:textId="77777777" w:rsidR="009A60D0" w:rsidRPr="006F7C01" w:rsidRDefault="009A60D0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40CB191B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3203AB52" wp14:editId="51D047DF">
            <wp:extent cx="5219700" cy="243967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43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EF999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9A60D0" w:rsidRPr="006F7C01">
        <w:rPr>
          <w:rFonts w:ascii="Times New Roman" w:hAnsi="Times New Roman" w:cs="Times New Roman"/>
          <w:b/>
          <w:sz w:val="24"/>
        </w:rPr>
        <w:t>S9</w:t>
      </w:r>
      <w:r w:rsidRPr="006F7C01">
        <w:rPr>
          <w:rFonts w:ascii="Times New Roman" w:hAnsi="Times New Roman" w:cs="Times New Roman"/>
          <w:b/>
          <w:sz w:val="24"/>
        </w:rPr>
        <w:t>. (A) N</w:t>
      </w:r>
      <w:r w:rsidRPr="006F7C01">
        <w:rPr>
          <w:rFonts w:ascii="Times New Roman" w:hAnsi="Times New Roman" w:cs="Times New Roman"/>
          <w:b/>
          <w:sz w:val="24"/>
          <w:vertAlign w:val="subscript"/>
        </w:rPr>
        <w:t>2</w:t>
      </w:r>
      <w:r w:rsidRPr="006F7C01">
        <w:rPr>
          <w:rFonts w:ascii="Times New Roman" w:hAnsi="Times New Roman" w:cs="Times New Roman"/>
          <w:b/>
          <w:sz w:val="24"/>
        </w:rPr>
        <w:t xml:space="preserve"> adsorption-desorption isotherms and (B) pore size distribution diagrams of Co-NPC-600, Co-NPC-800 and Co-NPC-800(</w:t>
      </w:r>
      <w:proofErr w:type="spellStart"/>
      <w:r w:rsidRPr="006F7C01">
        <w:rPr>
          <w:rFonts w:ascii="Times New Roman" w:hAnsi="Times New Roman" w:cs="Times New Roman"/>
          <w:b/>
          <w:sz w:val="24"/>
        </w:rPr>
        <w:t>Ar</w:t>
      </w:r>
      <w:proofErr w:type="spellEnd"/>
      <w:r w:rsidRPr="006F7C01">
        <w:rPr>
          <w:rFonts w:ascii="Times New Roman" w:hAnsi="Times New Roman" w:cs="Times New Roman"/>
          <w:b/>
          <w:sz w:val="24"/>
        </w:rPr>
        <w:t>).</w:t>
      </w:r>
    </w:p>
    <w:p w14:paraId="27241CBE" w14:textId="13E133C3" w:rsidR="00FD26CC" w:rsidRPr="006F7C01" w:rsidRDefault="006F7C01" w:rsidP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F6F6E01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3E62231C" wp14:editId="55E9AEA1">
            <wp:extent cx="5116830" cy="2383790"/>
            <wp:effectExtent l="0" t="0" r="762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208" cy="238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BF30E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2C5A9F" w:rsidRPr="006F7C01">
        <w:rPr>
          <w:rFonts w:ascii="Times New Roman" w:hAnsi="Times New Roman" w:cs="Times New Roman"/>
          <w:b/>
          <w:sz w:val="24"/>
        </w:rPr>
        <w:t>S10</w:t>
      </w:r>
      <w:r w:rsidRPr="006F7C01">
        <w:rPr>
          <w:rFonts w:ascii="Times New Roman" w:hAnsi="Times New Roman" w:cs="Times New Roman"/>
          <w:b/>
          <w:sz w:val="24"/>
        </w:rPr>
        <w:t>. (A) Zeta potential of Co-NPC-800 at different pH values; (B) Zeta potential distribution of co-npc-800 at pH = 7.</w:t>
      </w:r>
    </w:p>
    <w:p w14:paraId="648BE04B" w14:textId="473767F5" w:rsidR="002C5A9F" w:rsidRPr="006F7C01" w:rsidRDefault="006F7C01" w:rsidP="006F7C01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6528822C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E16C586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宋体" w:hAnsi="Times New Roman" w:cs="Times New Roman"/>
          <w:noProof/>
          <w:color w:val="000000" w:themeColor="text1"/>
          <w:sz w:val="24"/>
        </w:rPr>
        <w:drawing>
          <wp:inline distT="0" distB="0" distL="0" distR="0" wp14:anchorId="00DD3EF1" wp14:editId="42C45EF8">
            <wp:extent cx="5219700" cy="25717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482F8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2C5A9F" w:rsidRPr="006F7C01">
        <w:rPr>
          <w:rFonts w:ascii="Times New Roman" w:hAnsi="Times New Roman" w:cs="Times New Roman"/>
          <w:b/>
          <w:sz w:val="24"/>
        </w:rPr>
        <w:t>S11</w:t>
      </w:r>
      <w:r w:rsidRPr="006F7C01">
        <w:rPr>
          <w:rFonts w:ascii="Times New Roman" w:hAnsi="Times New Roman" w:cs="Times New Roman"/>
          <w:b/>
          <w:sz w:val="24"/>
        </w:rPr>
        <w:t>. The influence of NaCl concentration on the adsorption of (A) TCS or (B) PCMX by Co-NPC-800.</w:t>
      </w:r>
    </w:p>
    <w:p w14:paraId="04411D0B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103E445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1D590A87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7BF5A040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1911B4D5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7531356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2919C0C8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C0579C4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91D4E7C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458D5AB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F09ED2A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ADC619C" w14:textId="77777777" w:rsidR="002C5A9F" w:rsidRPr="006F7C01" w:rsidRDefault="002C5A9F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6A3B39F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12EC3F6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FE3D1B" w:rsidRPr="006F7C01">
        <w:rPr>
          <w:rFonts w:ascii="Times New Roman" w:hAnsi="Times New Roman" w:cs="Times New Roman"/>
          <w:b/>
          <w:sz w:val="24"/>
        </w:rPr>
        <w:t>S1</w:t>
      </w:r>
      <w:r w:rsidRPr="006F7C01">
        <w:rPr>
          <w:rFonts w:ascii="Times New Roman" w:hAnsi="Times New Roman" w:cs="Times New Roman"/>
          <w:b/>
          <w:sz w:val="24"/>
        </w:rPr>
        <w:t>. The kinetic parameters of adsorption on Co-NPC-800 to TCS and PCMX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6"/>
        <w:gridCol w:w="1627"/>
        <w:gridCol w:w="1518"/>
        <w:gridCol w:w="968"/>
        <w:gridCol w:w="1655"/>
        <w:gridCol w:w="2057"/>
        <w:gridCol w:w="905"/>
      </w:tblGrid>
      <w:tr w:rsidR="00FD26CC" w:rsidRPr="006F7C01" w14:paraId="612C2D11" w14:textId="77777777" w:rsidTr="006F7C01">
        <w:trPr>
          <w:trHeight w:val="301"/>
          <w:jc w:val="center"/>
        </w:trPr>
        <w:tc>
          <w:tcPr>
            <w:tcW w:w="1037" w:type="dxa"/>
            <w:vMerge w:val="restart"/>
            <w:tcBorders>
              <w:top w:val="single" w:sz="4" w:space="0" w:color="auto"/>
              <w:bottom w:val="nil"/>
            </w:tcBorders>
          </w:tcPr>
          <w:p w14:paraId="5A208F1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Kinetic model</w:t>
            </w:r>
          </w:p>
        </w:tc>
        <w:tc>
          <w:tcPr>
            <w:tcW w:w="42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1ED760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Quasi-first order dynamics model</w:t>
            </w:r>
          </w:p>
        </w:tc>
        <w:tc>
          <w:tcPr>
            <w:tcW w:w="472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394C2C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Quasi-two-stage kinetic model</w:t>
            </w:r>
          </w:p>
        </w:tc>
      </w:tr>
      <w:tr w:rsidR="00FD26CC" w:rsidRPr="006F7C01" w14:paraId="51E355A1" w14:textId="77777777" w:rsidTr="006F7C01">
        <w:trPr>
          <w:trHeight w:val="366"/>
          <w:jc w:val="center"/>
        </w:trPr>
        <w:tc>
          <w:tcPr>
            <w:tcW w:w="1037" w:type="dxa"/>
            <w:vMerge/>
            <w:tcBorders>
              <w:bottom w:val="single" w:sz="4" w:space="0" w:color="auto"/>
            </w:tcBorders>
          </w:tcPr>
          <w:p w14:paraId="76C9D364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14:paraId="37BFAAF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q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1e</w:t>
            </w:r>
            <w:r w:rsidRPr="006F7C01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 w:rsidRPr="006F7C01">
              <w:rPr>
                <w:rFonts w:ascii="Times New Roman" w:hAnsi="Times New Roman" w:cs="Times New Roman"/>
                <w:sz w:val="24"/>
              </w:rPr>
              <w:t>(mg·g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6F7C01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</w:tcPr>
          <w:p w14:paraId="4F0DFD6D" w14:textId="1C47732D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k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1</w:t>
            </w:r>
            <w:r w:rsidR="006F7C01"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 xml:space="preserve"> </w:t>
            </w:r>
            <w:r w:rsidRPr="006F7C01">
              <w:rPr>
                <w:rFonts w:ascii="Times New Roman" w:hAnsi="Times New Roman" w:cs="Times New Roman"/>
                <w:sz w:val="24"/>
              </w:rPr>
              <w:t>(min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6F7C01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6C00D92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R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14:paraId="70D5851C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q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2e</w:t>
            </w:r>
            <w:r w:rsidRPr="006F7C01">
              <w:rPr>
                <w:rFonts w:ascii="Times New Roman" w:hAnsi="Times New Roman" w:cs="Times New Roman"/>
                <w:sz w:val="24"/>
              </w:rPr>
              <w:t xml:space="preserve"> (mg·g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6F7C01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</w:tcPr>
          <w:p w14:paraId="4A6072AA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k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2</w:t>
            </w:r>
            <w:r w:rsidRPr="006F7C01">
              <w:rPr>
                <w:rFonts w:ascii="Times New Roman" w:hAnsi="Times New Roman" w:cs="Times New Roman"/>
                <w:sz w:val="24"/>
              </w:rPr>
              <w:t xml:space="preserve"> (g·mg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6F7C01">
              <w:rPr>
                <w:rFonts w:ascii="Times New Roman" w:hAnsi="Times New Roman" w:cs="Times New Roman"/>
                <w:sz w:val="24"/>
              </w:rPr>
              <w:t>·min</w:t>
            </w:r>
            <w:r w:rsidRPr="006F7C01">
              <w:rPr>
                <w:rFonts w:ascii="Times New Roman" w:hAnsi="Times New Roman" w:cs="Times New Roman"/>
                <w:sz w:val="24"/>
                <w:vertAlign w:val="superscript"/>
              </w:rPr>
              <w:t>-1</w:t>
            </w:r>
            <w:r w:rsidRPr="006F7C01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</w:tcPr>
          <w:p w14:paraId="711BC862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</w:p>
        </w:tc>
      </w:tr>
      <w:tr w:rsidR="00FD26CC" w:rsidRPr="006F7C01" w14:paraId="0C57DE6F" w14:textId="77777777" w:rsidTr="006F7C01">
        <w:trPr>
          <w:trHeight w:val="280"/>
          <w:jc w:val="center"/>
        </w:trPr>
        <w:tc>
          <w:tcPr>
            <w:tcW w:w="1037" w:type="dxa"/>
            <w:tcBorders>
              <w:top w:val="single" w:sz="4" w:space="0" w:color="auto"/>
            </w:tcBorders>
            <w:noWrap/>
          </w:tcPr>
          <w:p w14:paraId="1958EF6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TCS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noWrap/>
          </w:tcPr>
          <w:p w14:paraId="03E55488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37.003</w:t>
            </w:r>
          </w:p>
        </w:tc>
        <w:tc>
          <w:tcPr>
            <w:tcW w:w="1552" w:type="dxa"/>
            <w:tcBorders>
              <w:top w:val="single" w:sz="4" w:space="0" w:color="auto"/>
            </w:tcBorders>
            <w:noWrap/>
          </w:tcPr>
          <w:p w14:paraId="0FE8A08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0.311</w:t>
            </w:r>
          </w:p>
        </w:tc>
        <w:tc>
          <w:tcPr>
            <w:tcW w:w="988" w:type="dxa"/>
            <w:tcBorders>
              <w:top w:val="single" w:sz="4" w:space="0" w:color="auto"/>
            </w:tcBorders>
            <w:noWrap/>
          </w:tcPr>
          <w:p w14:paraId="6A631A94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0.958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</w:tcPr>
          <w:p w14:paraId="76FFA12A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143.678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noWrap/>
          </w:tcPr>
          <w:p w14:paraId="47D6BCB2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0.02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</w:tcPr>
          <w:p w14:paraId="1411DCFF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0.994</w:t>
            </w:r>
          </w:p>
        </w:tc>
      </w:tr>
      <w:tr w:rsidR="00FD26CC" w:rsidRPr="006F7C01" w14:paraId="3B7C317D" w14:textId="77777777" w:rsidTr="006F7C01">
        <w:trPr>
          <w:trHeight w:val="280"/>
          <w:jc w:val="center"/>
        </w:trPr>
        <w:tc>
          <w:tcPr>
            <w:tcW w:w="1037" w:type="dxa"/>
            <w:noWrap/>
          </w:tcPr>
          <w:p w14:paraId="21FCF9D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PCMX</w:t>
            </w:r>
          </w:p>
        </w:tc>
        <w:tc>
          <w:tcPr>
            <w:tcW w:w="1664" w:type="dxa"/>
            <w:noWrap/>
          </w:tcPr>
          <w:p w14:paraId="0109FC8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9.733</w:t>
            </w:r>
          </w:p>
        </w:tc>
        <w:tc>
          <w:tcPr>
            <w:tcW w:w="1552" w:type="dxa"/>
            <w:noWrap/>
          </w:tcPr>
          <w:p w14:paraId="7728D8AC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0.36</w:t>
            </w:r>
          </w:p>
        </w:tc>
        <w:tc>
          <w:tcPr>
            <w:tcW w:w="988" w:type="dxa"/>
            <w:noWrap/>
          </w:tcPr>
          <w:p w14:paraId="750D2955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0.936</w:t>
            </w:r>
          </w:p>
        </w:tc>
        <w:tc>
          <w:tcPr>
            <w:tcW w:w="1693" w:type="dxa"/>
            <w:noWrap/>
          </w:tcPr>
          <w:p w14:paraId="14F78802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39.604</w:t>
            </w:r>
          </w:p>
        </w:tc>
        <w:tc>
          <w:tcPr>
            <w:tcW w:w="2105" w:type="dxa"/>
            <w:noWrap/>
          </w:tcPr>
          <w:p w14:paraId="77297E61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0.117</w:t>
            </w:r>
          </w:p>
        </w:tc>
        <w:tc>
          <w:tcPr>
            <w:tcW w:w="923" w:type="dxa"/>
            <w:noWrap/>
          </w:tcPr>
          <w:p w14:paraId="0DE23E4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0.991</w:t>
            </w:r>
          </w:p>
        </w:tc>
      </w:tr>
    </w:tbl>
    <w:p w14:paraId="26836061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19152628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B6599DB" w14:textId="339BF8D9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1A66451" w14:textId="77777777" w:rsidR="00FE3D1B" w:rsidRPr="006F7C01" w:rsidRDefault="00FE3D1B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3CC51C7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Table </w:t>
      </w:r>
      <w:r w:rsidR="00FE3D1B" w:rsidRPr="006F7C01">
        <w:rPr>
          <w:rFonts w:ascii="Times New Roman" w:hAnsi="Times New Roman" w:cs="Times New Roman"/>
          <w:b/>
          <w:sz w:val="24"/>
        </w:rPr>
        <w:t>S2</w:t>
      </w:r>
      <w:r w:rsidRPr="006F7C01">
        <w:rPr>
          <w:rFonts w:ascii="Times New Roman" w:hAnsi="Times New Roman" w:cs="Times New Roman"/>
          <w:b/>
          <w:sz w:val="24"/>
        </w:rPr>
        <w:t>. The isotherm model parameters of adsorption on Co-NPC-800 to TCS and PCMX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921"/>
        <w:gridCol w:w="922"/>
        <w:gridCol w:w="1139"/>
        <w:gridCol w:w="922"/>
        <w:gridCol w:w="1139"/>
        <w:gridCol w:w="922"/>
        <w:gridCol w:w="922"/>
      </w:tblGrid>
      <w:tr w:rsidR="00FD26CC" w:rsidRPr="006F7C01" w14:paraId="08BF1DBB" w14:textId="77777777">
        <w:trPr>
          <w:trHeight w:val="291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06A3CB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Target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6A8619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T</w:t>
            </w:r>
            <w:r w:rsidRPr="006F7C01">
              <w:rPr>
                <w:rFonts w:ascii="Times New Roman" w:hAnsi="Times New Roman" w:cs="Times New Roman"/>
                <w:sz w:val="24"/>
              </w:rPr>
              <w:t xml:space="preserve"> (K)</w:t>
            </w:r>
          </w:p>
        </w:tc>
        <w:tc>
          <w:tcPr>
            <w:tcW w:w="29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4DCA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Freundlich Model</w:t>
            </w:r>
          </w:p>
        </w:tc>
        <w:tc>
          <w:tcPr>
            <w:tcW w:w="29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11995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Langmuir Model</w:t>
            </w:r>
          </w:p>
        </w:tc>
      </w:tr>
      <w:tr w:rsidR="00FD26CC" w:rsidRPr="006F7C01" w14:paraId="3B819FB2" w14:textId="77777777">
        <w:trPr>
          <w:trHeight w:val="344"/>
          <w:jc w:val="center"/>
        </w:trPr>
        <w:tc>
          <w:tcPr>
            <w:tcW w:w="921" w:type="dxa"/>
            <w:vMerge/>
            <w:tcBorders>
              <w:bottom w:val="single" w:sz="4" w:space="0" w:color="auto"/>
            </w:tcBorders>
            <w:vAlign w:val="center"/>
          </w:tcPr>
          <w:p w14:paraId="26E4560B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vMerge/>
            <w:tcBorders>
              <w:bottom w:val="single" w:sz="4" w:space="0" w:color="auto"/>
            </w:tcBorders>
            <w:vAlign w:val="center"/>
          </w:tcPr>
          <w:p w14:paraId="20C5A5EF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B95A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9A4C6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K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F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3301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905C6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 w:rsidRPr="006F7C01">
              <w:rPr>
                <w:rFonts w:ascii="Times New Roman" w:hAnsi="Times New Roman" w:cs="Times New Roman"/>
                <w:i/>
                <w:sz w:val="24"/>
              </w:rPr>
              <w:t>q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m</w:t>
            </w:r>
            <w:proofErr w:type="spellEnd"/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F5CD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K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bscript"/>
              </w:rPr>
              <w:t>L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96AC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6F7C01">
              <w:rPr>
                <w:rFonts w:ascii="Times New Roman" w:hAnsi="Times New Roman" w:cs="Times New Roman"/>
                <w:i/>
                <w:sz w:val="24"/>
              </w:rPr>
              <w:t>R</w:t>
            </w:r>
            <w:r w:rsidRPr="006F7C01">
              <w:rPr>
                <w:rFonts w:ascii="Times New Roman" w:hAnsi="Times New Roman" w:cs="Times New Roman"/>
                <w:i/>
                <w:sz w:val="24"/>
                <w:vertAlign w:val="superscript"/>
              </w:rPr>
              <w:t>2</w:t>
            </w:r>
          </w:p>
        </w:tc>
      </w:tr>
      <w:tr w:rsidR="00FD26CC" w:rsidRPr="006F7C01" w14:paraId="67DBA785" w14:textId="77777777">
        <w:trPr>
          <w:trHeight w:val="280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6D835D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TCS</w:t>
            </w:r>
          </w:p>
        </w:tc>
        <w:tc>
          <w:tcPr>
            <w:tcW w:w="921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F978D6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298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41920C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3.776</w:t>
            </w:r>
          </w:p>
        </w:tc>
        <w:tc>
          <w:tcPr>
            <w:tcW w:w="113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30C5DF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73.127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C7ECD56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0.883</w:t>
            </w:r>
          </w:p>
        </w:tc>
        <w:tc>
          <w:tcPr>
            <w:tcW w:w="113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79843F1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163.132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7735D61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0.596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FD20A22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0.999</w:t>
            </w:r>
          </w:p>
        </w:tc>
      </w:tr>
      <w:tr w:rsidR="00FD26CC" w:rsidRPr="006F7C01" w14:paraId="6C0EC10E" w14:textId="77777777">
        <w:trPr>
          <w:trHeight w:val="280"/>
          <w:jc w:val="center"/>
        </w:trPr>
        <w:tc>
          <w:tcPr>
            <w:tcW w:w="921" w:type="dxa"/>
            <w:vMerge/>
            <w:tcBorders>
              <w:bottom w:val="nil"/>
            </w:tcBorders>
            <w:vAlign w:val="center"/>
          </w:tcPr>
          <w:p w14:paraId="70B68C2E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tcBorders>
              <w:bottom w:val="nil"/>
            </w:tcBorders>
            <w:noWrap/>
            <w:vAlign w:val="center"/>
          </w:tcPr>
          <w:p w14:paraId="262CAC0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308</w:t>
            </w:r>
          </w:p>
        </w:tc>
        <w:tc>
          <w:tcPr>
            <w:tcW w:w="922" w:type="dxa"/>
            <w:tcBorders>
              <w:bottom w:val="nil"/>
            </w:tcBorders>
            <w:noWrap/>
            <w:vAlign w:val="center"/>
          </w:tcPr>
          <w:p w14:paraId="1ACFA6C4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3.781</w:t>
            </w:r>
          </w:p>
        </w:tc>
        <w:tc>
          <w:tcPr>
            <w:tcW w:w="1139" w:type="dxa"/>
            <w:tcBorders>
              <w:bottom w:val="nil"/>
            </w:tcBorders>
            <w:noWrap/>
            <w:vAlign w:val="center"/>
          </w:tcPr>
          <w:p w14:paraId="2B3D5F1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102.569</w:t>
            </w:r>
          </w:p>
        </w:tc>
        <w:tc>
          <w:tcPr>
            <w:tcW w:w="922" w:type="dxa"/>
            <w:tcBorders>
              <w:bottom w:val="nil"/>
            </w:tcBorders>
            <w:noWrap/>
            <w:vAlign w:val="center"/>
          </w:tcPr>
          <w:p w14:paraId="6C76679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0.923</w:t>
            </w:r>
          </w:p>
        </w:tc>
        <w:tc>
          <w:tcPr>
            <w:tcW w:w="1139" w:type="dxa"/>
            <w:tcBorders>
              <w:bottom w:val="nil"/>
            </w:tcBorders>
            <w:noWrap/>
            <w:vAlign w:val="center"/>
          </w:tcPr>
          <w:p w14:paraId="15713BCA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219.78</w:t>
            </w:r>
          </w:p>
        </w:tc>
        <w:tc>
          <w:tcPr>
            <w:tcW w:w="922" w:type="dxa"/>
            <w:tcBorders>
              <w:bottom w:val="nil"/>
            </w:tcBorders>
            <w:noWrap/>
            <w:vAlign w:val="center"/>
          </w:tcPr>
          <w:p w14:paraId="340F7AB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0.679</w:t>
            </w:r>
          </w:p>
        </w:tc>
        <w:tc>
          <w:tcPr>
            <w:tcW w:w="922" w:type="dxa"/>
            <w:tcBorders>
              <w:bottom w:val="nil"/>
            </w:tcBorders>
            <w:noWrap/>
            <w:vAlign w:val="center"/>
          </w:tcPr>
          <w:p w14:paraId="50E49401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0.993</w:t>
            </w:r>
          </w:p>
        </w:tc>
      </w:tr>
      <w:tr w:rsidR="00FD26CC" w:rsidRPr="006F7C01" w14:paraId="6B45DFFD" w14:textId="77777777">
        <w:trPr>
          <w:trHeight w:val="280"/>
          <w:jc w:val="center"/>
        </w:trPr>
        <w:tc>
          <w:tcPr>
            <w:tcW w:w="921" w:type="dxa"/>
            <w:vMerge/>
            <w:tcBorders>
              <w:bottom w:val="single" w:sz="4" w:space="0" w:color="auto"/>
            </w:tcBorders>
            <w:vAlign w:val="center"/>
          </w:tcPr>
          <w:p w14:paraId="0D1115FF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noWrap/>
            <w:vAlign w:val="center"/>
          </w:tcPr>
          <w:p w14:paraId="63859E4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308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vAlign w:val="center"/>
          </w:tcPr>
          <w:p w14:paraId="1816881A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3.935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noWrap/>
            <w:vAlign w:val="center"/>
          </w:tcPr>
          <w:p w14:paraId="337013A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108.44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vAlign w:val="center"/>
          </w:tcPr>
          <w:p w14:paraId="6DAECF1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0.902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noWrap/>
            <w:vAlign w:val="center"/>
          </w:tcPr>
          <w:p w14:paraId="664AEAD6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262.467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vAlign w:val="center"/>
          </w:tcPr>
          <w:p w14:paraId="631FF2F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0.728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noWrap/>
            <w:vAlign w:val="center"/>
          </w:tcPr>
          <w:p w14:paraId="5BB9357D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0.994</w:t>
            </w:r>
          </w:p>
        </w:tc>
      </w:tr>
      <w:tr w:rsidR="00FD26CC" w:rsidRPr="006F7C01" w14:paraId="5BE087E2" w14:textId="77777777">
        <w:trPr>
          <w:trHeight w:val="280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2AED61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PCMX</w:t>
            </w:r>
          </w:p>
        </w:tc>
        <w:tc>
          <w:tcPr>
            <w:tcW w:w="921" w:type="dxa"/>
            <w:tcBorders>
              <w:top w:val="single" w:sz="4" w:space="0" w:color="auto"/>
            </w:tcBorders>
            <w:noWrap/>
            <w:vAlign w:val="center"/>
          </w:tcPr>
          <w:p w14:paraId="3858CAE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298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vAlign w:val="center"/>
          </w:tcPr>
          <w:p w14:paraId="416D254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2.729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noWrap/>
            <w:vAlign w:val="center"/>
          </w:tcPr>
          <w:p w14:paraId="133C36CA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20.831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vAlign w:val="center"/>
          </w:tcPr>
          <w:p w14:paraId="080EB1FD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0.822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noWrap/>
            <w:vAlign w:val="center"/>
          </w:tcPr>
          <w:p w14:paraId="36CED8C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39.002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vAlign w:val="center"/>
          </w:tcPr>
          <w:p w14:paraId="385F2807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0.526</w:t>
            </w:r>
          </w:p>
        </w:tc>
        <w:tc>
          <w:tcPr>
            <w:tcW w:w="922" w:type="dxa"/>
            <w:tcBorders>
              <w:top w:val="single" w:sz="4" w:space="0" w:color="auto"/>
            </w:tcBorders>
            <w:noWrap/>
            <w:vAlign w:val="center"/>
          </w:tcPr>
          <w:p w14:paraId="358F774D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0.998</w:t>
            </w:r>
          </w:p>
        </w:tc>
      </w:tr>
      <w:tr w:rsidR="00FD26CC" w:rsidRPr="006F7C01" w14:paraId="4B4CF6C3" w14:textId="77777777">
        <w:trPr>
          <w:trHeight w:val="280"/>
          <w:jc w:val="center"/>
        </w:trPr>
        <w:tc>
          <w:tcPr>
            <w:tcW w:w="921" w:type="dxa"/>
            <w:vMerge/>
            <w:vAlign w:val="center"/>
          </w:tcPr>
          <w:p w14:paraId="4FC9CACF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14:paraId="0B763BA6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308</w:t>
            </w:r>
          </w:p>
        </w:tc>
        <w:tc>
          <w:tcPr>
            <w:tcW w:w="922" w:type="dxa"/>
            <w:noWrap/>
            <w:vAlign w:val="center"/>
          </w:tcPr>
          <w:p w14:paraId="51DAF79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5.651</w:t>
            </w:r>
          </w:p>
        </w:tc>
        <w:tc>
          <w:tcPr>
            <w:tcW w:w="1139" w:type="dxa"/>
            <w:noWrap/>
            <w:vAlign w:val="center"/>
          </w:tcPr>
          <w:p w14:paraId="585A3799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26.658</w:t>
            </w:r>
          </w:p>
        </w:tc>
        <w:tc>
          <w:tcPr>
            <w:tcW w:w="922" w:type="dxa"/>
            <w:noWrap/>
            <w:vAlign w:val="center"/>
          </w:tcPr>
          <w:p w14:paraId="1813C233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0.914</w:t>
            </w:r>
          </w:p>
        </w:tc>
        <w:tc>
          <w:tcPr>
            <w:tcW w:w="1139" w:type="dxa"/>
            <w:noWrap/>
            <w:vAlign w:val="center"/>
          </w:tcPr>
          <w:p w14:paraId="490DDB4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922" w:type="dxa"/>
            <w:noWrap/>
            <w:vAlign w:val="center"/>
          </w:tcPr>
          <w:p w14:paraId="33A2B200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22" w:type="dxa"/>
            <w:noWrap/>
            <w:vAlign w:val="center"/>
          </w:tcPr>
          <w:p w14:paraId="0393771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0.996</w:t>
            </w:r>
          </w:p>
        </w:tc>
      </w:tr>
      <w:tr w:rsidR="00FD26CC" w:rsidRPr="006F7C01" w14:paraId="27652BC2" w14:textId="77777777">
        <w:trPr>
          <w:trHeight w:val="280"/>
          <w:jc w:val="center"/>
        </w:trPr>
        <w:tc>
          <w:tcPr>
            <w:tcW w:w="921" w:type="dxa"/>
            <w:vMerge/>
            <w:vAlign w:val="center"/>
          </w:tcPr>
          <w:p w14:paraId="62A37A45" w14:textId="77777777" w:rsidR="00FD26CC" w:rsidRPr="006F7C01" w:rsidRDefault="00FD26CC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noWrap/>
            <w:vAlign w:val="center"/>
          </w:tcPr>
          <w:p w14:paraId="34968455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308</w:t>
            </w:r>
          </w:p>
        </w:tc>
        <w:tc>
          <w:tcPr>
            <w:tcW w:w="922" w:type="dxa"/>
            <w:noWrap/>
            <w:vAlign w:val="center"/>
          </w:tcPr>
          <w:p w14:paraId="0D5F6D80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6.734</w:t>
            </w:r>
          </w:p>
        </w:tc>
        <w:tc>
          <w:tcPr>
            <w:tcW w:w="1139" w:type="dxa"/>
            <w:noWrap/>
            <w:vAlign w:val="center"/>
          </w:tcPr>
          <w:p w14:paraId="20F878F4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36.682</w:t>
            </w:r>
          </w:p>
        </w:tc>
        <w:tc>
          <w:tcPr>
            <w:tcW w:w="922" w:type="dxa"/>
            <w:noWrap/>
            <w:vAlign w:val="center"/>
          </w:tcPr>
          <w:p w14:paraId="7744FDFB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0.952</w:t>
            </w:r>
          </w:p>
        </w:tc>
        <w:tc>
          <w:tcPr>
            <w:tcW w:w="1139" w:type="dxa"/>
            <w:noWrap/>
            <w:vAlign w:val="center"/>
          </w:tcPr>
          <w:p w14:paraId="2CD0821E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56.721</w:t>
            </w:r>
          </w:p>
        </w:tc>
        <w:tc>
          <w:tcPr>
            <w:tcW w:w="922" w:type="dxa"/>
            <w:noWrap/>
            <w:vAlign w:val="center"/>
          </w:tcPr>
          <w:p w14:paraId="561C7D28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1.765</w:t>
            </w:r>
          </w:p>
        </w:tc>
        <w:tc>
          <w:tcPr>
            <w:tcW w:w="922" w:type="dxa"/>
            <w:noWrap/>
            <w:vAlign w:val="center"/>
          </w:tcPr>
          <w:p w14:paraId="1DFA5395" w14:textId="77777777" w:rsidR="00FD26CC" w:rsidRPr="006F7C01" w:rsidRDefault="00933F97" w:rsidP="006F7C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F7C01">
              <w:rPr>
                <w:rFonts w:ascii="Times New Roman" w:hAnsi="Times New Roman" w:cs="Times New Roman"/>
                <w:sz w:val="24"/>
              </w:rPr>
              <w:t>0.995</w:t>
            </w:r>
          </w:p>
        </w:tc>
      </w:tr>
    </w:tbl>
    <w:p w14:paraId="6F4C86E4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65DFDBBA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7FD54FF" w14:textId="676335D7" w:rsidR="006F7C01" w:rsidRDefault="006F7C0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CB2A017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5BB469F2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6F7C01">
        <w:rPr>
          <w:rFonts w:ascii="Times New Roman" w:eastAsia="黑体" w:hAnsi="Times New Roman" w:cs="Times New Roman"/>
          <w:b/>
          <w:noProof/>
          <w:color w:val="000000" w:themeColor="text1"/>
          <w:sz w:val="24"/>
        </w:rPr>
        <w:drawing>
          <wp:inline distT="0" distB="0" distL="0" distR="0" wp14:anchorId="027C2B83" wp14:editId="709DF03E">
            <wp:extent cx="5219700" cy="2301875"/>
            <wp:effectExtent l="0" t="0" r="0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30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14FB7" w14:textId="77777777" w:rsidR="00FD26CC" w:rsidRPr="006F7C01" w:rsidRDefault="00933F97" w:rsidP="006F7C01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F7C01">
        <w:rPr>
          <w:rFonts w:ascii="Times New Roman" w:hAnsi="Times New Roman" w:cs="Times New Roman"/>
          <w:b/>
          <w:sz w:val="24"/>
        </w:rPr>
        <w:t xml:space="preserve">Figure </w:t>
      </w:r>
      <w:r w:rsidR="00FE3D1B" w:rsidRPr="006F7C01">
        <w:rPr>
          <w:rFonts w:ascii="Times New Roman" w:hAnsi="Times New Roman" w:cs="Times New Roman"/>
          <w:b/>
          <w:sz w:val="24"/>
        </w:rPr>
        <w:t>S12</w:t>
      </w:r>
      <w:r w:rsidRPr="006F7C01">
        <w:rPr>
          <w:rFonts w:ascii="Times New Roman" w:hAnsi="Times New Roman" w:cs="Times New Roman"/>
          <w:b/>
          <w:sz w:val="24"/>
        </w:rPr>
        <w:t>. Investigation on the reusability of Co-NPC-800 adsorbed (A) TCS and (B) PCMX</w:t>
      </w:r>
    </w:p>
    <w:p w14:paraId="516C0169" w14:textId="77777777" w:rsidR="00FD26CC" w:rsidRPr="006F7C01" w:rsidRDefault="00FD26CC" w:rsidP="006F7C01">
      <w:pPr>
        <w:spacing w:line="480" w:lineRule="auto"/>
        <w:rPr>
          <w:rFonts w:ascii="Times New Roman" w:hAnsi="Times New Roman" w:cs="Times New Roman"/>
          <w:sz w:val="24"/>
        </w:rPr>
      </w:pPr>
    </w:p>
    <w:p w14:paraId="377F027F" w14:textId="77777777" w:rsidR="00FD26CC" w:rsidRPr="006F7C01" w:rsidRDefault="00933F97" w:rsidP="006F7C01">
      <w:pPr>
        <w:spacing w:line="480" w:lineRule="auto"/>
        <w:rPr>
          <w:rFonts w:ascii="Times New Roman" w:hAnsi="Times New Roman" w:cs="Times New Roman"/>
          <w:sz w:val="24"/>
        </w:rPr>
      </w:pPr>
      <w:r w:rsidRPr="006F7C01">
        <w:rPr>
          <w:rFonts w:ascii="Times New Roman" w:hAnsi="Times New Roman" w:cs="Times New Roman"/>
          <w:sz w:val="24"/>
        </w:rPr>
        <w:fldChar w:fldCharType="begin"/>
      </w:r>
      <w:r w:rsidRPr="006F7C01">
        <w:rPr>
          <w:rFonts w:ascii="Times New Roman" w:hAnsi="Times New Roman" w:cs="Times New Roman"/>
          <w:sz w:val="24"/>
        </w:rPr>
        <w:instrText xml:space="preserve"> ADDIN EN.REFLIST </w:instrText>
      </w:r>
      <w:r w:rsidRPr="006F7C01">
        <w:rPr>
          <w:rFonts w:ascii="Times New Roman" w:hAnsi="Times New Roman" w:cs="Times New Roman"/>
          <w:sz w:val="24"/>
        </w:rPr>
        <w:fldChar w:fldCharType="end"/>
      </w:r>
    </w:p>
    <w:sectPr w:rsidR="00FD26CC" w:rsidRPr="006F7C01">
      <w:footerReference w:type="default" r:id="rId2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5001E" w14:textId="77777777" w:rsidR="001E74D1" w:rsidRDefault="001E74D1" w:rsidP="00121DC2">
      <w:r>
        <w:separator/>
      </w:r>
    </w:p>
  </w:endnote>
  <w:endnote w:type="continuationSeparator" w:id="0">
    <w:p w14:paraId="2555CC71" w14:textId="77777777" w:rsidR="001E74D1" w:rsidRDefault="001E74D1" w:rsidP="0012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lkpwkFcgcydAdvTT3713a231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7380252"/>
      <w:docPartObj>
        <w:docPartGallery w:val="Page Numbers (Bottom of Page)"/>
        <w:docPartUnique/>
      </w:docPartObj>
    </w:sdtPr>
    <w:sdtEndPr/>
    <w:sdtContent>
      <w:p w14:paraId="040606CC" w14:textId="78ACF0E8" w:rsidR="006F7C01" w:rsidRDefault="006F7C0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CBF4A1" w14:textId="77777777" w:rsidR="006F7C01" w:rsidRDefault="006F7C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71A53" w14:textId="77777777" w:rsidR="001E74D1" w:rsidRDefault="001E74D1" w:rsidP="00121DC2">
      <w:r>
        <w:separator/>
      </w:r>
    </w:p>
  </w:footnote>
  <w:footnote w:type="continuationSeparator" w:id="0">
    <w:p w14:paraId="091CB715" w14:textId="77777777" w:rsidR="001E74D1" w:rsidRDefault="001E74D1" w:rsidP="00121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Nano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f52pxpsft59wdeezw9xtzvup2r50p2psewf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/record-ids&gt;&lt;/item&gt;&lt;/Libraries&gt;"/>
  </w:docVars>
  <w:rsids>
    <w:rsidRoot w:val="00480A3C"/>
    <w:rsid w:val="00010B91"/>
    <w:rsid w:val="00012D39"/>
    <w:rsid w:val="0002186B"/>
    <w:rsid w:val="000237E5"/>
    <w:rsid w:val="000239C4"/>
    <w:rsid w:val="000267D3"/>
    <w:rsid w:val="00031A34"/>
    <w:rsid w:val="000335E8"/>
    <w:rsid w:val="00037D3C"/>
    <w:rsid w:val="00037ED0"/>
    <w:rsid w:val="000451B9"/>
    <w:rsid w:val="00075A99"/>
    <w:rsid w:val="000772C3"/>
    <w:rsid w:val="0008570F"/>
    <w:rsid w:val="00092FC8"/>
    <w:rsid w:val="0009314E"/>
    <w:rsid w:val="000943D7"/>
    <w:rsid w:val="000959CB"/>
    <w:rsid w:val="00097817"/>
    <w:rsid w:val="00097C18"/>
    <w:rsid w:val="000A34BD"/>
    <w:rsid w:val="000A42FB"/>
    <w:rsid w:val="000A4E73"/>
    <w:rsid w:val="000A4F51"/>
    <w:rsid w:val="000B42EA"/>
    <w:rsid w:val="000B6E8C"/>
    <w:rsid w:val="000B762F"/>
    <w:rsid w:val="000C4139"/>
    <w:rsid w:val="000D38AD"/>
    <w:rsid w:val="000D6D2E"/>
    <w:rsid w:val="000E2858"/>
    <w:rsid w:val="000E2E00"/>
    <w:rsid w:val="000F0972"/>
    <w:rsid w:val="000F53BB"/>
    <w:rsid w:val="000F6B76"/>
    <w:rsid w:val="000F6E4B"/>
    <w:rsid w:val="00100E03"/>
    <w:rsid w:val="001050FB"/>
    <w:rsid w:val="001124C3"/>
    <w:rsid w:val="001174CB"/>
    <w:rsid w:val="0011752A"/>
    <w:rsid w:val="0012159A"/>
    <w:rsid w:val="00121DC2"/>
    <w:rsid w:val="00123207"/>
    <w:rsid w:val="0012571E"/>
    <w:rsid w:val="00130193"/>
    <w:rsid w:val="0013085C"/>
    <w:rsid w:val="00130922"/>
    <w:rsid w:val="00130FF2"/>
    <w:rsid w:val="00143067"/>
    <w:rsid w:val="001438C9"/>
    <w:rsid w:val="00146895"/>
    <w:rsid w:val="00154483"/>
    <w:rsid w:val="001579DF"/>
    <w:rsid w:val="00160696"/>
    <w:rsid w:val="00167023"/>
    <w:rsid w:val="0016727A"/>
    <w:rsid w:val="00175A08"/>
    <w:rsid w:val="0017619D"/>
    <w:rsid w:val="00177E44"/>
    <w:rsid w:val="0018042F"/>
    <w:rsid w:val="00190A05"/>
    <w:rsid w:val="001A67EF"/>
    <w:rsid w:val="001C05E4"/>
    <w:rsid w:val="001C74EA"/>
    <w:rsid w:val="001D2DD9"/>
    <w:rsid w:val="001D4735"/>
    <w:rsid w:val="001D498B"/>
    <w:rsid w:val="001D7DA7"/>
    <w:rsid w:val="001E1B29"/>
    <w:rsid w:val="001E1F66"/>
    <w:rsid w:val="001E53FC"/>
    <w:rsid w:val="001E74D1"/>
    <w:rsid w:val="001F376C"/>
    <w:rsid w:val="001F3A12"/>
    <w:rsid w:val="002041BB"/>
    <w:rsid w:val="00205EC5"/>
    <w:rsid w:val="00207F2D"/>
    <w:rsid w:val="00212310"/>
    <w:rsid w:val="00212C32"/>
    <w:rsid w:val="002160B2"/>
    <w:rsid w:val="00216898"/>
    <w:rsid w:val="00224553"/>
    <w:rsid w:val="0024315D"/>
    <w:rsid w:val="0024317A"/>
    <w:rsid w:val="00243EB4"/>
    <w:rsid w:val="002459BA"/>
    <w:rsid w:val="002505B5"/>
    <w:rsid w:val="00250799"/>
    <w:rsid w:val="0025138E"/>
    <w:rsid w:val="00251494"/>
    <w:rsid w:val="00253B26"/>
    <w:rsid w:val="002565CF"/>
    <w:rsid w:val="00262E87"/>
    <w:rsid w:val="002703C5"/>
    <w:rsid w:val="00271857"/>
    <w:rsid w:val="0027305C"/>
    <w:rsid w:val="00276DE9"/>
    <w:rsid w:val="00282137"/>
    <w:rsid w:val="002866DB"/>
    <w:rsid w:val="00287782"/>
    <w:rsid w:val="00292C11"/>
    <w:rsid w:val="002A5092"/>
    <w:rsid w:val="002A6D55"/>
    <w:rsid w:val="002A717F"/>
    <w:rsid w:val="002B043C"/>
    <w:rsid w:val="002B0523"/>
    <w:rsid w:val="002B2AA3"/>
    <w:rsid w:val="002B30A6"/>
    <w:rsid w:val="002B30BD"/>
    <w:rsid w:val="002B70E6"/>
    <w:rsid w:val="002C0279"/>
    <w:rsid w:val="002C2A03"/>
    <w:rsid w:val="002C330B"/>
    <w:rsid w:val="002C38BC"/>
    <w:rsid w:val="002C5A9F"/>
    <w:rsid w:val="002C5DEF"/>
    <w:rsid w:val="002D2629"/>
    <w:rsid w:val="002D420C"/>
    <w:rsid w:val="002D58B0"/>
    <w:rsid w:val="002E055A"/>
    <w:rsid w:val="002E3A4F"/>
    <w:rsid w:val="002E40AB"/>
    <w:rsid w:val="002E700F"/>
    <w:rsid w:val="002E7C7E"/>
    <w:rsid w:val="002F0CDE"/>
    <w:rsid w:val="002F3CE5"/>
    <w:rsid w:val="002F452B"/>
    <w:rsid w:val="003014D6"/>
    <w:rsid w:val="003016F7"/>
    <w:rsid w:val="003050F3"/>
    <w:rsid w:val="003053EF"/>
    <w:rsid w:val="00306B4C"/>
    <w:rsid w:val="00307170"/>
    <w:rsid w:val="00312119"/>
    <w:rsid w:val="00323266"/>
    <w:rsid w:val="00323522"/>
    <w:rsid w:val="00324680"/>
    <w:rsid w:val="003247DF"/>
    <w:rsid w:val="00326E9C"/>
    <w:rsid w:val="003322B7"/>
    <w:rsid w:val="003338C2"/>
    <w:rsid w:val="00337D89"/>
    <w:rsid w:val="00345A74"/>
    <w:rsid w:val="00346A0E"/>
    <w:rsid w:val="003554BA"/>
    <w:rsid w:val="003578C0"/>
    <w:rsid w:val="00362892"/>
    <w:rsid w:val="0036499D"/>
    <w:rsid w:val="0036509F"/>
    <w:rsid w:val="003651F9"/>
    <w:rsid w:val="00366264"/>
    <w:rsid w:val="00370EB4"/>
    <w:rsid w:val="00371432"/>
    <w:rsid w:val="00383D92"/>
    <w:rsid w:val="0038669E"/>
    <w:rsid w:val="00387C97"/>
    <w:rsid w:val="003937DA"/>
    <w:rsid w:val="003A4522"/>
    <w:rsid w:val="003A4BB9"/>
    <w:rsid w:val="003A60C7"/>
    <w:rsid w:val="003A7524"/>
    <w:rsid w:val="003B2FAD"/>
    <w:rsid w:val="003B4595"/>
    <w:rsid w:val="003B4725"/>
    <w:rsid w:val="003B5E52"/>
    <w:rsid w:val="003D3E96"/>
    <w:rsid w:val="003D46DF"/>
    <w:rsid w:val="003E0770"/>
    <w:rsid w:val="003E23CE"/>
    <w:rsid w:val="003E577A"/>
    <w:rsid w:val="003F0BB3"/>
    <w:rsid w:val="003F1FD5"/>
    <w:rsid w:val="003F2A19"/>
    <w:rsid w:val="003F30CB"/>
    <w:rsid w:val="00400A03"/>
    <w:rsid w:val="00401319"/>
    <w:rsid w:val="00402378"/>
    <w:rsid w:val="00405E8F"/>
    <w:rsid w:val="004103BC"/>
    <w:rsid w:val="00411D5F"/>
    <w:rsid w:val="00412F86"/>
    <w:rsid w:val="0041327E"/>
    <w:rsid w:val="004206BD"/>
    <w:rsid w:val="004256B8"/>
    <w:rsid w:val="004319CC"/>
    <w:rsid w:val="0043236B"/>
    <w:rsid w:val="00437C9F"/>
    <w:rsid w:val="00441D32"/>
    <w:rsid w:val="00442393"/>
    <w:rsid w:val="00444196"/>
    <w:rsid w:val="00445E6B"/>
    <w:rsid w:val="00456A2F"/>
    <w:rsid w:val="00456F9F"/>
    <w:rsid w:val="00460F51"/>
    <w:rsid w:val="004610B1"/>
    <w:rsid w:val="00466AB8"/>
    <w:rsid w:val="0047764C"/>
    <w:rsid w:val="00480A3C"/>
    <w:rsid w:val="004832A5"/>
    <w:rsid w:val="0048423D"/>
    <w:rsid w:val="00484279"/>
    <w:rsid w:val="004844B3"/>
    <w:rsid w:val="004862A5"/>
    <w:rsid w:val="004915D8"/>
    <w:rsid w:val="00491C04"/>
    <w:rsid w:val="004921B6"/>
    <w:rsid w:val="00492424"/>
    <w:rsid w:val="0049560A"/>
    <w:rsid w:val="004B0205"/>
    <w:rsid w:val="004C1A14"/>
    <w:rsid w:val="004C63CF"/>
    <w:rsid w:val="004C7C65"/>
    <w:rsid w:val="004D0F2A"/>
    <w:rsid w:val="004E4563"/>
    <w:rsid w:val="004F2630"/>
    <w:rsid w:val="004F4355"/>
    <w:rsid w:val="004F78F1"/>
    <w:rsid w:val="00512876"/>
    <w:rsid w:val="00520518"/>
    <w:rsid w:val="00523596"/>
    <w:rsid w:val="00523F0D"/>
    <w:rsid w:val="005317BF"/>
    <w:rsid w:val="00537C11"/>
    <w:rsid w:val="00540381"/>
    <w:rsid w:val="00545D06"/>
    <w:rsid w:val="00551D2D"/>
    <w:rsid w:val="00553930"/>
    <w:rsid w:val="0055491E"/>
    <w:rsid w:val="00554B0E"/>
    <w:rsid w:val="005620CA"/>
    <w:rsid w:val="0056569D"/>
    <w:rsid w:val="00565D94"/>
    <w:rsid w:val="00565F3D"/>
    <w:rsid w:val="00566C30"/>
    <w:rsid w:val="00574BDE"/>
    <w:rsid w:val="00575733"/>
    <w:rsid w:val="005779E5"/>
    <w:rsid w:val="00577FEC"/>
    <w:rsid w:val="005811CF"/>
    <w:rsid w:val="00591847"/>
    <w:rsid w:val="00591FF2"/>
    <w:rsid w:val="00592298"/>
    <w:rsid w:val="00592A06"/>
    <w:rsid w:val="0059651F"/>
    <w:rsid w:val="005A3B50"/>
    <w:rsid w:val="005A7BAB"/>
    <w:rsid w:val="005B10C6"/>
    <w:rsid w:val="005B667E"/>
    <w:rsid w:val="005C1699"/>
    <w:rsid w:val="005C2D95"/>
    <w:rsid w:val="005C3CF9"/>
    <w:rsid w:val="005D640C"/>
    <w:rsid w:val="005D76F3"/>
    <w:rsid w:val="005E0FC9"/>
    <w:rsid w:val="005F2577"/>
    <w:rsid w:val="006006DC"/>
    <w:rsid w:val="006076B9"/>
    <w:rsid w:val="00612D33"/>
    <w:rsid w:val="00614C0E"/>
    <w:rsid w:val="00615A06"/>
    <w:rsid w:val="006217A8"/>
    <w:rsid w:val="00624C17"/>
    <w:rsid w:val="00625D17"/>
    <w:rsid w:val="0062686D"/>
    <w:rsid w:val="00632BEE"/>
    <w:rsid w:val="006365E5"/>
    <w:rsid w:val="00637FCF"/>
    <w:rsid w:val="006418A5"/>
    <w:rsid w:val="00642553"/>
    <w:rsid w:val="00645BB4"/>
    <w:rsid w:val="0064785E"/>
    <w:rsid w:val="006511F1"/>
    <w:rsid w:val="00652ADC"/>
    <w:rsid w:val="00654647"/>
    <w:rsid w:val="00660003"/>
    <w:rsid w:val="0066336D"/>
    <w:rsid w:val="00666F31"/>
    <w:rsid w:val="0066796A"/>
    <w:rsid w:val="006704DC"/>
    <w:rsid w:val="00670FCF"/>
    <w:rsid w:val="00674F03"/>
    <w:rsid w:val="006875E6"/>
    <w:rsid w:val="00692FAF"/>
    <w:rsid w:val="006943E3"/>
    <w:rsid w:val="006A0397"/>
    <w:rsid w:val="006A10CF"/>
    <w:rsid w:val="006A4BA9"/>
    <w:rsid w:val="006A54B8"/>
    <w:rsid w:val="006B0589"/>
    <w:rsid w:val="006B1EE4"/>
    <w:rsid w:val="006B37EE"/>
    <w:rsid w:val="006B4A3F"/>
    <w:rsid w:val="006B719A"/>
    <w:rsid w:val="006C148B"/>
    <w:rsid w:val="006C219F"/>
    <w:rsid w:val="006C3195"/>
    <w:rsid w:val="006C47E9"/>
    <w:rsid w:val="006D2547"/>
    <w:rsid w:val="006D25E6"/>
    <w:rsid w:val="006D31C5"/>
    <w:rsid w:val="006D616F"/>
    <w:rsid w:val="006E6698"/>
    <w:rsid w:val="006F13DC"/>
    <w:rsid w:val="006F1C44"/>
    <w:rsid w:val="006F6FBC"/>
    <w:rsid w:val="006F7C01"/>
    <w:rsid w:val="006F7CEA"/>
    <w:rsid w:val="00711637"/>
    <w:rsid w:val="007227F9"/>
    <w:rsid w:val="00727BB1"/>
    <w:rsid w:val="00730E3F"/>
    <w:rsid w:val="0073324C"/>
    <w:rsid w:val="00737F98"/>
    <w:rsid w:val="007445CD"/>
    <w:rsid w:val="0074656A"/>
    <w:rsid w:val="007578B4"/>
    <w:rsid w:val="00763B47"/>
    <w:rsid w:val="0076626E"/>
    <w:rsid w:val="00766537"/>
    <w:rsid w:val="00766CEB"/>
    <w:rsid w:val="0077224F"/>
    <w:rsid w:val="00773D94"/>
    <w:rsid w:val="0078385D"/>
    <w:rsid w:val="00784D1F"/>
    <w:rsid w:val="0079286A"/>
    <w:rsid w:val="007971F2"/>
    <w:rsid w:val="007A7EFC"/>
    <w:rsid w:val="007B100B"/>
    <w:rsid w:val="007B4CA9"/>
    <w:rsid w:val="007B7CBB"/>
    <w:rsid w:val="007C12AA"/>
    <w:rsid w:val="007C1473"/>
    <w:rsid w:val="007C2106"/>
    <w:rsid w:val="007C2C23"/>
    <w:rsid w:val="007C7017"/>
    <w:rsid w:val="007D0699"/>
    <w:rsid w:val="007D7D60"/>
    <w:rsid w:val="007E02BB"/>
    <w:rsid w:val="007E1698"/>
    <w:rsid w:val="007E488C"/>
    <w:rsid w:val="007E6E5A"/>
    <w:rsid w:val="007F7510"/>
    <w:rsid w:val="008032AA"/>
    <w:rsid w:val="008065E0"/>
    <w:rsid w:val="00807DDF"/>
    <w:rsid w:val="00811661"/>
    <w:rsid w:val="00813D83"/>
    <w:rsid w:val="00817F19"/>
    <w:rsid w:val="00825D65"/>
    <w:rsid w:val="00826995"/>
    <w:rsid w:val="008316C9"/>
    <w:rsid w:val="008353EC"/>
    <w:rsid w:val="0084039C"/>
    <w:rsid w:val="00842A44"/>
    <w:rsid w:val="00846469"/>
    <w:rsid w:val="008516E4"/>
    <w:rsid w:val="008532DD"/>
    <w:rsid w:val="00864E9A"/>
    <w:rsid w:val="0086502D"/>
    <w:rsid w:val="00872203"/>
    <w:rsid w:val="008735DA"/>
    <w:rsid w:val="00876E10"/>
    <w:rsid w:val="008772C2"/>
    <w:rsid w:val="0089301E"/>
    <w:rsid w:val="00896E15"/>
    <w:rsid w:val="008A4B70"/>
    <w:rsid w:val="008A5FCB"/>
    <w:rsid w:val="008A7DB9"/>
    <w:rsid w:val="008C475A"/>
    <w:rsid w:val="008C4F09"/>
    <w:rsid w:val="008D7294"/>
    <w:rsid w:val="008E1053"/>
    <w:rsid w:val="008E2591"/>
    <w:rsid w:val="008E3EA1"/>
    <w:rsid w:val="008E59AC"/>
    <w:rsid w:val="008F4A6C"/>
    <w:rsid w:val="008F6E04"/>
    <w:rsid w:val="00913FDF"/>
    <w:rsid w:val="00915936"/>
    <w:rsid w:val="00917227"/>
    <w:rsid w:val="009173A6"/>
    <w:rsid w:val="009211F7"/>
    <w:rsid w:val="00930A1E"/>
    <w:rsid w:val="0093186F"/>
    <w:rsid w:val="00933F97"/>
    <w:rsid w:val="009357D5"/>
    <w:rsid w:val="0093670B"/>
    <w:rsid w:val="00941516"/>
    <w:rsid w:val="00950218"/>
    <w:rsid w:val="009602C7"/>
    <w:rsid w:val="0096244D"/>
    <w:rsid w:val="009750A3"/>
    <w:rsid w:val="00975A9E"/>
    <w:rsid w:val="009847BE"/>
    <w:rsid w:val="009A41E6"/>
    <w:rsid w:val="009A430E"/>
    <w:rsid w:val="009A56C4"/>
    <w:rsid w:val="009A60D0"/>
    <w:rsid w:val="009A6A55"/>
    <w:rsid w:val="009C5C65"/>
    <w:rsid w:val="009D0474"/>
    <w:rsid w:val="009D3988"/>
    <w:rsid w:val="009D7F73"/>
    <w:rsid w:val="009E248E"/>
    <w:rsid w:val="009F7D8D"/>
    <w:rsid w:val="00A07D75"/>
    <w:rsid w:val="00A10C81"/>
    <w:rsid w:val="00A14B50"/>
    <w:rsid w:val="00A2137C"/>
    <w:rsid w:val="00A24E28"/>
    <w:rsid w:val="00A25F01"/>
    <w:rsid w:val="00A403CE"/>
    <w:rsid w:val="00A46A08"/>
    <w:rsid w:val="00A56E6D"/>
    <w:rsid w:val="00A617FF"/>
    <w:rsid w:val="00A630A1"/>
    <w:rsid w:val="00A75719"/>
    <w:rsid w:val="00A77A26"/>
    <w:rsid w:val="00A83A9A"/>
    <w:rsid w:val="00A8587C"/>
    <w:rsid w:val="00A86A83"/>
    <w:rsid w:val="00A93765"/>
    <w:rsid w:val="00AB2286"/>
    <w:rsid w:val="00AC0A9C"/>
    <w:rsid w:val="00AC142B"/>
    <w:rsid w:val="00AC50C1"/>
    <w:rsid w:val="00AC55AD"/>
    <w:rsid w:val="00AC7C78"/>
    <w:rsid w:val="00AD2E35"/>
    <w:rsid w:val="00AD32E1"/>
    <w:rsid w:val="00AE2178"/>
    <w:rsid w:val="00AE4DB7"/>
    <w:rsid w:val="00AF7974"/>
    <w:rsid w:val="00B007B7"/>
    <w:rsid w:val="00B0315F"/>
    <w:rsid w:val="00B06538"/>
    <w:rsid w:val="00B157A0"/>
    <w:rsid w:val="00B15932"/>
    <w:rsid w:val="00B16AFD"/>
    <w:rsid w:val="00B20EED"/>
    <w:rsid w:val="00B22AC8"/>
    <w:rsid w:val="00B26535"/>
    <w:rsid w:val="00B31E1B"/>
    <w:rsid w:val="00B4222F"/>
    <w:rsid w:val="00B50478"/>
    <w:rsid w:val="00B51B3B"/>
    <w:rsid w:val="00B557D6"/>
    <w:rsid w:val="00B56F7D"/>
    <w:rsid w:val="00B61F9A"/>
    <w:rsid w:val="00B66645"/>
    <w:rsid w:val="00B71CF6"/>
    <w:rsid w:val="00B7388E"/>
    <w:rsid w:val="00B81B7E"/>
    <w:rsid w:val="00B82CCE"/>
    <w:rsid w:val="00B85EC1"/>
    <w:rsid w:val="00B90D70"/>
    <w:rsid w:val="00B91546"/>
    <w:rsid w:val="00B9273D"/>
    <w:rsid w:val="00B93357"/>
    <w:rsid w:val="00B9592F"/>
    <w:rsid w:val="00B95BE9"/>
    <w:rsid w:val="00B9711D"/>
    <w:rsid w:val="00BA180F"/>
    <w:rsid w:val="00BA1B70"/>
    <w:rsid w:val="00BA4AAA"/>
    <w:rsid w:val="00BB5ACA"/>
    <w:rsid w:val="00BB792D"/>
    <w:rsid w:val="00BC5472"/>
    <w:rsid w:val="00BC5732"/>
    <w:rsid w:val="00BC5F70"/>
    <w:rsid w:val="00BC6D7D"/>
    <w:rsid w:val="00BC7F6F"/>
    <w:rsid w:val="00BD0C4F"/>
    <w:rsid w:val="00BD4A0C"/>
    <w:rsid w:val="00BD6C8F"/>
    <w:rsid w:val="00BE06BB"/>
    <w:rsid w:val="00BF0CDD"/>
    <w:rsid w:val="00BF2AB0"/>
    <w:rsid w:val="00BF672E"/>
    <w:rsid w:val="00BF7133"/>
    <w:rsid w:val="00C100C0"/>
    <w:rsid w:val="00C11EEF"/>
    <w:rsid w:val="00C120F4"/>
    <w:rsid w:val="00C122AC"/>
    <w:rsid w:val="00C12D72"/>
    <w:rsid w:val="00C163DA"/>
    <w:rsid w:val="00C22E09"/>
    <w:rsid w:val="00C37888"/>
    <w:rsid w:val="00C46032"/>
    <w:rsid w:val="00C516A7"/>
    <w:rsid w:val="00C53C1C"/>
    <w:rsid w:val="00C542EC"/>
    <w:rsid w:val="00C62BF8"/>
    <w:rsid w:val="00C65455"/>
    <w:rsid w:val="00C659F0"/>
    <w:rsid w:val="00C73775"/>
    <w:rsid w:val="00C74C50"/>
    <w:rsid w:val="00C7667A"/>
    <w:rsid w:val="00C77A4F"/>
    <w:rsid w:val="00C80413"/>
    <w:rsid w:val="00C8389F"/>
    <w:rsid w:val="00C84910"/>
    <w:rsid w:val="00C877DE"/>
    <w:rsid w:val="00C90960"/>
    <w:rsid w:val="00C96644"/>
    <w:rsid w:val="00C97256"/>
    <w:rsid w:val="00CA105E"/>
    <w:rsid w:val="00CA55A1"/>
    <w:rsid w:val="00CB112C"/>
    <w:rsid w:val="00CB260D"/>
    <w:rsid w:val="00CB455A"/>
    <w:rsid w:val="00CB68A4"/>
    <w:rsid w:val="00CC0698"/>
    <w:rsid w:val="00CC2DA6"/>
    <w:rsid w:val="00CC6FFE"/>
    <w:rsid w:val="00CD2EF0"/>
    <w:rsid w:val="00CD7072"/>
    <w:rsid w:val="00CD7CC3"/>
    <w:rsid w:val="00CE3BE5"/>
    <w:rsid w:val="00CF0592"/>
    <w:rsid w:val="00CF5D18"/>
    <w:rsid w:val="00CF6CD8"/>
    <w:rsid w:val="00D02640"/>
    <w:rsid w:val="00D061F6"/>
    <w:rsid w:val="00D10F4C"/>
    <w:rsid w:val="00D113F8"/>
    <w:rsid w:val="00D11C53"/>
    <w:rsid w:val="00D135B2"/>
    <w:rsid w:val="00D14B70"/>
    <w:rsid w:val="00D1536E"/>
    <w:rsid w:val="00D15F2A"/>
    <w:rsid w:val="00D170D8"/>
    <w:rsid w:val="00D2075D"/>
    <w:rsid w:val="00D21616"/>
    <w:rsid w:val="00D27A24"/>
    <w:rsid w:val="00D312D4"/>
    <w:rsid w:val="00D32ACA"/>
    <w:rsid w:val="00D35F91"/>
    <w:rsid w:val="00D40C76"/>
    <w:rsid w:val="00D4611D"/>
    <w:rsid w:val="00D46BBE"/>
    <w:rsid w:val="00D5095A"/>
    <w:rsid w:val="00D5415A"/>
    <w:rsid w:val="00D63938"/>
    <w:rsid w:val="00D6443F"/>
    <w:rsid w:val="00D7081C"/>
    <w:rsid w:val="00D7247C"/>
    <w:rsid w:val="00D90D12"/>
    <w:rsid w:val="00D91E13"/>
    <w:rsid w:val="00DA0092"/>
    <w:rsid w:val="00DA4C3D"/>
    <w:rsid w:val="00DB603A"/>
    <w:rsid w:val="00DB78AE"/>
    <w:rsid w:val="00DC0807"/>
    <w:rsid w:val="00DD04B5"/>
    <w:rsid w:val="00DD1C85"/>
    <w:rsid w:val="00DD2418"/>
    <w:rsid w:val="00DD6E62"/>
    <w:rsid w:val="00DE1086"/>
    <w:rsid w:val="00DE11A9"/>
    <w:rsid w:val="00DE6AB8"/>
    <w:rsid w:val="00DF16B5"/>
    <w:rsid w:val="00DF17B6"/>
    <w:rsid w:val="00DF56F1"/>
    <w:rsid w:val="00DF7261"/>
    <w:rsid w:val="00E0027E"/>
    <w:rsid w:val="00E004A2"/>
    <w:rsid w:val="00E01214"/>
    <w:rsid w:val="00E02AAF"/>
    <w:rsid w:val="00E10EC9"/>
    <w:rsid w:val="00E11B54"/>
    <w:rsid w:val="00E214EF"/>
    <w:rsid w:val="00E301AF"/>
    <w:rsid w:val="00E354E7"/>
    <w:rsid w:val="00E36CF1"/>
    <w:rsid w:val="00E37842"/>
    <w:rsid w:val="00E40991"/>
    <w:rsid w:val="00E44CB4"/>
    <w:rsid w:val="00E44EC6"/>
    <w:rsid w:val="00E45732"/>
    <w:rsid w:val="00E46FE9"/>
    <w:rsid w:val="00E500F3"/>
    <w:rsid w:val="00E50914"/>
    <w:rsid w:val="00E55A57"/>
    <w:rsid w:val="00E56A06"/>
    <w:rsid w:val="00E606E1"/>
    <w:rsid w:val="00E617A0"/>
    <w:rsid w:val="00E624D5"/>
    <w:rsid w:val="00E638EF"/>
    <w:rsid w:val="00E6537B"/>
    <w:rsid w:val="00E71497"/>
    <w:rsid w:val="00E71B0E"/>
    <w:rsid w:val="00E721C2"/>
    <w:rsid w:val="00E725D3"/>
    <w:rsid w:val="00E764CB"/>
    <w:rsid w:val="00E80D72"/>
    <w:rsid w:val="00E824AA"/>
    <w:rsid w:val="00E83676"/>
    <w:rsid w:val="00E83A23"/>
    <w:rsid w:val="00E87E64"/>
    <w:rsid w:val="00E91F09"/>
    <w:rsid w:val="00E957F9"/>
    <w:rsid w:val="00EB0F94"/>
    <w:rsid w:val="00EB168B"/>
    <w:rsid w:val="00EB2FF1"/>
    <w:rsid w:val="00EB7798"/>
    <w:rsid w:val="00EC7CD9"/>
    <w:rsid w:val="00ED18C0"/>
    <w:rsid w:val="00ED3745"/>
    <w:rsid w:val="00EE0FC6"/>
    <w:rsid w:val="00EE4197"/>
    <w:rsid w:val="00EF18FA"/>
    <w:rsid w:val="00EF567D"/>
    <w:rsid w:val="00EF62B6"/>
    <w:rsid w:val="00EF632B"/>
    <w:rsid w:val="00EF7613"/>
    <w:rsid w:val="00F03289"/>
    <w:rsid w:val="00F06C1E"/>
    <w:rsid w:val="00F133A1"/>
    <w:rsid w:val="00F178FC"/>
    <w:rsid w:val="00F2001D"/>
    <w:rsid w:val="00F2500C"/>
    <w:rsid w:val="00F32DC4"/>
    <w:rsid w:val="00F472C9"/>
    <w:rsid w:val="00F5187B"/>
    <w:rsid w:val="00F52BC9"/>
    <w:rsid w:val="00F53138"/>
    <w:rsid w:val="00F55AE3"/>
    <w:rsid w:val="00F63BE6"/>
    <w:rsid w:val="00F65760"/>
    <w:rsid w:val="00F70E2E"/>
    <w:rsid w:val="00F711CC"/>
    <w:rsid w:val="00F73927"/>
    <w:rsid w:val="00F73B9D"/>
    <w:rsid w:val="00F73F78"/>
    <w:rsid w:val="00F74E71"/>
    <w:rsid w:val="00F80F69"/>
    <w:rsid w:val="00F838C0"/>
    <w:rsid w:val="00F84ACF"/>
    <w:rsid w:val="00F868F9"/>
    <w:rsid w:val="00F87E87"/>
    <w:rsid w:val="00F90C82"/>
    <w:rsid w:val="00F92048"/>
    <w:rsid w:val="00F925AF"/>
    <w:rsid w:val="00F941C9"/>
    <w:rsid w:val="00F9781C"/>
    <w:rsid w:val="00FA5253"/>
    <w:rsid w:val="00FA79D4"/>
    <w:rsid w:val="00FB3243"/>
    <w:rsid w:val="00FB3CA6"/>
    <w:rsid w:val="00FC4EB1"/>
    <w:rsid w:val="00FC5FAA"/>
    <w:rsid w:val="00FC64BB"/>
    <w:rsid w:val="00FD1113"/>
    <w:rsid w:val="00FD169D"/>
    <w:rsid w:val="00FD26CC"/>
    <w:rsid w:val="00FD763D"/>
    <w:rsid w:val="00FD7F98"/>
    <w:rsid w:val="00FE0C4B"/>
    <w:rsid w:val="00FE0C94"/>
    <w:rsid w:val="00FE31BE"/>
    <w:rsid w:val="00FE3216"/>
    <w:rsid w:val="00FE3D1B"/>
    <w:rsid w:val="00FE5132"/>
    <w:rsid w:val="00FF1F4C"/>
    <w:rsid w:val="00FF2C73"/>
    <w:rsid w:val="0C3C2558"/>
    <w:rsid w:val="0F7F51FD"/>
    <w:rsid w:val="12AD3BA5"/>
    <w:rsid w:val="24CA3EC5"/>
    <w:rsid w:val="44E349A3"/>
    <w:rsid w:val="4552219C"/>
    <w:rsid w:val="49C666FF"/>
    <w:rsid w:val="5A7121B9"/>
    <w:rsid w:val="5C860983"/>
    <w:rsid w:val="61B52F1C"/>
    <w:rsid w:val="6D015469"/>
    <w:rsid w:val="77FC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CF553F"/>
  <w15:docId w15:val="{4AE0117E-D7B3-49EA-9A7A-F4B7EAFC7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Pr>
      <w:sz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FollowedHyperlink"/>
    <w:basedOn w:val="a0"/>
    <w:qFormat/>
    <w:rPr>
      <w:color w:val="666666"/>
      <w:u w:val="none"/>
    </w:rPr>
  </w:style>
  <w:style w:type="character" w:styleId="ad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e">
    <w:name w:val="Hyperlink"/>
    <w:basedOn w:val="a0"/>
    <w:qFormat/>
    <w:rPr>
      <w:rFonts w:ascii="Arial" w:hAnsi="Arial" w:cs="Arial"/>
      <w:color w:val="666666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character" w:customStyle="1" w:styleId="focus">
    <w:name w:val="focus"/>
    <w:basedOn w:val="a0"/>
    <w:qFormat/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ordinary-span-edit1">
    <w:name w:val="ordinary-span-edit1"/>
    <w:basedOn w:val="a0"/>
    <w:qFormat/>
    <w:rPr>
      <w:bdr w:val="single" w:sz="6" w:space="0" w:color="4D90FE"/>
      <w:shd w:val="clear" w:color="auto" w:fill="FFFFFF"/>
    </w:rPr>
  </w:style>
  <w:style w:type="character" w:styleId="af">
    <w:name w:val="Placeholder Text"/>
    <w:basedOn w:val="a0"/>
    <w:uiPriority w:val="99"/>
    <w:semiHidden/>
    <w:qFormat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eastAsiaTheme="minorEastAsia" w:hAnsi="Calibri" w:cs="Calibri"/>
      <w:kern w:val="2"/>
      <w:szCs w:val="24"/>
    </w:rPr>
  </w:style>
  <w:style w:type="character" w:customStyle="1" w:styleId="fontstyle01">
    <w:name w:val="fontstyle01"/>
    <w:basedOn w:val="a0"/>
    <w:rsid w:val="00FE0C4B"/>
    <w:rPr>
      <w:rFonts w:ascii="PlkpwkFcgcydAdvTT3713a231" w:hAnsi="PlkpwkFcgcyd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customXml" Target="../customXml/item2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52AA1C-C65B-4E97-BD96-2E33EC6A6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1456</Words>
  <Characters>8303</Characters>
  <Application>Microsoft Office Word</Application>
  <DocSecurity>0</DocSecurity>
  <Lines>69</Lines>
  <Paragraphs>19</Paragraphs>
  <ScaleCrop>false</ScaleCrop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Shuxia Xu</cp:lastModifiedBy>
  <cp:revision>2</cp:revision>
  <dcterms:created xsi:type="dcterms:W3CDTF">2021-11-15T08:19:00Z</dcterms:created>
  <dcterms:modified xsi:type="dcterms:W3CDTF">2021-11-15T08:19:00Z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FE48E9836574461C8A924B8ECEA1745B</vt:lpwstr>
  </property>
</Properties>
</file>