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sz w:val="24"/>
        </w:rPr>
        <w:t>Supplementary Table S2. Sensitivity Analyses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Analysis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Events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AUC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LOS &gt; P80 (14d)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1370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244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0.733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LOS &gt; P90 (19d)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1370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117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0.742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Exclude neonates (&lt;28d)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845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95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0.613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Prolonged LOS only (excl deaths)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1354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299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0.721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Death only (severe outcome)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1370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16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0.727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Complete case (n=1370)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1370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315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0.722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Infants &lt;1y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525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220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0.719</w:t>
            </w:r>
          </w:p>
        </w:tc>
      </w:tr>
      <w:tr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Children &gt;=1y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845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95</w:t>
            </w:r>
          </w:p>
        </w:tc>
        <w:tc>
          <w:tcPr>
            <w:tcW w:type="dxa" w:w="2256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0.613</w:t>
            </w:r>
          </w:p>
        </w:tc>
      </w:tr>
    </w:tbl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