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Times New Roman" w:hAnsi="Times New Roman"/>
          <w:b/>
          <w:sz w:val="24"/>
        </w:rPr>
        <w:t>Supplementary Table S4. Model Performance by CHD Subtype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CHD Category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N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Events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Event Rate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AUC</w:t>
            </w:r>
          </w:p>
        </w:tc>
      </w:tr>
      <w:tr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Isolated septal defect (Q21)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1041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183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17.6%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0.664</w:t>
            </w:r>
          </w:p>
        </w:tc>
      </w:tr>
      <w:tr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Other single defect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148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74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50.0%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0.767</w:t>
            </w:r>
          </w:p>
        </w:tc>
      </w:tr>
      <w:tr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Great vessel anomaly (Q25/Q26)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97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30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30.9%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0.833</w:t>
            </w:r>
          </w:p>
        </w:tc>
      </w:tr>
      <w:tr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Complex CHD (&gt;=2 codes)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84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28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33.3%</w:t>
            </w:r>
          </w:p>
        </w:tc>
        <w:tc>
          <w:tcPr>
            <w:tcW w:type="dxa" w:w="1805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0.802</w:t>
            </w:r>
          </w:p>
        </w:tc>
      </w:tr>
    </w:tbl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