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F39" w:rsidRPr="00DC5704" w:rsidRDefault="00330F39" w:rsidP="00330F39">
      <w:pPr>
        <w:spacing w:after="0" w:line="360" w:lineRule="auto"/>
        <w:jc w:val="center"/>
        <w:rPr>
          <w:rFonts w:ascii="Times New Roman Bold" w:hAnsi="Times New Roman Bold" w:cs="Times New Roman Bold"/>
          <w:b/>
          <w:sz w:val="20"/>
          <w:szCs w:val="20"/>
        </w:rPr>
      </w:pPr>
      <w:bookmarkStart w:id="0" w:name="_GoBack"/>
      <w:r w:rsidRPr="00DC5704">
        <w:rPr>
          <w:rFonts w:ascii="Times New Roman Bold" w:hAnsi="Times New Roman Bold" w:cs="Times New Roman Bold"/>
          <w:b/>
          <w:sz w:val="20"/>
          <w:szCs w:val="20"/>
        </w:rPr>
        <w:t>Appendix</w:t>
      </w:r>
      <w:bookmarkEnd w:id="0"/>
      <w:r w:rsidRPr="00DC5704">
        <w:rPr>
          <w:rFonts w:ascii="Times New Roman Bold" w:hAnsi="Times New Roman Bold" w:cs="Times New Roman Bold"/>
          <w:b/>
          <w:sz w:val="20"/>
          <w:szCs w:val="20"/>
        </w:rPr>
        <w:t xml:space="preserve"> Table A1: Variable Definitions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6"/>
        <w:gridCol w:w="6936"/>
      </w:tblGrid>
      <w:tr w:rsidR="00330F39" w:rsidRPr="00DC5704" w:rsidTr="00506333">
        <w:trPr>
          <w:trHeight w:val="397"/>
        </w:trPr>
        <w:tc>
          <w:tcPr>
            <w:tcW w:w="1586" w:type="dxa"/>
            <w:tcBorders>
              <w:bottom w:val="single" w:sz="4" w:space="0" w:color="auto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Variable</w:t>
            </w:r>
          </w:p>
        </w:tc>
        <w:tc>
          <w:tcPr>
            <w:tcW w:w="6936" w:type="dxa"/>
            <w:tcBorders>
              <w:bottom w:val="single" w:sz="4" w:space="0" w:color="auto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Definition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proofErr w:type="spellStart"/>
            <w:r w:rsidRPr="00DC5704">
              <w:rPr>
                <w:sz w:val="20"/>
                <w:szCs w:val="20"/>
              </w:rPr>
              <w:t>lnwage</w:t>
            </w:r>
            <w:proofErr w:type="spellEnd"/>
          </w:p>
        </w:tc>
        <w:tc>
          <w:tcPr>
            <w:tcW w:w="693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logarithm of (wages paid by the firm to the employees and the cash paid for the employees/the number of employees)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ER</w:t>
            </w:r>
            <w:r w:rsidRPr="00DC5704">
              <w:rPr>
                <w:rFonts w:hint="eastAsia"/>
                <w:sz w:val="20"/>
                <w:szCs w:val="20"/>
              </w:rPr>
              <w:t>×</w:t>
            </w:r>
            <w:r w:rsidRPr="00DC5704">
              <w:rPr>
                <w:sz w:val="20"/>
                <w:szCs w:val="20"/>
              </w:rPr>
              <w:t>P</w:t>
            </w:r>
            <w:r w:rsidRPr="00DC5704">
              <w:rPr>
                <w:rFonts w:hint="eastAsia"/>
                <w:sz w:val="20"/>
                <w:szCs w:val="20"/>
              </w:rPr>
              <w:t>ost</w:t>
            </w:r>
          </w:p>
        </w:tc>
        <w:tc>
          <w:tcPr>
            <w:tcW w:w="693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240" w:lineRule="auto"/>
              <w:rPr>
                <w:rFonts w:ascii="Times New Roman Bold" w:hAnsi="Times New Roman Bold" w:cs="Times New Roman Bold"/>
                <w:b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 xml:space="preserve">If a clear environmental regulation target is issued in a certain year after the PRTRL is signed, the value is 1; </w:t>
            </w:r>
            <w:r w:rsidRPr="00DC5704">
              <w:rPr>
                <w:rFonts w:hint="eastAsia"/>
                <w:sz w:val="20"/>
                <w:szCs w:val="20"/>
              </w:rPr>
              <w:t>0 otherwise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proofErr w:type="spellStart"/>
            <w:r w:rsidRPr="00DC5704">
              <w:rPr>
                <w:sz w:val="20"/>
                <w:szCs w:val="20"/>
              </w:rPr>
              <w:t>lnage</w:t>
            </w:r>
            <w:proofErr w:type="spellEnd"/>
          </w:p>
        </w:tc>
        <w:tc>
          <w:tcPr>
            <w:tcW w:w="693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rFonts w:ascii="Times New Roman Bold" w:hAnsi="Times New Roman Bold" w:cs="Times New Roman Bold"/>
                <w:b/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logarithm of (firm's age)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lev</w:t>
            </w:r>
          </w:p>
        </w:tc>
        <w:tc>
          <w:tcPr>
            <w:tcW w:w="693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t</w:t>
            </w:r>
            <w:r w:rsidRPr="00DC5704">
              <w:rPr>
                <w:rFonts w:hint="eastAsia"/>
                <w:sz w:val="20"/>
                <w:szCs w:val="20"/>
              </w:rPr>
              <w:t>otal liabilities</w:t>
            </w:r>
            <w:r w:rsidRPr="00DC5704">
              <w:rPr>
                <w:sz w:val="20"/>
                <w:szCs w:val="20"/>
              </w:rPr>
              <w:t>/total assets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size</w:t>
            </w:r>
          </w:p>
        </w:tc>
        <w:tc>
          <w:tcPr>
            <w:tcW w:w="693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rFonts w:ascii="Times New Roman Bold" w:hAnsi="Times New Roman Bold" w:cs="Times New Roman Bold"/>
                <w:b/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logarithm of total assets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proofErr w:type="spellStart"/>
            <w:r w:rsidRPr="00DC5704">
              <w:rPr>
                <w:sz w:val="20"/>
                <w:szCs w:val="20"/>
              </w:rPr>
              <w:t>roa</w:t>
            </w:r>
            <w:proofErr w:type="spellEnd"/>
          </w:p>
        </w:tc>
        <w:tc>
          <w:tcPr>
            <w:tcW w:w="693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net pro</w:t>
            </w:r>
            <w:r w:rsidRPr="00DC5704">
              <w:rPr>
                <w:rFonts w:hint="eastAsia"/>
                <w:sz w:val="20"/>
                <w:szCs w:val="20"/>
              </w:rPr>
              <w:t>fi</w:t>
            </w:r>
            <w:r w:rsidRPr="00DC5704">
              <w:rPr>
                <w:sz w:val="20"/>
                <w:szCs w:val="20"/>
              </w:rPr>
              <w:t>t/total assets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proofErr w:type="spellStart"/>
            <w:r w:rsidRPr="00DC5704">
              <w:rPr>
                <w:sz w:val="20"/>
                <w:szCs w:val="20"/>
              </w:rPr>
              <w:t>lncapital</w:t>
            </w:r>
            <w:proofErr w:type="spellEnd"/>
          </w:p>
        </w:tc>
        <w:tc>
          <w:tcPr>
            <w:tcW w:w="693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rFonts w:ascii="Times New Roman Bold" w:hAnsi="Times New Roman Bold" w:cs="Times New Roman Bold"/>
                <w:b/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logarithm of (the annual average balance of net fixed assets/the annual average number of employees)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proofErr w:type="spellStart"/>
            <w:r w:rsidRPr="00DC5704">
              <w:rPr>
                <w:sz w:val="20"/>
                <w:szCs w:val="20"/>
              </w:rPr>
              <w:t>lnL</w:t>
            </w:r>
            <w:proofErr w:type="spellEnd"/>
          </w:p>
        </w:tc>
        <w:tc>
          <w:tcPr>
            <w:tcW w:w="693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rFonts w:ascii="Times New Roman Bold" w:hAnsi="Times New Roman Bold" w:cs="Times New Roman Bold"/>
                <w:b/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logarithm of the number of employees</w:t>
            </w:r>
          </w:p>
        </w:tc>
      </w:tr>
      <w:tr w:rsidR="00330F39" w:rsidRPr="00DC5704" w:rsidTr="00506333">
        <w:trPr>
          <w:trHeight w:val="397"/>
        </w:trPr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/>
              <w:rPr>
                <w:sz w:val="20"/>
                <w:szCs w:val="20"/>
              </w:rPr>
            </w:pPr>
            <w:r w:rsidRPr="00DC5704">
              <w:rPr>
                <w:sz w:val="20"/>
                <w:szCs w:val="20"/>
              </w:rPr>
              <w:t>tang</w:t>
            </w:r>
          </w:p>
        </w:tc>
        <w:tc>
          <w:tcPr>
            <w:tcW w:w="693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rPr>
                <w:rFonts w:ascii="Times New Roman Bold" w:hAnsi="Times New Roman Bold" w:cs="Times New Roman Bold"/>
                <w:b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(</w:t>
            </w:r>
            <w:r w:rsidRPr="00DC5704">
              <w:rPr>
                <w:rFonts w:hint="eastAsia"/>
                <w:sz w:val="20"/>
                <w:szCs w:val="20"/>
              </w:rPr>
              <w:t xml:space="preserve">net fixed </w:t>
            </w:r>
            <w:proofErr w:type="spellStart"/>
            <w:r w:rsidRPr="00DC5704">
              <w:rPr>
                <w:rFonts w:hint="eastAsia"/>
                <w:sz w:val="20"/>
                <w:szCs w:val="20"/>
              </w:rPr>
              <w:t>assets</w:t>
            </w:r>
            <w:r w:rsidRPr="00DC5704">
              <w:rPr>
                <w:rFonts w:ascii="Times New Roman Bold" w:hAnsi="Times New Roman Bold" w:cs="Times New Roman Bold"/>
                <w:bCs/>
                <w:sz w:val="20"/>
                <w:szCs w:val="20"/>
              </w:rPr>
              <w:t>+</w:t>
            </w:r>
            <w:r w:rsidRPr="00DC5704">
              <w:rPr>
                <w:sz w:val="20"/>
                <w:szCs w:val="20"/>
              </w:rPr>
              <w:t>inventories</w:t>
            </w:r>
            <w:proofErr w:type="spellEnd"/>
            <w:r w:rsidRPr="00DC5704">
              <w:rPr>
                <w:bCs/>
                <w:sz w:val="20"/>
                <w:szCs w:val="20"/>
              </w:rPr>
              <w:t>)/total assets</w:t>
            </w:r>
          </w:p>
        </w:tc>
      </w:tr>
    </w:tbl>
    <w:p w:rsidR="00330F39" w:rsidRPr="00DC5704" w:rsidRDefault="00330F39" w:rsidP="00330F39">
      <w:pPr>
        <w:rPr>
          <w:sz w:val="20"/>
          <w:szCs w:val="20"/>
        </w:rPr>
      </w:pPr>
    </w:p>
    <w:p w:rsidR="00330F39" w:rsidRPr="00DC5704" w:rsidRDefault="00330F39" w:rsidP="00330F39">
      <w:pPr>
        <w:spacing w:after="0" w:line="360" w:lineRule="auto"/>
        <w:jc w:val="center"/>
        <w:rPr>
          <w:rFonts w:ascii="Times New Roman Bold" w:hAnsi="Times New Roman Bold" w:cs="Times New Roman Bold"/>
          <w:b/>
          <w:sz w:val="20"/>
          <w:szCs w:val="20"/>
        </w:rPr>
      </w:pPr>
      <w:r w:rsidRPr="00DC5704">
        <w:rPr>
          <w:rFonts w:ascii="Times New Roman Bold" w:hAnsi="Times New Roman Bold" w:cs="Times New Roman Bold"/>
          <w:b/>
          <w:sz w:val="20"/>
          <w:szCs w:val="20"/>
        </w:rPr>
        <w:t xml:space="preserve">Appendix Table A2: Polluting vs. </w:t>
      </w:r>
      <w:proofErr w:type="spellStart"/>
      <w:r w:rsidRPr="00DC5704">
        <w:rPr>
          <w:rFonts w:ascii="Times New Roman Bold" w:hAnsi="Times New Roman Bold" w:cs="Times New Roman Bold"/>
          <w:b/>
          <w:sz w:val="20"/>
          <w:szCs w:val="20"/>
        </w:rPr>
        <w:t>NonPolluting</w:t>
      </w:r>
      <w:proofErr w:type="spellEnd"/>
      <w:r w:rsidRPr="00DC5704">
        <w:rPr>
          <w:rFonts w:ascii="Times New Roman Bold" w:hAnsi="Times New Roman Bold" w:cs="Times New Roman Bold"/>
          <w:b/>
          <w:sz w:val="20"/>
          <w:szCs w:val="20"/>
        </w:rPr>
        <w:t xml:space="preserve"> Industries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6"/>
        <w:gridCol w:w="666"/>
        <w:gridCol w:w="240"/>
        <w:gridCol w:w="3616"/>
      </w:tblGrid>
      <w:tr w:rsidR="00330F39" w:rsidRPr="00DC5704" w:rsidTr="00506333">
        <w:tc>
          <w:tcPr>
            <w:tcW w:w="4662" w:type="dxa"/>
            <w:gridSpan w:val="2"/>
            <w:tcBorders>
              <w:bottom w:val="single" w:sz="4" w:space="0" w:color="000000"/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Polluting Industries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tcBorders>
              <w:bottom w:val="single" w:sz="4" w:space="0" w:color="000000"/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DC5704">
              <w:rPr>
                <w:bCs/>
                <w:sz w:val="20"/>
                <w:szCs w:val="20"/>
              </w:rPr>
              <w:t>NonPolluting</w:t>
            </w:r>
            <w:proofErr w:type="spellEnd"/>
            <w:r w:rsidRPr="00DC5704">
              <w:rPr>
                <w:bCs/>
                <w:sz w:val="20"/>
                <w:szCs w:val="20"/>
              </w:rPr>
              <w:t xml:space="preserve"> Industries</w:t>
            </w:r>
          </w:p>
        </w:tc>
      </w:tr>
      <w:tr w:rsidR="00330F39" w:rsidRPr="00DC5704" w:rsidTr="00506333">
        <w:tc>
          <w:tcPr>
            <w:tcW w:w="3996" w:type="dxa"/>
            <w:tcBorders>
              <w:top w:val="single" w:sz="4" w:space="0" w:color="000000"/>
              <w:bottom w:val="single" w:sz="4" w:space="0" w:color="auto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Industry</w:t>
            </w:r>
          </w:p>
        </w:tc>
        <w:tc>
          <w:tcPr>
            <w:tcW w:w="666" w:type="dxa"/>
            <w:tcBorders>
              <w:top w:val="single" w:sz="4" w:space="0" w:color="000000"/>
              <w:bottom w:val="single" w:sz="4" w:space="0" w:color="auto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Code</w:t>
            </w: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tcBorders>
              <w:top w:val="single" w:sz="4" w:space="0" w:color="000000"/>
              <w:bottom w:val="single" w:sz="4" w:space="0" w:color="auto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Industry</w:t>
            </w:r>
          </w:p>
        </w:tc>
      </w:tr>
      <w:tr w:rsidR="00330F39" w:rsidRPr="00DC5704" w:rsidTr="00506333">
        <w:tc>
          <w:tcPr>
            <w:tcW w:w="3996" w:type="dxa"/>
            <w:tcBorders>
              <w:top w:val="single" w:sz="4" w:space="0" w:color="auto"/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Coal mining and washing industry</w:t>
            </w:r>
          </w:p>
        </w:tc>
        <w:tc>
          <w:tcPr>
            <w:tcW w:w="66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240" w:type="dxa"/>
            <w:tcBorders>
              <w:top w:val="single" w:sz="4" w:space="0" w:color="auto"/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 w:val="restart"/>
            <w:tcBorders>
              <w:top w:val="single" w:sz="4" w:space="0" w:color="auto"/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 xml:space="preserve">All industries except finance-related </w:t>
            </w:r>
            <w:r w:rsidRPr="00DC5704">
              <w:rPr>
                <w:rFonts w:hint="eastAsia"/>
                <w:bCs/>
                <w:sz w:val="20"/>
                <w:szCs w:val="20"/>
              </w:rPr>
              <w:t>industries</w:t>
            </w:r>
            <w:r w:rsidRPr="00DC5704">
              <w:rPr>
                <w:bCs/>
                <w:sz w:val="20"/>
                <w:szCs w:val="20"/>
              </w:rPr>
              <w:t xml:space="preserve"> and polluting industries</w:t>
            </w: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Oil and natural gas mining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Ferrous metal mining and dressing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Nonferrous metal mining and dressing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Textile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The leather, fur, and feather products and shoemaking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19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Paper and paper product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Petroleum processing, coking and nuclear fuel processing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25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Chemical raw material and chemical product manufacturing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Chemical fiber manufacturing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28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Rubber and plastic product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29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Nonmetallic mineral product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Ferrous metal smelting and rolling processing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31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Nonferrous metal smelting and rolling processing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32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Metal products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33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  <w:tr w:rsidR="00330F39" w:rsidRPr="00DC5704" w:rsidTr="00506333">
        <w:tc>
          <w:tcPr>
            <w:tcW w:w="3996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Electric power, heat production and supply industry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:rsidR="00330F39" w:rsidRPr="00DC5704" w:rsidRDefault="00330F39" w:rsidP="00506333">
            <w:pPr>
              <w:spacing w:after="0" w:line="360" w:lineRule="auto"/>
              <w:jc w:val="center"/>
              <w:rPr>
                <w:bCs/>
                <w:sz w:val="20"/>
                <w:szCs w:val="20"/>
              </w:rPr>
            </w:pPr>
            <w:r w:rsidRPr="00DC5704">
              <w:rPr>
                <w:bCs/>
                <w:sz w:val="20"/>
                <w:szCs w:val="20"/>
              </w:rPr>
              <w:t>44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16" w:type="dxa"/>
            <w:vMerge/>
            <w:tcBorders>
              <w:tl2br w:val="nil"/>
              <w:tr2bl w:val="nil"/>
            </w:tcBorders>
          </w:tcPr>
          <w:p w:rsidR="00330F39" w:rsidRPr="00DC5704" w:rsidRDefault="00330F39" w:rsidP="00506333">
            <w:pPr>
              <w:spacing w:after="0" w:line="360" w:lineRule="auto"/>
              <w:rPr>
                <w:bCs/>
                <w:sz w:val="20"/>
                <w:szCs w:val="20"/>
              </w:rPr>
            </w:pPr>
          </w:p>
        </w:tc>
      </w:tr>
    </w:tbl>
    <w:p w:rsidR="00330F39" w:rsidRPr="00DC5704" w:rsidRDefault="00330F39" w:rsidP="00330F39">
      <w:pPr>
        <w:spacing w:after="0" w:line="240" w:lineRule="auto"/>
        <w:rPr>
          <w:rFonts w:ascii="Times New Roman Bold" w:hAnsi="Times New Roman Bold" w:cs="Times New Roman Bold"/>
          <w:b/>
          <w:sz w:val="24"/>
        </w:rPr>
      </w:pPr>
      <w:r w:rsidRPr="00DC5704">
        <w:rPr>
          <w:rFonts w:ascii="Times New Roman Italic" w:hAnsi="Times New Roman Italic" w:cs="Times New Roman Italic"/>
          <w:bCs/>
          <w:i/>
          <w:iCs/>
          <w:sz w:val="15"/>
          <w:szCs w:val="15"/>
        </w:rPr>
        <w:t xml:space="preserve">Notes: </w:t>
      </w:r>
      <w:r w:rsidRPr="00DC5704">
        <w:rPr>
          <w:rFonts w:ascii="Times New Roman" w:hAnsi="Times New Roman" w:cs="Times New Roman"/>
          <w:bCs/>
          <w:sz w:val="15"/>
          <w:szCs w:val="15"/>
        </w:rPr>
        <w:t xml:space="preserve">Industrial classification for "Industrial Classification of National Economy (GB/T 4754-2011)". The division between polluting industries and </w:t>
      </w:r>
      <w:r w:rsidRPr="00DC5704">
        <w:rPr>
          <w:rFonts w:ascii="Times New Roman" w:eastAsia="SimSun" w:hAnsi="Times New Roman" w:cs="Times New Roman"/>
          <w:bCs/>
          <w:sz w:val="15"/>
          <w:szCs w:val="15"/>
        </w:rPr>
        <w:t>nonpolluting</w:t>
      </w:r>
      <w:r w:rsidRPr="00DC5704">
        <w:rPr>
          <w:rFonts w:ascii="Times New Roman" w:hAnsi="Times New Roman" w:cs="Times New Roman"/>
          <w:bCs/>
          <w:sz w:val="15"/>
          <w:szCs w:val="15"/>
        </w:rPr>
        <w:t xml:space="preserve"> industries is according to</w:t>
      </w:r>
      <w:r w:rsidRPr="00DC5704">
        <w:rPr>
          <w:rFonts w:ascii="Times New Roman" w:eastAsia="SimSun" w:hAnsi="Times New Roman" w:cs="Times New Roman"/>
          <w:bCs/>
          <w:sz w:val="15"/>
          <w:szCs w:val="15"/>
        </w:rPr>
        <w:t xml:space="preserve"> the</w:t>
      </w:r>
      <w:r w:rsidRPr="00DC5704">
        <w:rPr>
          <w:rFonts w:ascii="Times New Roman" w:hAnsi="Times New Roman" w:cs="Times New Roman"/>
          <w:bCs/>
          <w:sz w:val="15"/>
          <w:szCs w:val="15"/>
        </w:rPr>
        <w:t xml:space="preserve"> "Announcement on the Implementation of Special Emission Limits for Air Pollution" issued by the Ministry of </w:t>
      </w:r>
      <w:r w:rsidRPr="00DC5704">
        <w:rPr>
          <w:rFonts w:ascii="Times New Roman" w:hAnsi="Times New Roman" w:cs="Times New Roman"/>
          <w:bCs/>
          <w:sz w:val="15"/>
          <w:szCs w:val="15"/>
        </w:rPr>
        <w:lastRenderedPageBreak/>
        <w:t>Ecology and Environment of the People's Republic of China and the study of He et al. (2020).</w:t>
      </w:r>
    </w:p>
    <w:p w:rsidR="006A1F6C" w:rsidRDefault="00330F39"/>
    <w:sectPr w:rsidR="006A1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Times New Roman Italic">
    <w:panose1 w:val="02020503050405090304"/>
    <w:charset w:val="00"/>
    <w:family w:val="auto"/>
    <w:pitch w:val="default"/>
    <w:sig w:usb0="E0002AEF" w:usb1="C0007841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F39"/>
    <w:rsid w:val="00330F39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26681B-5617-453D-8988-7AD44DD8A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0F39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330F39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2021-11-27T18:07:00Z</dcterms:created>
  <dcterms:modified xsi:type="dcterms:W3CDTF">2021-11-27T18:08:00Z</dcterms:modified>
</cp:coreProperties>
</file>