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A0E64B">
      <w:pPr>
        <w:spacing w:after="80"/>
        <w:jc w:val="center"/>
      </w:pPr>
      <w:r>
        <w:rPr>
          <w:rFonts w:ascii="Times New Roman" w:hAnsi="Times New Roman" w:eastAsia="Times New Roman"/>
          <w:b/>
          <w:sz w:val="32"/>
        </w:rPr>
        <w:t>Supplementary File S1</w:t>
      </w:r>
    </w:p>
    <w:p w14:paraId="69611685">
      <w:pPr>
        <w:pStyle w:val="3"/>
        <w:rPr>
          <w:color w:val="auto"/>
        </w:rPr>
      </w:pPr>
      <w:r>
        <w:rPr>
          <w:color w:val="auto"/>
        </w:rPr>
        <w:t>Purpose and origin</w:t>
      </w:r>
    </w:p>
    <w:p w14:paraId="00B4FE90">
      <w:r>
        <w:rPr>
          <w:rFonts w:ascii="Times New Roman" w:hAnsi="Times New Roman" w:eastAsia="Times New Roman"/>
          <w:sz w:val="24"/>
        </w:rPr>
        <w:t>This supplementary file describes the modified Peripheral Blood Cell Score (PBCS) used in the present study to predict lymph node metastasis in patients with rectal cancer. Guo et al. previously reported a PBCS based on absolute neutrophil, lymphocyte, and platelet counts for prognostic assessment in colorectal cancer. The exact scoring system used here was developed for the present study and differs in its component variables, outcome, cutoff values, and score range. It integrates four preoperative peripheral blood ratios: platelet-to-lymphocyte ratio (PLR), neutrophil-to-lymphocyte ratio (NLR), platelet-to-albumin ratio (PAR), and hemoglobin-to-platelet ratio (HPR).</w:t>
      </w:r>
    </w:p>
    <w:p w14:paraId="784BA66C">
      <w:pPr>
        <w:pStyle w:val="3"/>
        <w:rPr>
          <w:color w:val="auto"/>
        </w:rPr>
      </w:pPr>
      <w:r>
        <w:rPr>
          <w:color w:val="auto"/>
        </w:rPr>
        <w:t>Cutoff derivation</w:t>
      </w:r>
    </w:p>
    <w:p w14:paraId="044A05B6">
      <w:r>
        <w:rPr>
          <w:rFonts w:ascii="Times New Roman" w:hAnsi="Times New Roman" w:eastAsia="Times New Roman"/>
          <w:sz w:val="24"/>
        </w:rPr>
        <w:t>Lymph node metastasis was used as the binary endpoint. Receiver operating characteristic (ROC) curve analysis was performed separately for PLR, NLR, PAR, and HPR. For each indicator, the optimal cutoff was selected by maximizing the Youden index, calculated as J = sensitivity + specificity - 1.</w:t>
      </w:r>
    </w:p>
    <w:p w14:paraId="71899D02">
      <w:pPr>
        <w:pStyle w:val="3"/>
        <w:rPr>
          <w:color w:val="auto"/>
        </w:rPr>
      </w:pPr>
      <w:r>
        <w:rPr>
          <w:color w:val="auto"/>
        </w:rPr>
        <w:t>Scoring rules</w:t>
      </w:r>
    </w:p>
    <w:tbl>
      <w:tblPr>
        <w:tblStyle w:val="33"/>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2"/>
        <w:gridCol w:w="3240"/>
        <w:gridCol w:w="1152"/>
        <w:gridCol w:w="2088"/>
        <w:gridCol w:w="2088"/>
      </w:tblGrid>
      <w:tr w14:paraId="4F76A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92" w:type="dxa"/>
            <w:shd w:val="clear" w:color="auto" w:fill="F2F4F7"/>
            <w:tcMar>
              <w:top w:w="80" w:type="dxa"/>
              <w:left w:w="120" w:type="dxa"/>
              <w:bottom w:w="80" w:type="dxa"/>
              <w:right w:w="120" w:type="dxa"/>
            </w:tcMar>
            <w:vAlign w:val="center"/>
          </w:tcPr>
          <w:p w14:paraId="31DACAA8">
            <w:pPr>
              <w:spacing w:before="0" w:after="0" w:line="264" w:lineRule="auto"/>
              <w:jc w:val="center"/>
            </w:pPr>
            <w:r>
              <w:rPr>
                <w:rFonts w:ascii="Times New Roman" w:hAnsi="Times New Roman" w:eastAsia="Times New Roman"/>
                <w:b/>
                <w:sz w:val="21"/>
              </w:rPr>
              <w:t>Indicator</w:t>
            </w:r>
          </w:p>
        </w:tc>
        <w:tc>
          <w:tcPr>
            <w:tcW w:w="3240" w:type="dxa"/>
            <w:shd w:val="clear" w:color="auto" w:fill="F2F4F7"/>
            <w:tcMar>
              <w:top w:w="80" w:type="dxa"/>
              <w:left w:w="120" w:type="dxa"/>
              <w:bottom w:w="80" w:type="dxa"/>
              <w:right w:w="120" w:type="dxa"/>
            </w:tcMar>
            <w:vAlign w:val="center"/>
          </w:tcPr>
          <w:p w14:paraId="7DB51FDB">
            <w:pPr>
              <w:spacing w:before="0" w:after="0" w:line="264" w:lineRule="auto"/>
              <w:jc w:val="center"/>
            </w:pPr>
            <w:r>
              <w:rPr>
                <w:rFonts w:ascii="Times New Roman" w:hAnsi="Times New Roman" w:eastAsia="Times New Roman"/>
                <w:b/>
                <w:sz w:val="21"/>
              </w:rPr>
              <w:t>Definition</w:t>
            </w:r>
          </w:p>
        </w:tc>
        <w:tc>
          <w:tcPr>
            <w:tcW w:w="1152" w:type="dxa"/>
            <w:shd w:val="clear" w:color="auto" w:fill="F2F4F7"/>
            <w:tcMar>
              <w:top w:w="80" w:type="dxa"/>
              <w:left w:w="120" w:type="dxa"/>
              <w:bottom w:w="80" w:type="dxa"/>
              <w:right w:w="120" w:type="dxa"/>
            </w:tcMar>
            <w:vAlign w:val="center"/>
          </w:tcPr>
          <w:p w14:paraId="5D8FC679">
            <w:pPr>
              <w:spacing w:before="0" w:after="0" w:line="264" w:lineRule="auto"/>
              <w:jc w:val="center"/>
            </w:pPr>
            <w:r>
              <w:rPr>
                <w:rFonts w:ascii="Times New Roman" w:hAnsi="Times New Roman" w:eastAsia="Times New Roman"/>
                <w:b/>
                <w:sz w:val="21"/>
              </w:rPr>
              <w:t>Cutoff</w:t>
            </w:r>
          </w:p>
        </w:tc>
        <w:tc>
          <w:tcPr>
            <w:tcW w:w="2088" w:type="dxa"/>
            <w:shd w:val="clear" w:color="auto" w:fill="F2F4F7"/>
            <w:tcMar>
              <w:top w:w="80" w:type="dxa"/>
              <w:left w:w="120" w:type="dxa"/>
              <w:bottom w:w="80" w:type="dxa"/>
              <w:right w:w="120" w:type="dxa"/>
            </w:tcMar>
            <w:vAlign w:val="center"/>
          </w:tcPr>
          <w:p w14:paraId="4384EEF2">
            <w:pPr>
              <w:spacing w:before="0" w:after="0" w:line="264" w:lineRule="auto"/>
              <w:jc w:val="center"/>
            </w:pPr>
            <w:r>
              <w:rPr>
                <w:rFonts w:ascii="Times New Roman" w:hAnsi="Times New Roman" w:eastAsia="Times New Roman"/>
                <w:b/>
                <w:sz w:val="21"/>
              </w:rPr>
              <w:t>Score = 1</w:t>
            </w:r>
          </w:p>
        </w:tc>
        <w:tc>
          <w:tcPr>
            <w:tcW w:w="2088" w:type="dxa"/>
            <w:shd w:val="clear" w:color="auto" w:fill="F2F4F7"/>
            <w:tcMar>
              <w:top w:w="80" w:type="dxa"/>
              <w:left w:w="120" w:type="dxa"/>
              <w:bottom w:w="80" w:type="dxa"/>
              <w:right w:w="120" w:type="dxa"/>
            </w:tcMar>
            <w:vAlign w:val="center"/>
          </w:tcPr>
          <w:p w14:paraId="639B7928">
            <w:pPr>
              <w:spacing w:before="0" w:after="0" w:line="264" w:lineRule="auto"/>
              <w:jc w:val="center"/>
            </w:pPr>
            <w:r>
              <w:rPr>
                <w:rFonts w:ascii="Times New Roman" w:hAnsi="Times New Roman" w:eastAsia="Times New Roman"/>
                <w:b/>
                <w:sz w:val="21"/>
              </w:rPr>
              <w:t>Score = 0</w:t>
            </w:r>
          </w:p>
        </w:tc>
      </w:tr>
      <w:tr w14:paraId="3D387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120" w:type="dxa"/>
              <w:bottom w:w="80" w:type="dxa"/>
              <w:right w:w="120" w:type="dxa"/>
            </w:tcMar>
            <w:vAlign w:val="center"/>
          </w:tcPr>
          <w:p w14:paraId="246ECC01">
            <w:pPr>
              <w:spacing w:before="0" w:after="0" w:line="264" w:lineRule="auto"/>
              <w:jc w:val="center"/>
            </w:pPr>
            <w:r>
              <w:rPr>
                <w:rFonts w:ascii="Times New Roman" w:hAnsi="Times New Roman" w:eastAsia="Times New Roman"/>
                <w:b w:val="0"/>
                <w:sz w:val="21"/>
              </w:rPr>
              <w:t>PLR</w:t>
            </w:r>
          </w:p>
        </w:tc>
        <w:tc>
          <w:tcPr>
            <w:tcW w:w="3240" w:type="dxa"/>
            <w:tcMar>
              <w:top w:w="80" w:type="dxa"/>
              <w:left w:w="120" w:type="dxa"/>
              <w:bottom w:w="80" w:type="dxa"/>
              <w:right w:w="120" w:type="dxa"/>
            </w:tcMar>
            <w:vAlign w:val="center"/>
          </w:tcPr>
          <w:p w14:paraId="7622D7D1">
            <w:pPr>
              <w:spacing w:before="0" w:after="0" w:line="264" w:lineRule="auto"/>
              <w:jc w:val="left"/>
            </w:pPr>
            <w:r>
              <w:rPr>
                <w:rFonts w:ascii="Times New Roman" w:hAnsi="Times New Roman" w:eastAsia="Times New Roman"/>
                <w:b w:val="0"/>
                <w:sz w:val="21"/>
              </w:rPr>
              <w:t>Platelet-to-lymphocyte ratio</w:t>
            </w:r>
          </w:p>
        </w:tc>
        <w:tc>
          <w:tcPr>
            <w:tcW w:w="1152" w:type="dxa"/>
            <w:tcMar>
              <w:top w:w="80" w:type="dxa"/>
              <w:left w:w="120" w:type="dxa"/>
              <w:bottom w:w="80" w:type="dxa"/>
              <w:right w:w="120" w:type="dxa"/>
            </w:tcMar>
            <w:vAlign w:val="center"/>
          </w:tcPr>
          <w:p w14:paraId="0FBDE738">
            <w:pPr>
              <w:spacing w:before="0" w:after="0" w:line="264" w:lineRule="auto"/>
              <w:jc w:val="center"/>
            </w:pPr>
            <w:r>
              <w:rPr>
                <w:rFonts w:ascii="Times New Roman" w:hAnsi="Times New Roman" w:eastAsia="Times New Roman"/>
                <w:b w:val="0"/>
                <w:sz w:val="21"/>
              </w:rPr>
              <w:t>178.025</w:t>
            </w:r>
          </w:p>
        </w:tc>
        <w:tc>
          <w:tcPr>
            <w:tcW w:w="2088" w:type="dxa"/>
            <w:tcMar>
              <w:top w:w="80" w:type="dxa"/>
              <w:left w:w="120" w:type="dxa"/>
              <w:bottom w:w="80" w:type="dxa"/>
              <w:right w:w="120" w:type="dxa"/>
            </w:tcMar>
            <w:vAlign w:val="center"/>
          </w:tcPr>
          <w:p w14:paraId="0E602637">
            <w:pPr>
              <w:spacing w:before="0" w:after="0" w:line="264" w:lineRule="auto"/>
              <w:jc w:val="center"/>
            </w:pPr>
            <w:r>
              <w:rPr>
                <w:rFonts w:ascii="Times New Roman" w:hAnsi="Times New Roman" w:eastAsia="Times New Roman"/>
                <w:b w:val="0"/>
                <w:sz w:val="21"/>
              </w:rPr>
              <w:t>PLR &gt;= 178.025</w:t>
            </w:r>
          </w:p>
        </w:tc>
        <w:tc>
          <w:tcPr>
            <w:tcW w:w="2088" w:type="dxa"/>
            <w:tcMar>
              <w:top w:w="80" w:type="dxa"/>
              <w:left w:w="120" w:type="dxa"/>
              <w:bottom w:w="80" w:type="dxa"/>
              <w:right w:w="120" w:type="dxa"/>
            </w:tcMar>
            <w:vAlign w:val="center"/>
          </w:tcPr>
          <w:p w14:paraId="0965F068">
            <w:pPr>
              <w:spacing w:before="0" w:after="0" w:line="264" w:lineRule="auto"/>
              <w:jc w:val="center"/>
            </w:pPr>
            <w:r>
              <w:rPr>
                <w:rFonts w:ascii="Times New Roman" w:hAnsi="Times New Roman" w:eastAsia="Times New Roman"/>
                <w:b w:val="0"/>
                <w:sz w:val="21"/>
              </w:rPr>
              <w:t>PLR &lt; 178.025</w:t>
            </w:r>
          </w:p>
        </w:tc>
      </w:tr>
      <w:tr w14:paraId="75DB5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120" w:type="dxa"/>
              <w:bottom w:w="80" w:type="dxa"/>
              <w:right w:w="120" w:type="dxa"/>
            </w:tcMar>
            <w:vAlign w:val="center"/>
          </w:tcPr>
          <w:p w14:paraId="7B069884">
            <w:pPr>
              <w:spacing w:before="0" w:after="0" w:line="264" w:lineRule="auto"/>
              <w:jc w:val="center"/>
            </w:pPr>
            <w:r>
              <w:rPr>
                <w:rFonts w:ascii="Times New Roman" w:hAnsi="Times New Roman" w:eastAsia="Times New Roman"/>
                <w:b w:val="0"/>
                <w:sz w:val="21"/>
              </w:rPr>
              <w:t>NLR</w:t>
            </w:r>
          </w:p>
        </w:tc>
        <w:tc>
          <w:tcPr>
            <w:tcW w:w="3240" w:type="dxa"/>
            <w:tcMar>
              <w:top w:w="80" w:type="dxa"/>
              <w:left w:w="120" w:type="dxa"/>
              <w:bottom w:w="80" w:type="dxa"/>
              <w:right w:w="120" w:type="dxa"/>
            </w:tcMar>
            <w:vAlign w:val="center"/>
          </w:tcPr>
          <w:p w14:paraId="42F3C132">
            <w:pPr>
              <w:spacing w:before="0" w:after="0" w:line="264" w:lineRule="auto"/>
              <w:jc w:val="left"/>
            </w:pPr>
            <w:r>
              <w:rPr>
                <w:rFonts w:ascii="Times New Roman" w:hAnsi="Times New Roman" w:eastAsia="Times New Roman"/>
                <w:b w:val="0"/>
                <w:sz w:val="21"/>
              </w:rPr>
              <w:t>Neutrophil-to-lymphocyte ratio</w:t>
            </w:r>
          </w:p>
        </w:tc>
        <w:tc>
          <w:tcPr>
            <w:tcW w:w="1152" w:type="dxa"/>
            <w:tcMar>
              <w:top w:w="80" w:type="dxa"/>
              <w:left w:w="120" w:type="dxa"/>
              <w:bottom w:w="80" w:type="dxa"/>
              <w:right w:w="120" w:type="dxa"/>
            </w:tcMar>
            <w:vAlign w:val="center"/>
          </w:tcPr>
          <w:p w14:paraId="3E4D419E">
            <w:pPr>
              <w:spacing w:before="0" w:after="0" w:line="264" w:lineRule="auto"/>
              <w:jc w:val="center"/>
            </w:pPr>
            <w:r>
              <w:rPr>
                <w:rFonts w:ascii="Times New Roman" w:hAnsi="Times New Roman" w:eastAsia="Times New Roman"/>
                <w:b w:val="0"/>
                <w:sz w:val="21"/>
              </w:rPr>
              <w:t>3.3975</w:t>
            </w:r>
          </w:p>
        </w:tc>
        <w:tc>
          <w:tcPr>
            <w:tcW w:w="2088" w:type="dxa"/>
            <w:tcMar>
              <w:top w:w="80" w:type="dxa"/>
              <w:left w:w="120" w:type="dxa"/>
              <w:bottom w:w="80" w:type="dxa"/>
              <w:right w:w="120" w:type="dxa"/>
            </w:tcMar>
            <w:vAlign w:val="center"/>
          </w:tcPr>
          <w:p w14:paraId="7B5B71E0">
            <w:pPr>
              <w:spacing w:before="0" w:after="0" w:line="264" w:lineRule="auto"/>
              <w:jc w:val="center"/>
            </w:pPr>
            <w:r>
              <w:rPr>
                <w:rFonts w:ascii="Times New Roman" w:hAnsi="Times New Roman" w:eastAsia="Times New Roman"/>
                <w:b w:val="0"/>
                <w:sz w:val="21"/>
              </w:rPr>
              <w:t>NLR &gt;= 3.3975</w:t>
            </w:r>
          </w:p>
        </w:tc>
        <w:tc>
          <w:tcPr>
            <w:tcW w:w="2088" w:type="dxa"/>
            <w:tcMar>
              <w:top w:w="80" w:type="dxa"/>
              <w:left w:w="120" w:type="dxa"/>
              <w:bottom w:w="80" w:type="dxa"/>
              <w:right w:w="120" w:type="dxa"/>
            </w:tcMar>
            <w:vAlign w:val="center"/>
          </w:tcPr>
          <w:p w14:paraId="56751C20">
            <w:pPr>
              <w:spacing w:before="0" w:after="0" w:line="264" w:lineRule="auto"/>
              <w:jc w:val="center"/>
            </w:pPr>
            <w:r>
              <w:rPr>
                <w:rFonts w:ascii="Times New Roman" w:hAnsi="Times New Roman" w:eastAsia="Times New Roman"/>
                <w:b w:val="0"/>
                <w:sz w:val="21"/>
              </w:rPr>
              <w:t>NLR &lt; 3.3975</w:t>
            </w:r>
          </w:p>
        </w:tc>
      </w:tr>
      <w:tr w14:paraId="16145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120" w:type="dxa"/>
              <w:bottom w:w="80" w:type="dxa"/>
              <w:right w:w="120" w:type="dxa"/>
            </w:tcMar>
            <w:vAlign w:val="center"/>
          </w:tcPr>
          <w:p w14:paraId="243B4A4A">
            <w:pPr>
              <w:spacing w:before="0" w:after="0" w:line="264" w:lineRule="auto"/>
              <w:jc w:val="center"/>
            </w:pPr>
            <w:r>
              <w:rPr>
                <w:rFonts w:ascii="Times New Roman" w:hAnsi="Times New Roman" w:eastAsia="Times New Roman"/>
                <w:b w:val="0"/>
                <w:sz w:val="21"/>
              </w:rPr>
              <w:t>PAR</w:t>
            </w:r>
          </w:p>
        </w:tc>
        <w:tc>
          <w:tcPr>
            <w:tcW w:w="3240" w:type="dxa"/>
            <w:tcMar>
              <w:top w:w="80" w:type="dxa"/>
              <w:left w:w="120" w:type="dxa"/>
              <w:bottom w:w="80" w:type="dxa"/>
              <w:right w:w="120" w:type="dxa"/>
            </w:tcMar>
            <w:vAlign w:val="center"/>
          </w:tcPr>
          <w:p w14:paraId="203A9E77">
            <w:pPr>
              <w:spacing w:before="0" w:after="0" w:line="264" w:lineRule="auto"/>
              <w:jc w:val="left"/>
            </w:pPr>
            <w:r>
              <w:rPr>
                <w:rFonts w:ascii="Times New Roman" w:hAnsi="Times New Roman" w:eastAsia="Times New Roman"/>
                <w:b w:val="0"/>
                <w:sz w:val="21"/>
              </w:rPr>
              <w:t>Platelet-to-albumin ratio</w:t>
            </w:r>
          </w:p>
        </w:tc>
        <w:tc>
          <w:tcPr>
            <w:tcW w:w="1152" w:type="dxa"/>
            <w:tcMar>
              <w:top w:w="80" w:type="dxa"/>
              <w:left w:w="120" w:type="dxa"/>
              <w:bottom w:w="80" w:type="dxa"/>
              <w:right w:w="120" w:type="dxa"/>
            </w:tcMar>
            <w:vAlign w:val="center"/>
          </w:tcPr>
          <w:p w14:paraId="3A997021">
            <w:pPr>
              <w:spacing w:before="0" w:after="0" w:line="264" w:lineRule="auto"/>
              <w:jc w:val="center"/>
            </w:pPr>
            <w:r>
              <w:rPr>
                <w:rFonts w:ascii="Times New Roman" w:hAnsi="Times New Roman" w:eastAsia="Times New Roman"/>
                <w:b w:val="0"/>
                <w:sz w:val="21"/>
              </w:rPr>
              <w:t>42.565</w:t>
            </w:r>
          </w:p>
        </w:tc>
        <w:tc>
          <w:tcPr>
            <w:tcW w:w="2088" w:type="dxa"/>
            <w:tcMar>
              <w:top w:w="80" w:type="dxa"/>
              <w:left w:w="120" w:type="dxa"/>
              <w:bottom w:w="80" w:type="dxa"/>
              <w:right w:w="120" w:type="dxa"/>
            </w:tcMar>
            <w:vAlign w:val="center"/>
          </w:tcPr>
          <w:p w14:paraId="1DE8ADDA">
            <w:pPr>
              <w:spacing w:before="0" w:after="0" w:line="264" w:lineRule="auto"/>
              <w:jc w:val="center"/>
            </w:pPr>
            <w:r>
              <w:rPr>
                <w:rFonts w:ascii="Times New Roman" w:hAnsi="Times New Roman" w:eastAsia="Times New Roman"/>
                <w:b w:val="0"/>
                <w:sz w:val="21"/>
              </w:rPr>
              <w:t>PAR &gt;= 42.565</w:t>
            </w:r>
          </w:p>
        </w:tc>
        <w:tc>
          <w:tcPr>
            <w:tcW w:w="2088" w:type="dxa"/>
            <w:tcMar>
              <w:top w:w="80" w:type="dxa"/>
              <w:left w:w="120" w:type="dxa"/>
              <w:bottom w:w="80" w:type="dxa"/>
              <w:right w:w="120" w:type="dxa"/>
            </w:tcMar>
            <w:vAlign w:val="center"/>
          </w:tcPr>
          <w:p w14:paraId="6F038398">
            <w:pPr>
              <w:spacing w:before="0" w:after="0" w:line="264" w:lineRule="auto"/>
              <w:jc w:val="center"/>
            </w:pPr>
            <w:r>
              <w:rPr>
                <w:rFonts w:ascii="Times New Roman" w:hAnsi="Times New Roman" w:eastAsia="Times New Roman"/>
                <w:b w:val="0"/>
                <w:sz w:val="21"/>
              </w:rPr>
              <w:t>PAR &lt; 42.565</w:t>
            </w:r>
          </w:p>
        </w:tc>
      </w:tr>
      <w:tr w14:paraId="7D111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2" w:type="dxa"/>
            <w:tcMar>
              <w:top w:w="80" w:type="dxa"/>
              <w:left w:w="120" w:type="dxa"/>
              <w:bottom w:w="80" w:type="dxa"/>
              <w:right w:w="120" w:type="dxa"/>
            </w:tcMar>
            <w:vAlign w:val="center"/>
          </w:tcPr>
          <w:p w14:paraId="1704F58B">
            <w:pPr>
              <w:spacing w:before="0" w:after="0" w:line="264" w:lineRule="auto"/>
              <w:jc w:val="center"/>
            </w:pPr>
            <w:r>
              <w:rPr>
                <w:rFonts w:ascii="Times New Roman" w:hAnsi="Times New Roman" w:eastAsia="Times New Roman"/>
                <w:b w:val="0"/>
                <w:sz w:val="21"/>
              </w:rPr>
              <w:t>HPR</w:t>
            </w:r>
          </w:p>
        </w:tc>
        <w:tc>
          <w:tcPr>
            <w:tcW w:w="3240" w:type="dxa"/>
            <w:tcMar>
              <w:top w:w="80" w:type="dxa"/>
              <w:left w:w="120" w:type="dxa"/>
              <w:bottom w:w="80" w:type="dxa"/>
              <w:right w:w="120" w:type="dxa"/>
            </w:tcMar>
            <w:vAlign w:val="center"/>
          </w:tcPr>
          <w:p w14:paraId="48B63287">
            <w:pPr>
              <w:spacing w:before="0" w:after="0" w:line="264" w:lineRule="auto"/>
              <w:jc w:val="left"/>
            </w:pPr>
            <w:r>
              <w:rPr>
                <w:rFonts w:ascii="Times New Roman" w:hAnsi="Times New Roman" w:eastAsia="Times New Roman"/>
                <w:b w:val="0"/>
                <w:sz w:val="21"/>
              </w:rPr>
              <w:t>Hemoglobin-to-platelet ratio</w:t>
            </w:r>
          </w:p>
        </w:tc>
        <w:tc>
          <w:tcPr>
            <w:tcW w:w="1152" w:type="dxa"/>
            <w:tcMar>
              <w:top w:w="80" w:type="dxa"/>
              <w:left w:w="120" w:type="dxa"/>
              <w:bottom w:w="80" w:type="dxa"/>
              <w:right w:w="120" w:type="dxa"/>
            </w:tcMar>
            <w:vAlign w:val="center"/>
          </w:tcPr>
          <w:p w14:paraId="1D3E9223">
            <w:pPr>
              <w:spacing w:before="0" w:after="0" w:line="264" w:lineRule="auto"/>
              <w:jc w:val="center"/>
            </w:pPr>
            <w:r>
              <w:rPr>
                <w:rFonts w:ascii="Times New Roman" w:hAnsi="Times New Roman" w:eastAsia="Times New Roman"/>
                <w:b w:val="0"/>
                <w:sz w:val="21"/>
              </w:rPr>
              <w:t>0.3815</w:t>
            </w:r>
          </w:p>
        </w:tc>
        <w:tc>
          <w:tcPr>
            <w:tcW w:w="2088" w:type="dxa"/>
            <w:tcMar>
              <w:top w:w="80" w:type="dxa"/>
              <w:left w:w="120" w:type="dxa"/>
              <w:bottom w:w="80" w:type="dxa"/>
              <w:right w:w="120" w:type="dxa"/>
            </w:tcMar>
            <w:vAlign w:val="center"/>
          </w:tcPr>
          <w:p w14:paraId="6A00EEAD">
            <w:pPr>
              <w:spacing w:before="0" w:after="0" w:line="264" w:lineRule="auto"/>
              <w:jc w:val="center"/>
            </w:pPr>
            <w:r>
              <w:rPr>
                <w:rFonts w:ascii="Times New Roman" w:hAnsi="Times New Roman" w:eastAsia="Times New Roman"/>
                <w:b w:val="0"/>
                <w:sz w:val="21"/>
              </w:rPr>
              <w:t>HPR &lt;= 0.3815</w:t>
            </w:r>
          </w:p>
        </w:tc>
        <w:tc>
          <w:tcPr>
            <w:tcW w:w="2088" w:type="dxa"/>
            <w:tcMar>
              <w:top w:w="80" w:type="dxa"/>
              <w:left w:w="120" w:type="dxa"/>
              <w:bottom w:w="80" w:type="dxa"/>
              <w:right w:w="120" w:type="dxa"/>
            </w:tcMar>
            <w:vAlign w:val="center"/>
          </w:tcPr>
          <w:p w14:paraId="2478B6CA">
            <w:pPr>
              <w:spacing w:before="0" w:after="0" w:line="264" w:lineRule="auto"/>
              <w:jc w:val="center"/>
            </w:pPr>
            <w:r>
              <w:rPr>
                <w:rFonts w:ascii="Times New Roman" w:hAnsi="Times New Roman" w:eastAsia="Times New Roman"/>
                <w:b w:val="0"/>
                <w:sz w:val="21"/>
              </w:rPr>
              <w:t>HPR &gt; 0.3815</w:t>
            </w:r>
          </w:p>
        </w:tc>
      </w:tr>
    </w:tbl>
    <w:p w14:paraId="5478B4F8">
      <w:pPr>
        <w:pStyle w:val="3"/>
      </w:pPr>
      <w:r>
        <w:rPr>
          <w:color w:val="auto"/>
        </w:rPr>
        <w:t>Total score</w:t>
      </w:r>
    </w:p>
    <w:p w14:paraId="1D3D429E">
      <w:r>
        <w:rPr>
          <w:rFonts w:ascii="Times New Roman" w:hAnsi="Times New Roman" w:eastAsia="Times New Roman"/>
          <w:b/>
          <w:sz w:val="24"/>
        </w:rPr>
        <w:t>PBCS = PLR score + NLR score + PAR score + HPR score</w:t>
      </w:r>
    </w:p>
    <w:p w14:paraId="6CC7B8B1">
      <w:r>
        <w:rPr>
          <w:rFonts w:ascii="Times New Roman" w:hAnsi="Times New Roman" w:eastAsia="Times New Roman"/>
          <w:sz w:val="24"/>
        </w:rPr>
        <w:t>The total score ranges from 0 to 4. A higher score indicates that more component ratios meet the study-defined high-risk criteria for lymph node metastasis.</w:t>
      </w:r>
    </w:p>
    <w:p w14:paraId="7D352358">
      <w:pPr>
        <w:pStyle w:val="14"/>
        <w:numPr>
          <w:numId w:val="0"/>
        </w:numPr>
        <w:ind w:leftChars="0"/>
      </w:pPr>
      <w:bookmarkStart w:id="0" w:name="_GoBack"/>
      <w:bookmarkEnd w:id="0"/>
    </w:p>
    <w:sectPr>
      <w:pgSz w:w="12240" w:h="15840"/>
      <w:pgMar w:top="1440" w:right="1440" w:bottom="1440" w:left="1440" w:header="708" w:footer="708"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ourier New">
    <w:panose1 w:val="02070309020205020404"/>
    <w:charset w:val="00"/>
    <w:family w:val="auto"/>
    <w:pitch w:val="default"/>
    <w:sig w:usb0="E0002EFF" w:usb1="C0007843" w:usb2="00000009" w:usb3="00000000" w:csb0="400001FF" w:csb1="FFFF0000"/>
  </w:font>
  <w:font w:name="Yu Gothic">
    <w:panose1 w:val="020B0400000000000000"/>
    <w:charset w:val="80"/>
    <w:family w:val="auto"/>
    <w:pitch w:val="default"/>
    <w:sig w:usb0="E00002FF" w:usb1="2AC7FDFF" w:usb2="00000016" w:usb3="00000000" w:csb0="2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410C0949"/>
    <w:rsid w:val="452A22D2"/>
    <w:rsid w:val="6DA73C10"/>
    <w:rsid w:val="7EA4700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before="0" w:after="120" w:line="276" w:lineRule="auto"/>
    </w:pPr>
    <w:rPr>
      <w:rFonts w:ascii="Times New Roman" w:hAnsi="Times New Roman" w:eastAsia="Times New Roman" w:cstheme="minorBidi"/>
      <w:sz w:val="24"/>
      <w:szCs w:val="22"/>
      <w:lang w:val="en-US" w:eastAsia="en-US" w:bidi="ar-SA"/>
    </w:rPr>
  </w:style>
  <w:style w:type="paragraph" w:styleId="3">
    <w:name w:val="heading 1"/>
    <w:basedOn w:val="1"/>
    <w:next w:val="1"/>
    <w:link w:val="138"/>
    <w:qFormat/>
    <w:uiPriority w:val="9"/>
    <w:pPr>
      <w:keepNext/>
      <w:keepLines/>
      <w:spacing w:before="320" w:after="160"/>
      <w:outlineLvl w:val="0"/>
    </w:pPr>
    <w:rPr>
      <w:rFonts w:asciiTheme="majorHAnsi" w:hAnsiTheme="majorHAnsi" w:eastAsiaTheme="majorEastAsia" w:cstheme="majorBidi"/>
      <w:b/>
      <w:bCs/>
      <w:color w:val="2E74B5"/>
      <w:sz w:val="32"/>
      <w:szCs w:val="28"/>
    </w:rPr>
  </w:style>
  <w:style w:type="paragraph" w:styleId="4">
    <w:name w:val="heading 2"/>
    <w:basedOn w:val="1"/>
    <w:next w:val="1"/>
    <w:link w:val="139"/>
    <w:unhideWhenUsed/>
    <w:qFormat/>
    <w:uiPriority w:val="9"/>
    <w:pPr>
      <w:keepNext/>
      <w:keepLines/>
      <w:spacing w:before="240" w:after="120"/>
      <w:outlineLvl w:val="1"/>
    </w:pPr>
    <w:rPr>
      <w:rFonts w:asciiTheme="majorHAnsi" w:hAnsiTheme="majorHAnsi" w:eastAsiaTheme="majorEastAsia" w:cstheme="majorBidi"/>
      <w:b/>
      <w:bCs/>
      <w:color w:val="2E74B5"/>
      <w:sz w:val="26"/>
      <w:szCs w:val="26"/>
    </w:rPr>
  </w:style>
  <w:style w:type="paragraph" w:styleId="5">
    <w:name w:val="heading 3"/>
    <w:basedOn w:val="1"/>
    <w:next w:val="1"/>
    <w:link w:val="140"/>
    <w:unhideWhenUsed/>
    <w:qFormat/>
    <w:uiPriority w:val="9"/>
    <w:pPr>
      <w:keepNext/>
      <w:keepLines/>
      <w:spacing w:before="160" w:after="80"/>
      <w:outlineLvl w:val="2"/>
    </w:pPr>
    <w:rPr>
      <w:rFonts w:asciiTheme="majorHAnsi" w:hAnsiTheme="majorHAnsi" w:eastAsiaTheme="majorEastAsia" w:cstheme="majorBidi"/>
      <w:b/>
      <w:bCs/>
      <w:color w:val="1F4D78"/>
      <w:sz w:val="24"/>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352</Words>
  <Characters>1936</Characters>
  <Lines>0</Lines>
  <Paragraphs>0</Paragraphs>
  <TotalTime>7</TotalTime>
  <ScaleCrop>false</ScaleCrop>
  <LinksUpToDate>false</LinksUpToDate>
  <CharactersWithSpaces>2247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楠楠</cp:lastModifiedBy>
  <dcterms:modified xsi:type="dcterms:W3CDTF">2026-07-21T12:44:47Z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eyJoZGlkIjoiMzEwNTM5NzYwMDRjMzkwZTVkZjY2ODkwMGIxNGU0OTUiLCJ1c2VySWQiOiIyNDMxMTgyNDkifQ==</vt:lpwstr>
  </property>
  <property fmtid="{D5CDD505-2E9C-101B-9397-08002B2CF9AE}" pid="3" name="KSOProductBuildVer">
    <vt:lpwstr>2052-12.1.0.26895</vt:lpwstr>
  </property>
  <property fmtid="{D5CDD505-2E9C-101B-9397-08002B2CF9AE}" pid="4" name="ICV">
    <vt:lpwstr>0532989B8CC145A18D1712CB640FB522_12</vt:lpwstr>
  </property>
</Properties>
</file>