
<file path=[Content_Types].xml><?xml version="1.0" encoding="utf-8"?>
<Types xmlns="http://schemas.openxmlformats.org/package/2006/content-types">
  <Default Extension="png" ContentType="image/png"/>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F2394">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266690" cy="2962910"/>
            <wp:effectExtent l="0" t="0" r="0" b="635"/>
            <wp:docPr id="1" name="图片 1" descr="基因组系统发育树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基因组系统发育树_01"/>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3F94CA25">
      <w:pPr>
        <w:rPr>
          <w:rFonts w:ascii="Times New Roman" w:hAnsi="Times New Roman" w:cs="Times New Roman"/>
        </w:rPr>
      </w:pPr>
      <w:r>
        <w:rPr>
          <w:rFonts w:hint="eastAsia" w:ascii="Times New Roman" w:hAnsi="Times New Roman" w:cs="Times New Roman"/>
          <w:b/>
          <w:bCs/>
        </w:rPr>
        <w:t>Fig</w:t>
      </w:r>
      <w:r>
        <w:rPr>
          <w:rFonts w:hint="eastAsia" w:ascii="Times New Roman" w:hAnsi="Times New Roman" w:cs="Times New Roman"/>
          <w:b/>
          <w:bCs/>
          <w:lang w:val="en-US" w:eastAsia="zh-CN"/>
        </w:rPr>
        <w:t>.</w:t>
      </w:r>
      <w:r>
        <w:rPr>
          <w:rFonts w:hint="eastAsia" w:ascii="Times New Roman" w:hAnsi="Times New Roman" w:cs="Times New Roman"/>
          <w:b/>
          <w:bCs/>
        </w:rPr>
        <w:t xml:space="preserve"> S1</w:t>
      </w:r>
      <w:r>
        <w:rPr>
          <w:rFonts w:hint="eastAsia" w:ascii="Times New Roman" w:hAnsi="Times New Roman" w:cs="Times New Roman"/>
        </w:rPr>
        <w:t xml:space="preserve"> Phylogenomic tree reconstructed using the UBCG pipeline based on 92 bacterial core genes, showing the phylogenetic position of strain QR3</w:t>
      </w:r>
      <w:r>
        <w:rPr>
          <w:rFonts w:hint="eastAsia" w:ascii="Times New Roman" w:hAnsi="Times New Roman" w:cs="Times New Roman"/>
          <w:vertAlign w:val="superscript"/>
        </w:rPr>
        <w:t>T</w:t>
      </w:r>
      <w:r>
        <w:rPr>
          <w:rFonts w:hint="eastAsia" w:ascii="Times New Roman" w:hAnsi="Times New Roman" w:cs="Times New Roman"/>
        </w:rPr>
        <w:t xml:space="preserve"> within the family</w:t>
      </w:r>
      <w:r>
        <w:rPr>
          <w:rFonts w:hint="eastAsia" w:ascii="Times New Roman" w:hAnsi="Times New Roman" w:cs="Times New Roman"/>
          <w:i/>
          <w:iCs/>
        </w:rPr>
        <w:t xml:space="preserve"> Erythrobacteraceae</w:t>
      </w:r>
      <w:r>
        <w:rPr>
          <w:rFonts w:hint="eastAsia" w:ascii="Times New Roman" w:hAnsi="Times New Roman" w:cs="Times New Roman"/>
        </w:rPr>
        <w:t xml:space="preserve">. Gene support indices are shown at branch nodes. Genome accession numbers are given in parentheses. </w:t>
      </w:r>
      <w:r>
        <w:rPr>
          <w:rFonts w:hint="eastAsia" w:ascii="Times New Roman" w:hAnsi="Times New Roman" w:cs="Times New Roman"/>
          <w:i/>
          <w:iCs/>
        </w:rPr>
        <w:t>Sphingomonas paucimobilis</w:t>
      </w:r>
      <w:r>
        <w:rPr>
          <w:rFonts w:hint="eastAsia" w:ascii="Times New Roman" w:hAnsi="Times New Roman" w:cs="Times New Roman"/>
        </w:rPr>
        <w:t xml:space="preserve"> DSM 30198</w:t>
      </w:r>
      <w:r>
        <w:rPr>
          <w:rFonts w:hint="eastAsia" w:ascii="Times New Roman" w:hAnsi="Times New Roman" w:cs="Times New Roman"/>
          <w:vertAlign w:val="superscript"/>
        </w:rPr>
        <w:t>T</w:t>
      </w:r>
      <w:r>
        <w:rPr>
          <w:rFonts w:hint="eastAsia" w:ascii="Times New Roman" w:hAnsi="Times New Roman" w:cs="Times New Roman"/>
        </w:rPr>
        <w:t xml:space="preserve"> was used as </w:t>
      </w:r>
      <w:r>
        <w:rPr>
          <w:rFonts w:hint="eastAsia" w:ascii="Times New Roman" w:hAnsi="Times New Roman" w:cs="Times New Roman"/>
          <w:lang w:val="en-US" w:eastAsia="zh-CN"/>
        </w:rPr>
        <w:t>an</w:t>
      </w:r>
      <w:r>
        <w:rPr>
          <w:rFonts w:hint="eastAsia" w:ascii="Times New Roman" w:hAnsi="Times New Roman" w:cs="Times New Roman"/>
        </w:rPr>
        <w:t xml:space="preserve"> outgroup. Bar, 0.10 substitutions per position</w:t>
      </w:r>
    </w:p>
    <w:p w14:paraId="4A1BBE10">
      <w:pPr>
        <w:jc w:val="center"/>
        <w:rPr>
          <w:rFonts w:ascii="Times New Roman" w:hAnsi="Times New Roman" w:cs="Times New Roman"/>
        </w:rPr>
      </w:pPr>
      <w:r>
        <w:rPr>
          <w:rFonts w:hint="eastAsia" w:ascii="Times New Roman" w:hAnsi="Times New Roman" w:cs="Times New Roman"/>
        </w:rPr>
        <w:drawing>
          <wp:inline distT="0" distB="0" distL="114300" distR="114300">
            <wp:extent cx="2485390" cy="2484755"/>
            <wp:effectExtent l="0" t="0" r="7620" b="0"/>
            <wp:docPr id="2" name="图片 2" descr="Q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R3"/>
                    <pic:cNvPicPr>
                      <a:picLocks noChangeAspect="1"/>
                    </pic:cNvPicPr>
                  </pic:nvPicPr>
                  <pic:blipFill>
                    <a:blip r:embed="rId5"/>
                    <a:srcRect l="11862" t="1983" r="20457" b="7772"/>
                    <a:stretch>
                      <a:fillRect/>
                    </a:stretch>
                  </pic:blipFill>
                  <pic:spPr>
                    <a:xfrm rot="10800000">
                      <a:off x="0" y="0"/>
                      <a:ext cx="2485390" cy="2484755"/>
                    </a:xfrm>
                    <a:prstGeom prst="rect">
                      <a:avLst/>
                    </a:prstGeom>
                  </pic:spPr>
                </pic:pic>
              </a:graphicData>
            </a:graphic>
          </wp:inline>
        </w:drawing>
      </w:r>
    </w:p>
    <w:p w14:paraId="255756BD">
      <w:pPr>
        <w:jc w:val="left"/>
        <w:rPr>
          <w:rFonts w:ascii="Times New Roman" w:hAnsi="Times New Roman" w:cs="Times New Roman"/>
        </w:rPr>
      </w:pPr>
      <w:r>
        <w:rPr>
          <w:rFonts w:hint="eastAsia" w:ascii="Times New Roman" w:hAnsi="Times New Roman" w:cs="Times New Roman"/>
          <w:b/>
          <w:bCs/>
        </w:rPr>
        <w:t>Fig</w:t>
      </w:r>
      <w:r>
        <w:rPr>
          <w:rFonts w:hint="eastAsia" w:ascii="Times New Roman" w:hAnsi="Times New Roman" w:cs="Times New Roman"/>
          <w:b/>
          <w:bCs/>
          <w:lang w:val="en-US" w:eastAsia="zh-CN"/>
        </w:rPr>
        <w:t>.</w:t>
      </w:r>
      <w:r>
        <w:rPr>
          <w:rFonts w:hint="eastAsia" w:ascii="Times New Roman" w:hAnsi="Times New Roman" w:cs="Times New Roman"/>
          <w:b/>
          <w:bCs/>
        </w:rPr>
        <w:t xml:space="preserve"> S2 </w:t>
      </w:r>
      <w:r>
        <w:rPr>
          <w:rFonts w:hint="eastAsia" w:ascii="Times New Roman" w:hAnsi="Times New Roman" w:cs="Times New Roman"/>
        </w:rPr>
        <w:t>Colony morphology of strain QR3</w:t>
      </w:r>
      <w:r>
        <w:rPr>
          <w:rFonts w:hint="eastAsia" w:ascii="Times New Roman" w:hAnsi="Times New Roman" w:cs="Times New Roman"/>
          <w:vertAlign w:val="superscript"/>
        </w:rPr>
        <w:t>T</w:t>
      </w:r>
      <w:r>
        <w:rPr>
          <w:rFonts w:hint="eastAsia" w:ascii="Times New Roman" w:hAnsi="Times New Roman" w:cs="Times New Roman"/>
        </w:rPr>
        <w:t xml:space="preserve"> grown on 2216E agar at 30</w:t>
      </w:r>
      <w:r>
        <w:rPr>
          <w:rFonts w:ascii="Times New Roman" w:hAnsi="Times New Roman" w:cs="Times New Roman"/>
        </w:rPr>
        <w:t>℃</w:t>
      </w:r>
      <w:r>
        <w:rPr>
          <w:rFonts w:hint="eastAsia" w:ascii="Times New Roman" w:hAnsi="Times New Roman" w:cs="Times New Roman"/>
        </w:rPr>
        <w:t xml:space="preserve"> for 72 h. Colonies were bright yellow, circular, convex, smooth and glistening</w:t>
      </w:r>
    </w:p>
    <w:p w14:paraId="22A74BDB">
      <w:pPr>
        <w:rPr>
          <w:rFonts w:ascii="Times New Roman" w:hAnsi="Times New Roman" w:cs="Times New Roman"/>
        </w:rPr>
      </w:pPr>
      <w:r>
        <w:rPr>
          <w:rFonts w:hint="eastAsia" w:ascii="Times New Roman" w:hAnsi="Times New Roman" w:cs="Times New Roman"/>
        </w:rPr>
        <w:br w:type="page"/>
      </w:r>
    </w:p>
    <w:p w14:paraId="0715D712">
      <w:pPr>
        <w:jc w:val="center"/>
        <w:rPr>
          <w:rFonts w:ascii="Times New Roman" w:hAnsi="Times New Roman" w:cs="Times New Roman"/>
        </w:rPr>
      </w:pPr>
      <w:r>
        <w:rPr>
          <w:rFonts w:ascii="Tahoma" w:cs="Tahoma"/>
          <w:kern w:val="0"/>
          <w:sz w:val="17"/>
          <w:szCs w:val="17"/>
          <w:lang w:val="zh-CN"/>
        </w:rPr>
        <w:drawing>
          <wp:inline distT="0" distB="0" distL="114300" distR="114300">
            <wp:extent cx="4627880" cy="2872105"/>
            <wp:effectExtent l="0" t="0" r="3175" b="6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rcRect t="2696"/>
                    <a:stretch>
                      <a:fillRect/>
                    </a:stretch>
                  </pic:blipFill>
                  <pic:spPr>
                    <a:xfrm>
                      <a:off x="0" y="0"/>
                      <a:ext cx="4627880" cy="2872105"/>
                    </a:xfrm>
                    <a:prstGeom prst="rect">
                      <a:avLst/>
                    </a:prstGeom>
                    <a:noFill/>
                    <a:ln>
                      <a:noFill/>
                    </a:ln>
                  </pic:spPr>
                </pic:pic>
              </a:graphicData>
            </a:graphic>
          </wp:inline>
        </w:drawing>
      </w:r>
    </w:p>
    <w:p w14:paraId="6BE87E17">
      <w:pPr>
        <w:rPr>
          <w:rFonts w:ascii="Times New Roman" w:hAnsi="Times New Roman" w:cs="Times New Roman"/>
        </w:rPr>
      </w:pPr>
      <w:r>
        <w:rPr>
          <w:rFonts w:hint="eastAsia" w:ascii="Times New Roman" w:hAnsi="Times New Roman" w:cs="Times New Roman"/>
          <w:b/>
          <w:bCs/>
        </w:rPr>
        <w:t>Fig</w:t>
      </w:r>
      <w:r>
        <w:rPr>
          <w:rFonts w:hint="eastAsia" w:ascii="Times New Roman" w:hAnsi="Times New Roman" w:cs="Times New Roman"/>
          <w:b/>
          <w:bCs/>
          <w:lang w:val="en-US" w:eastAsia="zh-CN"/>
        </w:rPr>
        <w:t>.</w:t>
      </w:r>
      <w:r>
        <w:rPr>
          <w:rFonts w:hint="eastAsia" w:ascii="Times New Roman" w:hAnsi="Times New Roman" w:cs="Times New Roman"/>
          <w:b/>
          <w:bCs/>
        </w:rPr>
        <w:t xml:space="preserve"> S3</w:t>
      </w:r>
      <w:r>
        <w:rPr>
          <w:rFonts w:hint="eastAsia" w:ascii="Times New Roman" w:hAnsi="Times New Roman" w:cs="Times New Roman"/>
        </w:rPr>
        <w:t xml:space="preserve"> Gas chromatogram of cellular fatty acid methyl esters of strain QR3</w:t>
      </w:r>
      <w:r>
        <w:rPr>
          <w:rFonts w:hint="eastAsia" w:ascii="Times New Roman" w:hAnsi="Times New Roman" w:cs="Times New Roman"/>
          <w:vertAlign w:val="superscript"/>
        </w:rPr>
        <w:t>T</w:t>
      </w:r>
      <w:r>
        <w:rPr>
          <w:rFonts w:hint="eastAsia" w:ascii="Times New Roman" w:hAnsi="Times New Roman" w:cs="Times New Roman"/>
        </w:rPr>
        <w:t xml:space="preserve">. Whole-cell fatty acids were extracted from cells grown on 2216E agar at 30 </w:t>
      </w:r>
      <w:r>
        <w:rPr>
          <w:rFonts w:ascii="Times New Roman" w:hAnsi="Times New Roman" w:cs="Times New Roman"/>
        </w:rPr>
        <w:t xml:space="preserve">℃ </w:t>
      </w:r>
      <w:r>
        <w:rPr>
          <w:rFonts w:hint="eastAsia" w:ascii="Times New Roman" w:hAnsi="Times New Roman" w:cs="Times New Roman"/>
        </w:rPr>
        <w:t>for 72 h and analysed by gas chromatography with flame ionization detection. The x-axis represents retention time in minutes, and the y-axis represents detector response in picoamperes. Peak labels indicate retention times</w:t>
      </w:r>
    </w:p>
    <w:p w14:paraId="513A2D2B">
      <w:pPr>
        <w:jc w:val="center"/>
        <w:rPr>
          <w:rFonts w:ascii="Times New Roman" w:hAnsi="Times New Roman" w:cs="Times New Roman"/>
        </w:rPr>
      </w:pPr>
      <w:r>
        <w:rPr>
          <w:rFonts w:hint="eastAsia" w:ascii="Times New Roman" w:hAnsi="Times New Roman" w:cs="Times New Roman"/>
        </w:rPr>
        <w:drawing>
          <wp:inline distT="0" distB="0" distL="114300" distR="114300">
            <wp:extent cx="2069465" cy="2081530"/>
            <wp:effectExtent l="0" t="0" r="2540" b="6985"/>
            <wp:docPr id="4" name="图片 4" descr="磷脂1_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磷脂1_03(1)"/>
                    <pic:cNvPicPr>
                      <a:picLocks noChangeAspect="1"/>
                    </pic:cNvPicPr>
                  </pic:nvPicPr>
                  <pic:blipFill>
                    <a:blip r:embed="rId7"/>
                    <a:srcRect l="15257" t="53370" r="47337" b="20034"/>
                    <a:stretch>
                      <a:fillRect/>
                    </a:stretch>
                  </pic:blipFill>
                  <pic:spPr>
                    <a:xfrm>
                      <a:off x="0" y="0"/>
                      <a:ext cx="2069465" cy="2081530"/>
                    </a:xfrm>
                    <a:prstGeom prst="rect">
                      <a:avLst/>
                    </a:prstGeom>
                  </pic:spPr>
                </pic:pic>
              </a:graphicData>
            </a:graphic>
          </wp:inline>
        </w:drawing>
      </w:r>
    </w:p>
    <w:p w14:paraId="3FE3AB5B">
      <w:pPr>
        <w:rPr>
          <w:rFonts w:ascii="Times New Roman" w:hAnsi="Times New Roman" w:cs="Times New Roman"/>
        </w:rPr>
      </w:pPr>
      <w:r>
        <w:rPr>
          <w:rFonts w:hint="eastAsia" w:ascii="Times New Roman" w:hAnsi="Times New Roman" w:cs="Times New Roman"/>
          <w:b/>
          <w:bCs/>
        </w:rPr>
        <w:t>Fig</w:t>
      </w:r>
      <w:r>
        <w:rPr>
          <w:rFonts w:hint="eastAsia" w:ascii="Times New Roman" w:hAnsi="Times New Roman" w:cs="Times New Roman"/>
          <w:b/>
          <w:bCs/>
          <w:lang w:val="en-US" w:eastAsia="zh-CN"/>
        </w:rPr>
        <w:t>.</w:t>
      </w:r>
      <w:r>
        <w:rPr>
          <w:rFonts w:hint="eastAsia" w:ascii="Times New Roman" w:hAnsi="Times New Roman" w:cs="Times New Roman"/>
          <w:b/>
          <w:bCs/>
        </w:rPr>
        <w:t xml:space="preserve"> S4 </w:t>
      </w:r>
      <w:r>
        <w:rPr>
          <w:rFonts w:hint="eastAsia" w:ascii="Times New Roman" w:hAnsi="Times New Roman" w:cs="Times New Roman"/>
        </w:rPr>
        <w:t>Two-dimensional thin-layer chromatogram of polar lipids extracted from strain QR3</w:t>
      </w:r>
      <w:r>
        <w:rPr>
          <w:rFonts w:hint="eastAsia" w:ascii="Times New Roman" w:hAnsi="Times New Roman" w:cs="Times New Roman"/>
          <w:vertAlign w:val="superscript"/>
        </w:rPr>
        <w:t>T</w:t>
      </w:r>
      <w:r>
        <w:rPr>
          <w:rFonts w:hint="eastAsia" w:ascii="Times New Roman" w:hAnsi="Times New Roman" w:cs="Times New Roman"/>
        </w:rPr>
        <w:t>. The major polar lipids detected were SGL, sphingoglycolipid; DPG, diphosphatidylglycerol; PE, phosphatidylethanolamine; and PC, phosphatidylcholine</w:t>
      </w:r>
    </w:p>
    <w:p w14:paraId="1C3188A5">
      <w:pPr>
        <w:jc w:val="left"/>
        <w:rPr>
          <w:rFonts w:ascii="Times New Roman" w:hAnsi="Times New Roman" w:cs="Times New Roman"/>
        </w:rPr>
      </w:pPr>
      <w:r>
        <w:rPr>
          <w:rFonts w:hint="eastAsia" w:ascii="Times New Roman" w:hAnsi="Times New Roman" w:cs="Times New Roman"/>
        </w:rPr>
        <w:drawing>
          <wp:inline distT="0" distB="0" distL="114300" distR="114300">
            <wp:extent cx="5267325" cy="2497455"/>
            <wp:effectExtent l="0" t="0" r="0" b="3810"/>
            <wp:docPr id="5" name="图片 5" descr="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Rast"/>
                    <pic:cNvPicPr>
                      <a:picLocks noChangeAspect="1"/>
                    </pic:cNvPicPr>
                  </pic:nvPicPr>
                  <pic:blipFill>
                    <a:blip r:embed="rId8">
                      <a:clrChange>
                        <a:clrFrom>
                          <a:srgbClr val="FEFDFA">
                            <a:alpha val="100000"/>
                          </a:srgbClr>
                        </a:clrFrom>
                        <a:clrTo>
                          <a:srgbClr val="FEFDFA">
                            <a:alpha val="100000"/>
                            <a:alpha val="0"/>
                          </a:srgbClr>
                        </a:clrTo>
                      </a:clrChange>
                    </a:blip>
                    <a:stretch>
                      <a:fillRect/>
                    </a:stretch>
                  </pic:blipFill>
                  <pic:spPr>
                    <a:xfrm>
                      <a:off x="0" y="0"/>
                      <a:ext cx="5267325" cy="2497455"/>
                    </a:xfrm>
                    <a:prstGeom prst="rect">
                      <a:avLst/>
                    </a:prstGeom>
                  </pic:spPr>
                </pic:pic>
              </a:graphicData>
            </a:graphic>
          </wp:inline>
        </w:drawing>
      </w:r>
    </w:p>
    <w:p w14:paraId="3353D977">
      <w:pPr>
        <w:rPr>
          <w:rFonts w:ascii="Times New Roman" w:hAnsi="Times New Roman" w:cs="Times New Roman"/>
        </w:rPr>
      </w:pPr>
      <w:r>
        <w:rPr>
          <w:rFonts w:hint="eastAsia" w:ascii="Times New Roman" w:hAnsi="Times New Roman" w:cs="Times New Roman"/>
          <w:b/>
          <w:bCs/>
        </w:rPr>
        <w:t>Fig</w:t>
      </w:r>
      <w:r>
        <w:rPr>
          <w:rFonts w:hint="eastAsia" w:ascii="Times New Roman" w:hAnsi="Times New Roman" w:cs="Times New Roman"/>
          <w:b/>
          <w:bCs/>
          <w:lang w:val="en-US" w:eastAsia="zh-CN"/>
        </w:rPr>
        <w:t>.</w:t>
      </w:r>
      <w:r>
        <w:rPr>
          <w:rFonts w:hint="eastAsia" w:ascii="Times New Roman" w:hAnsi="Times New Roman" w:cs="Times New Roman"/>
          <w:b/>
          <w:bCs/>
        </w:rPr>
        <w:t xml:space="preserve"> S5</w:t>
      </w:r>
      <w:r>
        <w:rPr>
          <w:rFonts w:hint="eastAsia" w:ascii="Times New Roman" w:hAnsi="Times New Roman" w:cs="Times New Roman"/>
        </w:rPr>
        <w:t xml:space="preserve"> RAST subsystem annotation of the genome of strain QR3</w:t>
      </w:r>
      <w:r>
        <w:rPr>
          <w:rFonts w:hint="eastAsia" w:ascii="Times New Roman" w:hAnsi="Times New Roman" w:cs="Times New Roman"/>
          <w:vertAlign w:val="superscript"/>
        </w:rPr>
        <w:t>T</w:t>
      </w:r>
      <w:r>
        <w:rPr>
          <w:rFonts w:hint="eastAsia" w:ascii="Times New Roman" w:hAnsi="Times New Roman" w:cs="Times New Roman"/>
        </w:rPr>
        <w:t>. The figure shows subsystem coverage, subsystem category distribution and subsystem feature counts. A total of 262 subsystems were annotated, with major categories including amino acids and derivatives, protein metabolism, carbohydrates, cofactors, vitamins, prosthetic groups and pigments, respiration, membrane transport, DNA metabolism and stress response</w:t>
      </w:r>
      <w:bookmarkStart w:id="0" w:name="_GoBack"/>
      <w:bookmarkEnd w:id="0"/>
    </w:p>
    <w:p w14:paraId="32CA748F">
      <w:pPr>
        <w:jc w:val="left"/>
        <w:rPr>
          <w:rFonts w:ascii="Times New Roman" w:hAnsi="Times New Roman" w:cs="Times New Roman"/>
        </w:rPr>
      </w:pPr>
    </w:p>
    <w:p w14:paraId="1BE672FC">
      <w:pPr>
        <w:jc w:val="left"/>
        <w:rPr>
          <w:rFonts w:ascii="Times New Roman" w:hAnsi="Times New Roman" w:cs="Times New Roman"/>
        </w:rPr>
      </w:pPr>
    </w:p>
    <w:p w14:paraId="72D5E9A3">
      <w:pPr>
        <w:jc w:val="left"/>
        <w:rPr>
          <w:rFonts w:ascii="Times New Roman" w:hAnsi="Times New Roman" w:cs="Times New Roman"/>
        </w:rPr>
      </w:pPr>
    </w:p>
    <w:p w14:paraId="137105FB">
      <w:pPr>
        <w:jc w:val="left"/>
        <w:rPr>
          <w:rFonts w:ascii="Times New Roman" w:hAnsi="Times New Roman" w:cs="Times New Roman"/>
        </w:rPr>
      </w:pPr>
    </w:p>
    <w:p w14:paraId="71FF3A15">
      <w:pPr>
        <w:jc w:val="left"/>
        <w:rPr>
          <w:rFonts w:ascii="Times New Roman" w:hAnsi="Times New Roman" w:cs="Times New Roman"/>
        </w:rPr>
      </w:pPr>
    </w:p>
    <w:p w14:paraId="676437E7">
      <w:pPr>
        <w:jc w:val="center"/>
        <w:rPr>
          <w:rFonts w:ascii="Times New Roman" w:hAnsi="Times New Roman" w:cs="Times New Roman"/>
          <w:b/>
          <w:bCs/>
        </w:rPr>
      </w:pPr>
    </w:p>
    <w:p w14:paraId="0AC197ED">
      <w:pPr>
        <w:jc w:val="center"/>
        <w:rPr>
          <w:rFonts w:ascii="Times New Roman" w:hAnsi="Times New Roman" w:cs="Times New Roman"/>
          <w:b/>
          <w:bCs/>
        </w:rPr>
      </w:pPr>
    </w:p>
    <w:p w14:paraId="3FEE0E01">
      <w:pPr>
        <w:rPr>
          <w:rFonts w:ascii="Times New Roman" w:hAnsi="Times New Roman" w:cs="Times New Roman"/>
          <w:b/>
          <w:bCs/>
        </w:rPr>
      </w:pPr>
      <w:r>
        <w:rPr>
          <w:rFonts w:ascii="Times New Roman" w:hAnsi="Times New Roman" w:cs="Times New Roman"/>
          <w:b/>
          <w:bCs/>
        </w:rPr>
        <w:br w:type="page"/>
      </w:r>
    </w:p>
    <w:p w14:paraId="2A9C0AF7">
      <w:pPr>
        <w:jc w:val="center"/>
        <w:rPr>
          <w:rFonts w:ascii="Times New Roman" w:hAnsi="Times New Roman" w:cs="Times New Roman"/>
          <w:b/>
          <w:bCs/>
        </w:rPr>
      </w:pPr>
      <w:r>
        <w:rPr>
          <w:rFonts w:ascii="Times New Roman" w:hAnsi="Times New Roman" w:cs="Times New Roman"/>
          <w:b/>
          <w:bCs/>
        </w:rPr>
        <w:t xml:space="preserve">Table S1 </w:t>
      </w:r>
      <w:r>
        <w:rPr>
          <w:rFonts w:ascii="Times New Roman" w:hAnsi="Times New Roman" w:cs="Times New Roman"/>
          <w:b w:val="0"/>
          <w:bCs w:val="0"/>
        </w:rPr>
        <w:t>Genus-level comparison of AAI, POCP and evolutionary distance values between strain QR3</w:t>
      </w:r>
      <w:r>
        <w:rPr>
          <w:rFonts w:ascii="Times New Roman" w:hAnsi="Times New Roman" w:cs="Times New Roman"/>
          <w:b w:val="0"/>
          <w:bCs w:val="0"/>
          <w:vertAlign w:val="superscript"/>
        </w:rPr>
        <w:t>T</w:t>
      </w:r>
      <w:r>
        <w:rPr>
          <w:rFonts w:ascii="Times New Roman" w:hAnsi="Times New Roman" w:cs="Times New Roman"/>
          <w:b w:val="0"/>
          <w:bCs w:val="0"/>
        </w:rPr>
        <w:t xml:space="preserve"> and representative genera in the family </w:t>
      </w:r>
      <w:r>
        <w:rPr>
          <w:rFonts w:ascii="Times New Roman" w:hAnsi="Times New Roman" w:cs="Times New Roman"/>
          <w:b w:val="0"/>
          <w:bCs w:val="0"/>
          <w:i/>
          <w:iCs/>
        </w:rPr>
        <w:t>Erythrobacteraceae</w:t>
      </w:r>
    </w:p>
    <w:tbl>
      <w:tblPr>
        <w:tblStyle w:val="7"/>
        <w:tblW w:w="10696" w:type="dxa"/>
        <w:tblInd w:w="-13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1"/>
        <w:gridCol w:w="759"/>
        <w:gridCol w:w="1268"/>
        <w:gridCol w:w="1268"/>
        <w:gridCol w:w="1483"/>
        <w:gridCol w:w="1236"/>
        <w:gridCol w:w="1343"/>
        <w:gridCol w:w="1368"/>
      </w:tblGrid>
      <w:tr w14:paraId="4F9D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971" w:type="dxa"/>
            <w:vMerge w:val="restart"/>
            <w:tcBorders>
              <w:top w:val="single" w:color="000000" w:sz="12" w:space="0"/>
              <w:left w:val="nil"/>
              <w:bottom w:val="nil"/>
              <w:right w:val="nil"/>
            </w:tcBorders>
            <w:vAlign w:val="center"/>
          </w:tcPr>
          <w:p w14:paraId="3F5D6DF6">
            <w:pPr>
              <w:widowControl/>
              <w:jc w:val="center"/>
              <w:textAlignment w:val="center"/>
              <w:rPr>
                <w:sz w:val="20"/>
                <w:szCs w:val="20"/>
              </w:rPr>
            </w:pPr>
            <w:r>
              <w:rPr>
                <w:rFonts w:ascii="Times New Roman" w:hAnsi="Times New Roman" w:eastAsia="宋体" w:cs="Times New Roman"/>
                <w:color w:val="000000"/>
                <w:kern w:val="0"/>
                <w:sz w:val="20"/>
                <w:szCs w:val="20"/>
                <w:lang w:bidi="ar"/>
              </w:rPr>
              <w:t>Genus</w:t>
            </w:r>
          </w:p>
        </w:tc>
        <w:tc>
          <w:tcPr>
            <w:tcW w:w="759" w:type="dxa"/>
            <w:vMerge w:val="restart"/>
            <w:tcBorders>
              <w:top w:val="single" w:color="000000" w:sz="12" w:space="0"/>
              <w:left w:val="nil"/>
              <w:bottom w:val="nil"/>
              <w:right w:val="nil"/>
            </w:tcBorders>
            <w:vAlign w:val="center"/>
          </w:tcPr>
          <w:p w14:paraId="7E505419">
            <w:pPr>
              <w:widowControl/>
              <w:jc w:val="center"/>
              <w:textAlignment w:val="center"/>
              <w:rPr>
                <w:sz w:val="20"/>
                <w:szCs w:val="20"/>
              </w:rPr>
            </w:pPr>
            <w:r>
              <w:rPr>
                <w:rFonts w:ascii="Times New Roman" w:hAnsi="Times New Roman" w:eastAsia="宋体" w:cs="Times New Roman"/>
                <w:color w:val="000000"/>
                <w:kern w:val="0"/>
                <w:sz w:val="20"/>
                <w:szCs w:val="20"/>
                <w:lang w:bidi="ar"/>
              </w:rPr>
              <w:t>No. of strains</w:t>
            </w:r>
          </w:p>
        </w:tc>
        <w:tc>
          <w:tcPr>
            <w:tcW w:w="4019" w:type="dxa"/>
            <w:gridSpan w:val="3"/>
            <w:tcBorders>
              <w:top w:val="single" w:color="000000" w:sz="12" w:space="0"/>
              <w:left w:val="nil"/>
              <w:bottom w:val="single" w:color="000000" w:sz="4" w:space="0"/>
              <w:right w:val="nil"/>
            </w:tcBorders>
            <w:vAlign w:val="center"/>
          </w:tcPr>
          <w:p w14:paraId="6AB74C33">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QR3</w:t>
            </w:r>
            <w:r>
              <w:rPr>
                <w:rFonts w:ascii="Times New Roman" w:hAnsi="Times New Roman" w:eastAsia="宋体" w:cs="Times New Roman"/>
                <w:color w:val="000000"/>
                <w:kern w:val="0"/>
                <w:sz w:val="20"/>
                <w:szCs w:val="20"/>
                <w:vertAlign w:val="superscript"/>
                <w:lang w:bidi="ar"/>
              </w:rPr>
              <w:t>T</w:t>
            </w:r>
            <w:r>
              <w:rPr>
                <w:rFonts w:ascii="Times New Roman" w:hAnsi="Times New Roman" w:eastAsia="宋体" w:cs="Times New Roman"/>
                <w:color w:val="000000"/>
                <w:kern w:val="0"/>
                <w:sz w:val="20"/>
                <w:szCs w:val="20"/>
                <w:lang w:bidi="ar"/>
              </w:rPr>
              <w:t xml:space="preserve"> vs genus</w:t>
            </w:r>
          </w:p>
        </w:tc>
        <w:tc>
          <w:tcPr>
            <w:tcW w:w="3947" w:type="dxa"/>
            <w:gridSpan w:val="3"/>
            <w:tcBorders>
              <w:top w:val="single" w:color="000000" w:sz="12" w:space="0"/>
              <w:left w:val="nil"/>
              <w:bottom w:val="single" w:color="000000" w:sz="4" w:space="0"/>
              <w:right w:val="nil"/>
            </w:tcBorders>
            <w:vAlign w:val="center"/>
          </w:tcPr>
          <w:p w14:paraId="14F329F4">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Intra-genus</w:t>
            </w:r>
          </w:p>
        </w:tc>
      </w:tr>
      <w:tr w14:paraId="3E74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971" w:type="dxa"/>
            <w:vMerge w:val="continue"/>
            <w:tcBorders>
              <w:top w:val="nil"/>
              <w:left w:val="nil"/>
              <w:bottom w:val="single" w:color="000000" w:sz="12" w:space="0"/>
              <w:right w:val="nil"/>
            </w:tcBorders>
            <w:vAlign w:val="center"/>
          </w:tcPr>
          <w:p w14:paraId="5E83AFEF">
            <w:pPr>
              <w:widowControl/>
              <w:jc w:val="center"/>
              <w:textAlignment w:val="center"/>
              <w:rPr>
                <w:sz w:val="20"/>
                <w:szCs w:val="20"/>
              </w:rPr>
            </w:pPr>
          </w:p>
        </w:tc>
        <w:tc>
          <w:tcPr>
            <w:tcW w:w="759" w:type="dxa"/>
            <w:vMerge w:val="continue"/>
            <w:tcBorders>
              <w:top w:val="nil"/>
              <w:left w:val="nil"/>
              <w:bottom w:val="single" w:color="000000" w:sz="12" w:space="0"/>
              <w:right w:val="nil"/>
            </w:tcBorders>
            <w:vAlign w:val="center"/>
          </w:tcPr>
          <w:p w14:paraId="7D01599C">
            <w:pPr>
              <w:widowControl/>
              <w:jc w:val="center"/>
              <w:textAlignment w:val="center"/>
              <w:rPr>
                <w:sz w:val="20"/>
                <w:szCs w:val="20"/>
              </w:rPr>
            </w:pPr>
          </w:p>
        </w:tc>
        <w:tc>
          <w:tcPr>
            <w:tcW w:w="1268" w:type="dxa"/>
            <w:tcBorders>
              <w:top w:val="single" w:color="000000" w:sz="4" w:space="0"/>
              <w:left w:val="nil"/>
              <w:bottom w:val="single" w:color="000000" w:sz="12" w:space="0"/>
              <w:right w:val="nil"/>
            </w:tcBorders>
            <w:vAlign w:val="center"/>
          </w:tcPr>
          <w:p w14:paraId="37D7A431">
            <w:pPr>
              <w:widowControl/>
              <w:jc w:val="center"/>
              <w:textAlignment w:val="center"/>
              <w:rPr>
                <w:sz w:val="20"/>
                <w:szCs w:val="20"/>
              </w:rPr>
            </w:pPr>
            <w:r>
              <w:rPr>
                <w:rFonts w:ascii="Times New Roman" w:hAnsi="Times New Roman" w:eastAsia="宋体" w:cs="Times New Roman"/>
                <w:color w:val="000000"/>
                <w:kern w:val="0"/>
                <w:sz w:val="20"/>
                <w:szCs w:val="20"/>
                <w:lang w:bidi="ar"/>
              </w:rPr>
              <w:t>AAI range (%)</w:t>
            </w:r>
          </w:p>
        </w:tc>
        <w:tc>
          <w:tcPr>
            <w:tcW w:w="1268" w:type="dxa"/>
            <w:tcBorders>
              <w:top w:val="single" w:color="000000" w:sz="4" w:space="0"/>
              <w:left w:val="nil"/>
              <w:bottom w:val="single" w:color="000000" w:sz="12" w:space="0"/>
              <w:right w:val="nil"/>
            </w:tcBorders>
            <w:vAlign w:val="center"/>
          </w:tcPr>
          <w:p w14:paraId="66C2C2A4">
            <w:pPr>
              <w:widowControl/>
              <w:jc w:val="center"/>
              <w:textAlignment w:val="center"/>
              <w:rPr>
                <w:sz w:val="20"/>
                <w:szCs w:val="20"/>
              </w:rPr>
            </w:pPr>
            <w:r>
              <w:rPr>
                <w:rFonts w:ascii="Times New Roman" w:hAnsi="Times New Roman" w:eastAsia="宋体" w:cs="Times New Roman"/>
                <w:color w:val="000000"/>
                <w:kern w:val="0"/>
                <w:sz w:val="20"/>
                <w:szCs w:val="20"/>
                <w:lang w:bidi="ar"/>
              </w:rPr>
              <w:t>POCP range (%)</w:t>
            </w:r>
          </w:p>
        </w:tc>
        <w:tc>
          <w:tcPr>
            <w:tcW w:w="1483" w:type="dxa"/>
            <w:tcBorders>
              <w:top w:val="single" w:color="000000" w:sz="4" w:space="0"/>
              <w:left w:val="nil"/>
              <w:bottom w:val="single" w:color="000000" w:sz="12" w:space="0"/>
              <w:right w:val="nil"/>
            </w:tcBorders>
            <w:vAlign w:val="center"/>
          </w:tcPr>
          <w:p w14:paraId="58B1FB6C">
            <w:pPr>
              <w:widowControl/>
              <w:jc w:val="center"/>
              <w:textAlignment w:val="center"/>
              <w:rPr>
                <w:sz w:val="20"/>
                <w:szCs w:val="20"/>
              </w:rPr>
            </w:pPr>
            <w:r>
              <w:rPr>
                <w:rFonts w:hint="eastAsia" w:ascii="Times New Roman" w:hAnsi="Times New Roman" w:eastAsia="宋体" w:cs="Times New Roman"/>
                <w:color w:val="000000"/>
                <w:kern w:val="0"/>
                <w:sz w:val="20"/>
                <w:szCs w:val="20"/>
                <w:lang w:bidi="ar"/>
              </w:rPr>
              <w:t>E</w:t>
            </w:r>
            <w:r>
              <w:rPr>
                <w:rFonts w:ascii="Times New Roman" w:hAnsi="Times New Roman" w:eastAsia="宋体" w:cs="Times New Roman"/>
                <w:color w:val="000000"/>
                <w:kern w:val="0"/>
                <w:sz w:val="20"/>
                <w:szCs w:val="20"/>
                <w:lang w:bidi="ar"/>
              </w:rPr>
              <w:t>volutionary distance range</w:t>
            </w:r>
          </w:p>
        </w:tc>
        <w:tc>
          <w:tcPr>
            <w:tcW w:w="1236" w:type="dxa"/>
            <w:tcBorders>
              <w:top w:val="single" w:color="000000" w:sz="4" w:space="0"/>
              <w:left w:val="nil"/>
              <w:bottom w:val="single" w:color="000000" w:sz="12" w:space="0"/>
              <w:right w:val="nil"/>
            </w:tcBorders>
            <w:vAlign w:val="center"/>
          </w:tcPr>
          <w:p w14:paraId="3F074303">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AAI range</w:t>
            </w:r>
          </w:p>
          <w:p w14:paraId="14A2AFB2">
            <w:pPr>
              <w:widowControl/>
              <w:jc w:val="center"/>
              <w:textAlignment w:val="center"/>
              <w:rPr>
                <w:sz w:val="20"/>
                <w:szCs w:val="20"/>
              </w:rPr>
            </w:pPr>
            <w:r>
              <w:rPr>
                <w:rFonts w:ascii="Times New Roman" w:hAnsi="Times New Roman" w:eastAsia="宋体" w:cs="Times New Roman"/>
                <w:color w:val="000000"/>
                <w:kern w:val="0"/>
                <w:sz w:val="20"/>
                <w:szCs w:val="20"/>
                <w:lang w:bidi="ar"/>
              </w:rPr>
              <w:t>(%)</w:t>
            </w:r>
          </w:p>
        </w:tc>
        <w:tc>
          <w:tcPr>
            <w:tcW w:w="1343" w:type="dxa"/>
            <w:tcBorders>
              <w:top w:val="single" w:color="000000" w:sz="4" w:space="0"/>
              <w:left w:val="nil"/>
              <w:bottom w:val="single" w:color="000000" w:sz="12" w:space="0"/>
              <w:right w:val="nil"/>
            </w:tcBorders>
            <w:vAlign w:val="center"/>
          </w:tcPr>
          <w:p w14:paraId="403AFED4">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POCP range</w:t>
            </w:r>
          </w:p>
          <w:p w14:paraId="324EE994">
            <w:pPr>
              <w:widowControl/>
              <w:jc w:val="center"/>
              <w:textAlignment w:val="center"/>
              <w:rPr>
                <w:sz w:val="20"/>
                <w:szCs w:val="20"/>
              </w:rPr>
            </w:pPr>
            <w:r>
              <w:rPr>
                <w:rFonts w:ascii="Times New Roman" w:hAnsi="Times New Roman" w:eastAsia="宋体" w:cs="Times New Roman"/>
                <w:color w:val="000000"/>
                <w:kern w:val="0"/>
                <w:sz w:val="20"/>
                <w:szCs w:val="20"/>
                <w:lang w:bidi="ar"/>
              </w:rPr>
              <w:t>(%)</w:t>
            </w:r>
          </w:p>
        </w:tc>
        <w:tc>
          <w:tcPr>
            <w:tcW w:w="1368" w:type="dxa"/>
            <w:tcBorders>
              <w:top w:val="single" w:color="000000" w:sz="4" w:space="0"/>
              <w:left w:val="nil"/>
              <w:bottom w:val="single" w:color="000000" w:sz="12" w:space="0"/>
              <w:right w:val="nil"/>
            </w:tcBorders>
            <w:vAlign w:val="center"/>
          </w:tcPr>
          <w:p w14:paraId="18638F16">
            <w:pPr>
              <w:widowControl/>
              <w:jc w:val="center"/>
              <w:textAlignment w:val="center"/>
              <w:rPr>
                <w:sz w:val="20"/>
                <w:szCs w:val="20"/>
              </w:rPr>
            </w:pPr>
            <w:r>
              <w:rPr>
                <w:rFonts w:hint="eastAsia" w:ascii="Times New Roman" w:hAnsi="Times New Roman" w:eastAsia="宋体" w:cs="Times New Roman"/>
                <w:color w:val="000000"/>
                <w:kern w:val="0"/>
                <w:sz w:val="20"/>
                <w:szCs w:val="20"/>
                <w:lang w:bidi="ar"/>
              </w:rPr>
              <w:t>E</w:t>
            </w:r>
            <w:r>
              <w:rPr>
                <w:rFonts w:ascii="Times New Roman" w:hAnsi="Times New Roman" w:eastAsia="宋体" w:cs="Times New Roman"/>
                <w:color w:val="000000"/>
                <w:kern w:val="0"/>
                <w:sz w:val="20"/>
                <w:szCs w:val="20"/>
                <w:lang w:bidi="ar"/>
              </w:rPr>
              <w:t>volutionary distance range</w:t>
            </w:r>
          </w:p>
        </w:tc>
      </w:tr>
      <w:tr w14:paraId="6E5D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971" w:type="dxa"/>
            <w:tcBorders>
              <w:top w:val="single" w:color="000000" w:sz="12" w:space="0"/>
              <w:left w:val="nil"/>
              <w:bottom w:val="nil"/>
              <w:right w:val="nil"/>
            </w:tcBorders>
            <w:vAlign w:val="center"/>
          </w:tcPr>
          <w:p w14:paraId="28CB88A7">
            <w:pPr>
              <w:widowControl/>
              <w:jc w:val="center"/>
              <w:textAlignment w:val="center"/>
              <w:rPr>
                <w:i/>
                <w:iCs/>
                <w:sz w:val="20"/>
                <w:szCs w:val="20"/>
              </w:rPr>
            </w:pPr>
            <w:r>
              <w:rPr>
                <w:rFonts w:ascii="Times New Roman" w:hAnsi="Times New Roman" w:eastAsia="宋体" w:cs="Times New Roman"/>
                <w:i/>
                <w:iCs/>
                <w:color w:val="000000"/>
                <w:kern w:val="0"/>
                <w:sz w:val="20"/>
                <w:szCs w:val="20"/>
                <w:lang w:bidi="ar"/>
              </w:rPr>
              <w:t>Alteraurantiacibacter</w:t>
            </w:r>
          </w:p>
        </w:tc>
        <w:tc>
          <w:tcPr>
            <w:tcW w:w="759" w:type="dxa"/>
            <w:tcBorders>
              <w:top w:val="single" w:color="000000" w:sz="12" w:space="0"/>
              <w:left w:val="nil"/>
              <w:bottom w:val="nil"/>
              <w:right w:val="nil"/>
            </w:tcBorders>
            <w:vAlign w:val="center"/>
          </w:tcPr>
          <w:p w14:paraId="234642BD">
            <w:pPr>
              <w:widowControl/>
              <w:jc w:val="center"/>
              <w:textAlignment w:val="center"/>
              <w:rPr>
                <w:sz w:val="20"/>
                <w:szCs w:val="20"/>
              </w:rPr>
            </w:pPr>
            <w:r>
              <w:rPr>
                <w:rFonts w:ascii="Times New Roman" w:hAnsi="Times New Roman" w:eastAsia="宋体" w:cs="Times New Roman"/>
                <w:color w:val="000000"/>
                <w:kern w:val="0"/>
                <w:sz w:val="20"/>
                <w:szCs w:val="20"/>
                <w:lang w:bidi="ar"/>
              </w:rPr>
              <w:t>5</w:t>
            </w:r>
          </w:p>
        </w:tc>
        <w:tc>
          <w:tcPr>
            <w:tcW w:w="1268" w:type="dxa"/>
            <w:tcBorders>
              <w:top w:val="single" w:color="000000" w:sz="12" w:space="0"/>
              <w:left w:val="nil"/>
              <w:bottom w:val="nil"/>
              <w:right w:val="nil"/>
            </w:tcBorders>
            <w:vAlign w:val="center"/>
          </w:tcPr>
          <w:p w14:paraId="597B1EDB">
            <w:pPr>
              <w:widowControl/>
              <w:jc w:val="center"/>
              <w:textAlignment w:val="center"/>
              <w:rPr>
                <w:sz w:val="20"/>
                <w:szCs w:val="20"/>
              </w:rPr>
            </w:pPr>
            <w:r>
              <w:rPr>
                <w:rFonts w:ascii="Times New Roman" w:hAnsi="Times New Roman" w:eastAsia="宋体" w:cs="Times New Roman"/>
                <w:color w:val="000000"/>
                <w:kern w:val="0"/>
                <w:sz w:val="20"/>
                <w:szCs w:val="20"/>
                <w:lang w:bidi="ar"/>
              </w:rPr>
              <w:t>69.64</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72.38</w:t>
            </w:r>
          </w:p>
        </w:tc>
        <w:tc>
          <w:tcPr>
            <w:tcW w:w="1268" w:type="dxa"/>
            <w:tcBorders>
              <w:top w:val="single" w:color="000000" w:sz="12" w:space="0"/>
              <w:left w:val="nil"/>
              <w:bottom w:val="nil"/>
              <w:right w:val="nil"/>
            </w:tcBorders>
            <w:vAlign w:val="center"/>
          </w:tcPr>
          <w:p w14:paraId="635B9B5C">
            <w:pPr>
              <w:widowControl/>
              <w:jc w:val="center"/>
              <w:textAlignment w:val="center"/>
              <w:rPr>
                <w:sz w:val="20"/>
                <w:szCs w:val="20"/>
              </w:rPr>
            </w:pPr>
            <w:r>
              <w:rPr>
                <w:rFonts w:ascii="Times New Roman" w:hAnsi="Times New Roman" w:eastAsia="宋体" w:cs="Times New Roman"/>
                <w:color w:val="000000"/>
                <w:kern w:val="0"/>
                <w:sz w:val="20"/>
                <w:szCs w:val="20"/>
                <w:lang w:bidi="ar"/>
              </w:rPr>
              <w:t>61.19</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66.52</w:t>
            </w:r>
          </w:p>
        </w:tc>
        <w:tc>
          <w:tcPr>
            <w:tcW w:w="1483" w:type="dxa"/>
            <w:tcBorders>
              <w:top w:val="single" w:color="000000" w:sz="12" w:space="0"/>
              <w:left w:val="nil"/>
              <w:bottom w:val="nil"/>
              <w:right w:val="nil"/>
            </w:tcBorders>
            <w:vAlign w:val="center"/>
          </w:tcPr>
          <w:p w14:paraId="4C641687">
            <w:pPr>
              <w:widowControl/>
              <w:jc w:val="center"/>
              <w:textAlignment w:val="center"/>
              <w:rPr>
                <w:sz w:val="20"/>
                <w:szCs w:val="20"/>
              </w:rPr>
            </w:pPr>
            <w:r>
              <w:rPr>
                <w:rFonts w:ascii="Times New Roman" w:hAnsi="Times New Roman" w:eastAsia="宋体" w:cs="Times New Roman"/>
                <w:color w:val="000000"/>
                <w:kern w:val="0"/>
                <w:sz w:val="20"/>
                <w:szCs w:val="20"/>
                <w:lang w:bidi="ar"/>
              </w:rPr>
              <w:t>0.35</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0.42</w:t>
            </w:r>
          </w:p>
        </w:tc>
        <w:tc>
          <w:tcPr>
            <w:tcW w:w="1236" w:type="dxa"/>
            <w:tcBorders>
              <w:top w:val="single" w:color="000000" w:sz="12" w:space="0"/>
              <w:left w:val="nil"/>
              <w:bottom w:val="nil"/>
              <w:right w:val="nil"/>
            </w:tcBorders>
            <w:vAlign w:val="center"/>
          </w:tcPr>
          <w:p w14:paraId="36C1076B">
            <w:pPr>
              <w:widowControl/>
              <w:jc w:val="center"/>
              <w:textAlignment w:val="center"/>
              <w:rPr>
                <w:sz w:val="20"/>
                <w:szCs w:val="20"/>
              </w:rPr>
            </w:pPr>
            <w:r>
              <w:rPr>
                <w:rFonts w:ascii="Times New Roman" w:hAnsi="Times New Roman" w:eastAsia="宋体" w:cs="Times New Roman"/>
                <w:color w:val="000000"/>
                <w:kern w:val="0"/>
                <w:sz w:val="20"/>
                <w:szCs w:val="20"/>
                <w:lang w:bidi="ar"/>
              </w:rPr>
              <w:t>73.05</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91.78</w:t>
            </w:r>
          </w:p>
        </w:tc>
        <w:tc>
          <w:tcPr>
            <w:tcW w:w="1343" w:type="dxa"/>
            <w:tcBorders>
              <w:top w:val="single" w:color="000000" w:sz="12" w:space="0"/>
              <w:left w:val="nil"/>
              <w:bottom w:val="nil"/>
              <w:right w:val="nil"/>
            </w:tcBorders>
            <w:vAlign w:val="center"/>
          </w:tcPr>
          <w:p w14:paraId="26466D90">
            <w:pPr>
              <w:widowControl/>
              <w:jc w:val="center"/>
              <w:textAlignment w:val="center"/>
              <w:rPr>
                <w:sz w:val="20"/>
                <w:szCs w:val="20"/>
              </w:rPr>
            </w:pPr>
            <w:r>
              <w:rPr>
                <w:rFonts w:ascii="Times New Roman" w:hAnsi="Times New Roman" w:eastAsia="宋体" w:cs="Times New Roman"/>
                <w:color w:val="000000"/>
                <w:kern w:val="0"/>
                <w:sz w:val="20"/>
                <w:szCs w:val="20"/>
                <w:lang w:bidi="ar"/>
              </w:rPr>
              <w:t>66.47</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88.91</w:t>
            </w:r>
          </w:p>
        </w:tc>
        <w:tc>
          <w:tcPr>
            <w:tcW w:w="1368" w:type="dxa"/>
            <w:tcBorders>
              <w:top w:val="single" w:color="000000" w:sz="12" w:space="0"/>
              <w:left w:val="nil"/>
              <w:bottom w:val="nil"/>
              <w:right w:val="nil"/>
            </w:tcBorders>
            <w:vAlign w:val="center"/>
          </w:tcPr>
          <w:p w14:paraId="76E5F10B">
            <w:pPr>
              <w:widowControl/>
              <w:jc w:val="center"/>
              <w:textAlignment w:val="center"/>
              <w:rPr>
                <w:sz w:val="20"/>
                <w:szCs w:val="20"/>
              </w:rPr>
            </w:pPr>
            <w:r>
              <w:rPr>
                <w:rFonts w:ascii="Times New Roman" w:hAnsi="Times New Roman" w:eastAsia="宋体" w:cs="Times New Roman"/>
                <w:color w:val="000000"/>
                <w:kern w:val="0"/>
                <w:sz w:val="20"/>
                <w:szCs w:val="20"/>
                <w:lang w:bidi="ar"/>
              </w:rPr>
              <w:t>0.05</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0.33</w:t>
            </w:r>
          </w:p>
        </w:tc>
      </w:tr>
      <w:tr w14:paraId="512F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971" w:type="dxa"/>
            <w:tcBorders>
              <w:top w:val="nil"/>
              <w:left w:val="nil"/>
              <w:bottom w:val="nil"/>
              <w:right w:val="nil"/>
            </w:tcBorders>
            <w:vAlign w:val="center"/>
          </w:tcPr>
          <w:p w14:paraId="09ACEFD4">
            <w:pPr>
              <w:widowControl/>
              <w:jc w:val="center"/>
              <w:textAlignment w:val="center"/>
              <w:rPr>
                <w:i/>
                <w:iCs/>
                <w:sz w:val="20"/>
                <w:szCs w:val="20"/>
              </w:rPr>
            </w:pPr>
            <w:r>
              <w:rPr>
                <w:rFonts w:ascii="Times New Roman" w:hAnsi="Times New Roman" w:eastAsia="宋体" w:cs="Times New Roman"/>
                <w:i/>
                <w:iCs/>
                <w:color w:val="000000"/>
                <w:kern w:val="0"/>
                <w:sz w:val="20"/>
                <w:szCs w:val="20"/>
                <w:lang w:bidi="ar"/>
              </w:rPr>
              <w:t>Aurantiacibacter</w:t>
            </w:r>
          </w:p>
        </w:tc>
        <w:tc>
          <w:tcPr>
            <w:tcW w:w="759" w:type="dxa"/>
            <w:tcBorders>
              <w:top w:val="nil"/>
              <w:left w:val="nil"/>
              <w:bottom w:val="nil"/>
              <w:right w:val="nil"/>
            </w:tcBorders>
            <w:vAlign w:val="center"/>
          </w:tcPr>
          <w:p w14:paraId="4A794B7E">
            <w:pPr>
              <w:widowControl/>
              <w:jc w:val="center"/>
              <w:textAlignment w:val="center"/>
              <w:rPr>
                <w:sz w:val="20"/>
                <w:szCs w:val="20"/>
              </w:rPr>
            </w:pPr>
            <w:r>
              <w:rPr>
                <w:rFonts w:ascii="Times New Roman" w:hAnsi="Times New Roman" w:eastAsia="宋体" w:cs="Times New Roman"/>
                <w:color w:val="000000"/>
                <w:kern w:val="0"/>
                <w:sz w:val="20"/>
                <w:szCs w:val="20"/>
                <w:lang w:bidi="ar"/>
              </w:rPr>
              <w:t>17</w:t>
            </w:r>
          </w:p>
        </w:tc>
        <w:tc>
          <w:tcPr>
            <w:tcW w:w="1268" w:type="dxa"/>
            <w:tcBorders>
              <w:top w:val="nil"/>
              <w:left w:val="nil"/>
              <w:bottom w:val="nil"/>
              <w:right w:val="nil"/>
            </w:tcBorders>
            <w:vAlign w:val="center"/>
          </w:tcPr>
          <w:p w14:paraId="2A51F272">
            <w:pPr>
              <w:widowControl/>
              <w:jc w:val="center"/>
              <w:textAlignment w:val="center"/>
              <w:rPr>
                <w:sz w:val="20"/>
                <w:szCs w:val="20"/>
              </w:rPr>
            </w:pPr>
            <w:r>
              <w:rPr>
                <w:rFonts w:ascii="Times New Roman" w:hAnsi="Times New Roman" w:eastAsia="宋体" w:cs="Times New Roman"/>
                <w:color w:val="000000"/>
                <w:kern w:val="0"/>
                <w:sz w:val="20"/>
                <w:szCs w:val="20"/>
                <w:lang w:bidi="ar"/>
              </w:rPr>
              <w:t>69.81</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71.46</w:t>
            </w:r>
          </w:p>
        </w:tc>
        <w:tc>
          <w:tcPr>
            <w:tcW w:w="1268" w:type="dxa"/>
            <w:tcBorders>
              <w:top w:val="nil"/>
              <w:left w:val="nil"/>
              <w:bottom w:val="nil"/>
              <w:right w:val="nil"/>
            </w:tcBorders>
            <w:vAlign w:val="center"/>
          </w:tcPr>
          <w:p w14:paraId="24CED8CE">
            <w:pPr>
              <w:widowControl/>
              <w:jc w:val="center"/>
              <w:textAlignment w:val="center"/>
              <w:rPr>
                <w:sz w:val="20"/>
                <w:szCs w:val="20"/>
              </w:rPr>
            </w:pPr>
            <w:r>
              <w:rPr>
                <w:rFonts w:ascii="Times New Roman" w:hAnsi="Times New Roman" w:eastAsia="宋体" w:cs="Times New Roman"/>
                <w:color w:val="000000"/>
                <w:kern w:val="0"/>
                <w:sz w:val="20"/>
                <w:szCs w:val="20"/>
                <w:lang w:bidi="ar"/>
              </w:rPr>
              <w:t>59.10</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69.46</w:t>
            </w:r>
          </w:p>
        </w:tc>
        <w:tc>
          <w:tcPr>
            <w:tcW w:w="1483" w:type="dxa"/>
            <w:tcBorders>
              <w:top w:val="nil"/>
              <w:left w:val="nil"/>
              <w:bottom w:val="nil"/>
              <w:right w:val="nil"/>
            </w:tcBorders>
            <w:vAlign w:val="center"/>
          </w:tcPr>
          <w:p w14:paraId="2E602510">
            <w:pPr>
              <w:widowControl/>
              <w:jc w:val="center"/>
              <w:textAlignment w:val="center"/>
              <w:rPr>
                <w:sz w:val="20"/>
                <w:szCs w:val="20"/>
              </w:rPr>
            </w:pPr>
            <w:r>
              <w:rPr>
                <w:rFonts w:ascii="Times New Roman" w:hAnsi="Times New Roman" w:eastAsia="宋体" w:cs="Times New Roman"/>
                <w:color w:val="000000"/>
                <w:kern w:val="0"/>
                <w:sz w:val="20"/>
                <w:szCs w:val="20"/>
                <w:lang w:bidi="ar"/>
              </w:rPr>
              <w:t>0.37</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0.41</w:t>
            </w:r>
          </w:p>
        </w:tc>
        <w:tc>
          <w:tcPr>
            <w:tcW w:w="1236" w:type="dxa"/>
            <w:tcBorders>
              <w:top w:val="nil"/>
              <w:left w:val="nil"/>
              <w:bottom w:val="nil"/>
              <w:right w:val="nil"/>
            </w:tcBorders>
            <w:vAlign w:val="center"/>
          </w:tcPr>
          <w:p w14:paraId="397AA291">
            <w:pPr>
              <w:widowControl/>
              <w:jc w:val="center"/>
              <w:textAlignment w:val="center"/>
              <w:rPr>
                <w:sz w:val="20"/>
                <w:szCs w:val="20"/>
              </w:rPr>
            </w:pPr>
            <w:r>
              <w:rPr>
                <w:rFonts w:ascii="Times New Roman" w:hAnsi="Times New Roman" w:eastAsia="宋体" w:cs="Times New Roman"/>
                <w:color w:val="000000"/>
                <w:kern w:val="0"/>
                <w:sz w:val="20"/>
                <w:szCs w:val="20"/>
                <w:lang w:bidi="ar"/>
              </w:rPr>
              <w:t>70.74</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91.60</w:t>
            </w:r>
          </w:p>
        </w:tc>
        <w:tc>
          <w:tcPr>
            <w:tcW w:w="1343" w:type="dxa"/>
            <w:tcBorders>
              <w:top w:val="nil"/>
              <w:left w:val="nil"/>
              <w:bottom w:val="nil"/>
              <w:right w:val="nil"/>
            </w:tcBorders>
            <w:vAlign w:val="center"/>
          </w:tcPr>
          <w:p w14:paraId="30BB60A8">
            <w:pPr>
              <w:widowControl/>
              <w:jc w:val="center"/>
              <w:textAlignment w:val="center"/>
              <w:rPr>
                <w:sz w:val="20"/>
                <w:szCs w:val="20"/>
              </w:rPr>
            </w:pPr>
            <w:r>
              <w:rPr>
                <w:rFonts w:ascii="Times New Roman" w:hAnsi="Times New Roman" w:eastAsia="宋体" w:cs="Times New Roman"/>
                <w:color w:val="000000"/>
                <w:kern w:val="0"/>
                <w:sz w:val="20"/>
                <w:szCs w:val="20"/>
                <w:lang w:bidi="ar"/>
              </w:rPr>
              <w:t>50.81</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82.90</w:t>
            </w:r>
          </w:p>
        </w:tc>
        <w:tc>
          <w:tcPr>
            <w:tcW w:w="1368" w:type="dxa"/>
            <w:tcBorders>
              <w:top w:val="nil"/>
              <w:left w:val="nil"/>
              <w:bottom w:val="nil"/>
              <w:right w:val="nil"/>
            </w:tcBorders>
            <w:vAlign w:val="center"/>
          </w:tcPr>
          <w:p w14:paraId="1F77C78D">
            <w:pPr>
              <w:widowControl/>
              <w:jc w:val="center"/>
              <w:textAlignment w:val="center"/>
              <w:rPr>
                <w:sz w:val="20"/>
                <w:szCs w:val="20"/>
              </w:rPr>
            </w:pPr>
            <w:r>
              <w:rPr>
                <w:rFonts w:ascii="Times New Roman" w:hAnsi="Times New Roman" w:eastAsia="宋体" w:cs="Times New Roman"/>
                <w:color w:val="000000"/>
                <w:kern w:val="0"/>
                <w:sz w:val="20"/>
                <w:szCs w:val="20"/>
                <w:lang w:bidi="ar"/>
              </w:rPr>
              <w:t>0.05</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0.37</w:t>
            </w:r>
          </w:p>
        </w:tc>
      </w:tr>
      <w:tr w14:paraId="5F91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971" w:type="dxa"/>
            <w:tcBorders>
              <w:top w:val="nil"/>
              <w:left w:val="nil"/>
              <w:bottom w:val="nil"/>
              <w:right w:val="nil"/>
            </w:tcBorders>
            <w:vAlign w:val="center"/>
          </w:tcPr>
          <w:p w14:paraId="1CD38EAB">
            <w:pPr>
              <w:widowControl/>
              <w:jc w:val="center"/>
              <w:textAlignment w:val="center"/>
              <w:rPr>
                <w:i/>
                <w:iCs/>
                <w:sz w:val="20"/>
                <w:szCs w:val="20"/>
              </w:rPr>
            </w:pPr>
            <w:r>
              <w:rPr>
                <w:rFonts w:ascii="Times New Roman" w:hAnsi="Times New Roman" w:eastAsia="宋体" w:cs="Times New Roman"/>
                <w:i/>
                <w:iCs/>
                <w:color w:val="000000"/>
                <w:kern w:val="0"/>
                <w:sz w:val="20"/>
                <w:szCs w:val="20"/>
                <w:lang w:bidi="ar"/>
              </w:rPr>
              <w:t>Erythrobacter</w:t>
            </w:r>
          </w:p>
        </w:tc>
        <w:tc>
          <w:tcPr>
            <w:tcW w:w="759" w:type="dxa"/>
            <w:tcBorders>
              <w:top w:val="nil"/>
              <w:left w:val="nil"/>
              <w:bottom w:val="nil"/>
              <w:right w:val="nil"/>
            </w:tcBorders>
            <w:vAlign w:val="center"/>
          </w:tcPr>
          <w:p w14:paraId="7B150132">
            <w:pPr>
              <w:widowControl/>
              <w:jc w:val="center"/>
              <w:textAlignment w:val="center"/>
              <w:rPr>
                <w:sz w:val="20"/>
                <w:szCs w:val="20"/>
              </w:rPr>
            </w:pPr>
            <w:r>
              <w:rPr>
                <w:rFonts w:ascii="Times New Roman" w:hAnsi="Times New Roman" w:eastAsia="宋体" w:cs="Times New Roman"/>
                <w:color w:val="000000"/>
                <w:kern w:val="0"/>
                <w:sz w:val="20"/>
                <w:szCs w:val="20"/>
                <w:lang w:bidi="ar"/>
              </w:rPr>
              <w:t>10</w:t>
            </w:r>
          </w:p>
        </w:tc>
        <w:tc>
          <w:tcPr>
            <w:tcW w:w="1268" w:type="dxa"/>
            <w:tcBorders>
              <w:top w:val="nil"/>
              <w:left w:val="nil"/>
              <w:bottom w:val="nil"/>
              <w:right w:val="nil"/>
            </w:tcBorders>
            <w:vAlign w:val="center"/>
          </w:tcPr>
          <w:p w14:paraId="6FDBDB83">
            <w:pPr>
              <w:widowControl/>
              <w:jc w:val="center"/>
              <w:textAlignment w:val="center"/>
              <w:rPr>
                <w:sz w:val="20"/>
                <w:szCs w:val="20"/>
              </w:rPr>
            </w:pPr>
            <w:r>
              <w:rPr>
                <w:rFonts w:ascii="Times New Roman" w:hAnsi="Times New Roman" w:eastAsia="宋体" w:cs="Times New Roman"/>
                <w:color w:val="000000"/>
                <w:kern w:val="0"/>
                <w:sz w:val="20"/>
                <w:szCs w:val="20"/>
                <w:lang w:bidi="ar"/>
              </w:rPr>
              <w:t>65.66</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70.46</w:t>
            </w:r>
          </w:p>
        </w:tc>
        <w:tc>
          <w:tcPr>
            <w:tcW w:w="1268" w:type="dxa"/>
            <w:tcBorders>
              <w:top w:val="nil"/>
              <w:left w:val="nil"/>
              <w:bottom w:val="nil"/>
              <w:right w:val="nil"/>
            </w:tcBorders>
            <w:vAlign w:val="center"/>
          </w:tcPr>
          <w:p w14:paraId="608136A3">
            <w:pPr>
              <w:widowControl/>
              <w:jc w:val="center"/>
              <w:textAlignment w:val="center"/>
              <w:rPr>
                <w:sz w:val="20"/>
                <w:szCs w:val="20"/>
              </w:rPr>
            </w:pPr>
            <w:r>
              <w:rPr>
                <w:rFonts w:ascii="Times New Roman" w:hAnsi="Times New Roman" w:eastAsia="宋体" w:cs="Times New Roman"/>
                <w:color w:val="000000"/>
                <w:kern w:val="0"/>
                <w:sz w:val="20"/>
                <w:szCs w:val="20"/>
                <w:lang w:bidi="ar"/>
              </w:rPr>
              <w:t>52.35</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60.27</w:t>
            </w:r>
          </w:p>
        </w:tc>
        <w:tc>
          <w:tcPr>
            <w:tcW w:w="1483" w:type="dxa"/>
            <w:tcBorders>
              <w:top w:val="nil"/>
              <w:left w:val="nil"/>
              <w:bottom w:val="nil"/>
              <w:right w:val="nil"/>
            </w:tcBorders>
            <w:vAlign w:val="center"/>
          </w:tcPr>
          <w:p w14:paraId="5819E368">
            <w:pPr>
              <w:widowControl/>
              <w:jc w:val="center"/>
              <w:textAlignment w:val="center"/>
              <w:rPr>
                <w:sz w:val="20"/>
                <w:szCs w:val="20"/>
              </w:rPr>
            </w:pPr>
            <w:r>
              <w:rPr>
                <w:rFonts w:ascii="Times New Roman" w:hAnsi="Times New Roman" w:eastAsia="宋体" w:cs="Times New Roman"/>
                <w:color w:val="000000"/>
                <w:kern w:val="0"/>
                <w:sz w:val="20"/>
                <w:szCs w:val="20"/>
                <w:lang w:bidi="ar"/>
              </w:rPr>
              <w:t>0.39</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0.55</w:t>
            </w:r>
          </w:p>
        </w:tc>
        <w:tc>
          <w:tcPr>
            <w:tcW w:w="1236" w:type="dxa"/>
            <w:tcBorders>
              <w:top w:val="nil"/>
              <w:left w:val="nil"/>
              <w:bottom w:val="nil"/>
              <w:right w:val="nil"/>
            </w:tcBorders>
            <w:vAlign w:val="center"/>
          </w:tcPr>
          <w:p w14:paraId="7435DE9A">
            <w:pPr>
              <w:widowControl/>
              <w:jc w:val="center"/>
              <w:textAlignment w:val="center"/>
              <w:rPr>
                <w:sz w:val="20"/>
                <w:szCs w:val="20"/>
              </w:rPr>
            </w:pPr>
            <w:r>
              <w:rPr>
                <w:rFonts w:ascii="Times New Roman" w:hAnsi="Times New Roman" w:eastAsia="宋体" w:cs="Times New Roman"/>
                <w:color w:val="000000"/>
                <w:kern w:val="0"/>
                <w:sz w:val="20"/>
                <w:szCs w:val="20"/>
                <w:lang w:bidi="ar"/>
              </w:rPr>
              <w:t>66.24</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86.77</w:t>
            </w:r>
          </w:p>
        </w:tc>
        <w:tc>
          <w:tcPr>
            <w:tcW w:w="1343" w:type="dxa"/>
            <w:tcBorders>
              <w:top w:val="nil"/>
              <w:left w:val="nil"/>
              <w:bottom w:val="nil"/>
              <w:right w:val="nil"/>
            </w:tcBorders>
            <w:vAlign w:val="center"/>
          </w:tcPr>
          <w:p w14:paraId="51A9A145">
            <w:pPr>
              <w:widowControl/>
              <w:jc w:val="center"/>
              <w:textAlignment w:val="center"/>
              <w:rPr>
                <w:sz w:val="20"/>
                <w:szCs w:val="20"/>
              </w:rPr>
            </w:pPr>
            <w:r>
              <w:rPr>
                <w:rFonts w:ascii="Times New Roman" w:hAnsi="Times New Roman" w:eastAsia="宋体" w:cs="Times New Roman"/>
                <w:color w:val="000000"/>
                <w:kern w:val="0"/>
                <w:sz w:val="20"/>
                <w:szCs w:val="20"/>
                <w:lang w:bidi="ar"/>
              </w:rPr>
              <w:t>57.46</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84.04</w:t>
            </w:r>
          </w:p>
        </w:tc>
        <w:tc>
          <w:tcPr>
            <w:tcW w:w="1368" w:type="dxa"/>
            <w:tcBorders>
              <w:top w:val="nil"/>
              <w:left w:val="nil"/>
              <w:bottom w:val="nil"/>
              <w:right w:val="nil"/>
            </w:tcBorders>
            <w:vAlign w:val="center"/>
          </w:tcPr>
          <w:p w14:paraId="739CC07C">
            <w:pPr>
              <w:widowControl/>
              <w:jc w:val="center"/>
              <w:textAlignment w:val="center"/>
              <w:rPr>
                <w:sz w:val="20"/>
                <w:szCs w:val="20"/>
              </w:rPr>
            </w:pPr>
            <w:r>
              <w:rPr>
                <w:rFonts w:ascii="Times New Roman" w:hAnsi="Times New Roman" w:eastAsia="宋体" w:cs="Times New Roman"/>
                <w:color w:val="000000"/>
                <w:kern w:val="0"/>
                <w:sz w:val="20"/>
                <w:szCs w:val="20"/>
                <w:lang w:bidi="ar"/>
              </w:rPr>
              <w:t>0.10</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0.54</w:t>
            </w:r>
          </w:p>
        </w:tc>
      </w:tr>
      <w:tr w14:paraId="4531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971" w:type="dxa"/>
            <w:tcBorders>
              <w:top w:val="nil"/>
              <w:left w:val="nil"/>
              <w:bottom w:val="single" w:color="000000" w:sz="12" w:space="0"/>
              <w:right w:val="nil"/>
            </w:tcBorders>
            <w:vAlign w:val="center"/>
          </w:tcPr>
          <w:p w14:paraId="648BF510">
            <w:pPr>
              <w:widowControl/>
              <w:jc w:val="center"/>
              <w:textAlignment w:val="center"/>
              <w:rPr>
                <w:i/>
                <w:iCs/>
                <w:sz w:val="20"/>
                <w:szCs w:val="20"/>
              </w:rPr>
            </w:pPr>
            <w:r>
              <w:rPr>
                <w:rFonts w:ascii="Times New Roman" w:hAnsi="Times New Roman" w:eastAsia="宋体" w:cs="Times New Roman"/>
                <w:i/>
                <w:iCs/>
                <w:color w:val="000000"/>
                <w:kern w:val="0"/>
                <w:sz w:val="20"/>
                <w:szCs w:val="20"/>
                <w:lang w:bidi="ar"/>
              </w:rPr>
              <w:t>Qipengyuania</w:t>
            </w:r>
          </w:p>
        </w:tc>
        <w:tc>
          <w:tcPr>
            <w:tcW w:w="759" w:type="dxa"/>
            <w:tcBorders>
              <w:top w:val="nil"/>
              <w:left w:val="nil"/>
              <w:bottom w:val="single" w:color="000000" w:sz="12" w:space="0"/>
              <w:right w:val="nil"/>
            </w:tcBorders>
            <w:vAlign w:val="center"/>
          </w:tcPr>
          <w:p w14:paraId="68455328">
            <w:pPr>
              <w:widowControl/>
              <w:jc w:val="center"/>
              <w:textAlignment w:val="center"/>
              <w:rPr>
                <w:sz w:val="20"/>
                <w:szCs w:val="20"/>
              </w:rPr>
            </w:pPr>
            <w:r>
              <w:rPr>
                <w:rFonts w:ascii="Times New Roman" w:hAnsi="Times New Roman" w:eastAsia="宋体" w:cs="Times New Roman"/>
                <w:color w:val="000000"/>
                <w:kern w:val="0"/>
                <w:sz w:val="20"/>
                <w:szCs w:val="20"/>
                <w:lang w:bidi="ar"/>
              </w:rPr>
              <w:t>16</w:t>
            </w:r>
          </w:p>
        </w:tc>
        <w:tc>
          <w:tcPr>
            <w:tcW w:w="1268" w:type="dxa"/>
            <w:tcBorders>
              <w:top w:val="nil"/>
              <w:left w:val="nil"/>
              <w:bottom w:val="single" w:color="000000" w:sz="12" w:space="0"/>
              <w:right w:val="nil"/>
            </w:tcBorders>
            <w:vAlign w:val="center"/>
          </w:tcPr>
          <w:p w14:paraId="46941865">
            <w:pPr>
              <w:widowControl/>
              <w:jc w:val="center"/>
              <w:textAlignment w:val="center"/>
              <w:rPr>
                <w:sz w:val="20"/>
                <w:szCs w:val="20"/>
              </w:rPr>
            </w:pPr>
            <w:r>
              <w:rPr>
                <w:rFonts w:ascii="Times New Roman" w:hAnsi="Times New Roman" w:eastAsia="宋体" w:cs="Times New Roman"/>
                <w:color w:val="000000"/>
                <w:kern w:val="0"/>
                <w:sz w:val="20"/>
                <w:szCs w:val="20"/>
                <w:lang w:bidi="ar"/>
              </w:rPr>
              <w:t>66.92</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67.73</w:t>
            </w:r>
          </w:p>
        </w:tc>
        <w:tc>
          <w:tcPr>
            <w:tcW w:w="1268" w:type="dxa"/>
            <w:tcBorders>
              <w:top w:val="nil"/>
              <w:left w:val="nil"/>
              <w:bottom w:val="single" w:color="000000" w:sz="12" w:space="0"/>
              <w:right w:val="nil"/>
            </w:tcBorders>
            <w:vAlign w:val="center"/>
          </w:tcPr>
          <w:p w14:paraId="3A78C5FD">
            <w:pPr>
              <w:widowControl/>
              <w:jc w:val="center"/>
              <w:textAlignment w:val="center"/>
              <w:rPr>
                <w:sz w:val="20"/>
                <w:szCs w:val="20"/>
              </w:rPr>
            </w:pPr>
            <w:r>
              <w:rPr>
                <w:rFonts w:ascii="Times New Roman" w:hAnsi="Times New Roman" w:eastAsia="宋体" w:cs="Times New Roman"/>
                <w:color w:val="000000"/>
                <w:kern w:val="0"/>
                <w:sz w:val="20"/>
                <w:szCs w:val="20"/>
                <w:lang w:bidi="ar"/>
              </w:rPr>
              <w:t>53.44</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60.54</w:t>
            </w:r>
          </w:p>
        </w:tc>
        <w:tc>
          <w:tcPr>
            <w:tcW w:w="1483" w:type="dxa"/>
            <w:tcBorders>
              <w:top w:val="nil"/>
              <w:left w:val="nil"/>
              <w:bottom w:val="single" w:color="000000" w:sz="12" w:space="0"/>
              <w:right w:val="nil"/>
            </w:tcBorders>
            <w:vAlign w:val="center"/>
          </w:tcPr>
          <w:p w14:paraId="465058F2">
            <w:pPr>
              <w:widowControl/>
              <w:jc w:val="center"/>
              <w:textAlignment w:val="center"/>
              <w:rPr>
                <w:sz w:val="20"/>
                <w:szCs w:val="20"/>
              </w:rPr>
            </w:pPr>
            <w:r>
              <w:rPr>
                <w:rFonts w:ascii="Times New Roman" w:hAnsi="Times New Roman" w:eastAsia="宋体" w:cs="Times New Roman"/>
                <w:color w:val="000000"/>
                <w:kern w:val="0"/>
                <w:sz w:val="20"/>
                <w:szCs w:val="20"/>
                <w:lang w:bidi="ar"/>
              </w:rPr>
              <w:t>0.49</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0.51</w:t>
            </w:r>
          </w:p>
        </w:tc>
        <w:tc>
          <w:tcPr>
            <w:tcW w:w="1236" w:type="dxa"/>
            <w:tcBorders>
              <w:top w:val="nil"/>
              <w:left w:val="nil"/>
              <w:bottom w:val="single" w:color="000000" w:sz="12" w:space="0"/>
              <w:right w:val="nil"/>
            </w:tcBorders>
            <w:vAlign w:val="center"/>
          </w:tcPr>
          <w:p w14:paraId="1371142F">
            <w:pPr>
              <w:widowControl/>
              <w:jc w:val="center"/>
              <w:textAlignment w:val="center"/>
              <w:rPr>
                <w:sz w:val="20"/>
                <w:szCs w:val="20"/>
              </w:rPr>
            </w:pPr>
            <w:r>
              <w:rPr>
                <w:rFonts w:ascii="Times New Roman" w:hAnsi="Times New Roman" w:eastAsia="宋体" w:cs="Times New Roman"/>
                <w:color w:val="000000"/>
                <w:kern w:val="0"/>
                <w:sz w:val="20"/>
                <w:szCs w:val="20"/>
                <w:lang w:bidi="ar"/>
              </w:rPr>
              <w:t>73.33</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86.24</w:t>
            </w:r>
          </w:p>
        </w:tc>
        <w:tc>
          <w:tcPr>
            <w:tcW w:w="1343" w:type="dxa"/>
            <w:tcBorders>
              <w:top w:val="nil"/>
              <w:left w:val="nil"/>
              <w:bottom w:val="single" w:color="000000" w:sz="12" w:space="0"/>
              <w:right w:val="nil"/>
            </w:tcBorders>
            <w:vAlign w:val="center"/>
          </w:tcPr>
          <w:p w14:paraId="74200180">
            <w:pPr>
              <w:widowControl/>
              <w:jc w:val="center"/>
              <w:textAlignment w:val="center"/>
              <w:rPr>
                <w:sz w:val="20"/>
                <w:szCs w:val="20"/>
              </w:rPr>
            </w:pPr>
            <w:r>
              <w:rPr>
                <w:rFonts w:ascii="Times New Roman" w:hAnsi="Times New Roman" w:eastAsia="宋体" w:cs="Times New Roman"/>
                <w:color w:val="000000"/>
                <w:kern w:val="0"/>
                <w:sz w:val="20"/>
                <w:szCs w:val="20"/>
                <w:lang w:bidi="ar"/>
              </w:rPr>
              <w:t>64.78</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83.66</w:t>
            </w:r>
          </w:p>
        </w:tc>
        <w:tc>
          <w:tcPr>
            <w:tcW w:w="1368" w:type="dxa"/>
            <w:tcBorders>
              <w:top w:val="nil"/>
              <w:left w:val="nil"/>
              <w:bottom w:val="single" w:color="000000" w:sz="12" w:space="0"/>
              <w:right w:val="nil"/>
            </w:tcBorders>
            <w:vAlign w:val="center"/>
          </w:tcPr>
          <w:p w14:paraId="0AE66EB5">
            <w:pPr>
              <w:widowControl/>
              <w:jc w:val="center"/>
              <w:textAlignment w:val="center"/>
              <w:rPr>
                <w:sz w:val="20"/>
                <w:szCs w:val="20"/>
              </w:rPr>
            </w:pPr>
            <w:r>
              <w:rPr>
                <w:rFonts w:ascii="Times New Roman" w:hAnsi="Times New Roman" w:eastAsia="宋体" w:cs="Times New Roman"/>
                <w:color w:val="000000"/>
                <w:kern w:val="0"/>
                <w:sz w:val="20"/>
                <w:szCs w:val="20"/>
                <w:lang w:bidi="ar"/>
              </w:rPr>
              <w:t>0.10</w:t>
            </w:r>
            <w:r>
              <w:rPr>
                <w:rFonts w:hint="eastAsia" w:ascii="Times New Roman" w:hAnsi="Times New Roman" w:eastAsia="宋体" w:cs="Times New Roman"/>
                <w:color w:val="000000"/>
                <w:kern w:val="0"/>
                <w:sz w:val="20"/>
                <w:szCs w:val="20"/>
                <w:lang w:eastAsia="zh-CN" w:bidi="ar"/>
              </w:rPr>
              <w:t>-</w:t>
            </w:r>
            <w:r>
              <w:rPr>
                <w:rFonts w:ascii="Times New Roman" w:hAnsi="Times New Roman" w:eastAsia="宋体" w:cs="Times New Roman"/>
                <w:color w:val="000000"/>
                <w:kern w:val="0"/>
                <w:sz w:val="20"/>
                <w:szCs w:val="20"/>
                <w:lang w:bidi="ar"/>
              </w:rPr>
              <w:t>0.34</w:t>
            </w:r>
          </w:p>
        </w:tc>
      </w:tr>
    </w:tbl>
    <w:p w14:paraId="24D60D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DC0A8B"/>
    <w:rsid w:val="007769FA"/>
    <w:rsid w:val="00C84D77"/>
    <w:rsid w:val="00E322D5"/>
    <w:rsid w:val="027A5940"/>
    <w:rsid w:val="033E4BBF"/>
    <w:rsid w:val="03764359"/>
    <w:rsid w:val="05856AD5"/>
    <w:rsid w:val="06F54B94"/>
    <w:rsid w:val="09C35E1E"/>
    <w:rsid w:val="0E2C21E4"/>
    <w:rsid w:val="0E68780D"/>
    <w:rsid w:val="0FFA00C0"/>
    <w:rsid w:val="10521CAA"/>
    <w:rsid w:val="13ED41C3"/>
    <w:rsid w:val="1CC61A56"/>
    <w:rsid w:val="1CF06AD2"/>
    <w:rsid w:val="1F046865"/>
    <w:rsid w:val="23164DB9"/>
    <w:rsid w:val="237C10C0"/>
    <w:rsid w:val="240D6920"/>
    <w:rsid w:val="24942439"/>
    <w:rsid w:val="24E76A0D"/>
    <w:rsid w:val="2ABC4498"/>
    <w:rsid w:val="2DD1025A"/>
    <w:rsid w:val="324059AE"/>
    <w:rsid w:val="352D3475"/>
    <w:rsid w:val="36D21B80"/>
    <w:rsid w:val="375A12C0"/>
    <w:rsid w:val="37920A5A"/>
    <w:rsid w:val="38B36EDA"/>
    <w:rsid w:val="39C04222"/>
    <w:rsid w:val="40CC0DDA"/>
    <w:rsid w:val="40F462E2"/>
    <w:rsid w:val="41F52311"/>
    <w:rsid w:val="49DC0A8B"/>
    <w:rsid w:val="49E50EBD"/>
    <w:rsid w:val="49FE1F7F"/>
    <w:rsid w:val="4A954692"/>
    <w:rsid w:val="4B3D6AD7"/>
    <w:rsid w:val="4B9506C1"/>
    <w:rsid w:val="4CFA4C80"/>
    <w:rsid w:val="4E593C28"/>
    <w:rsid w:val="508F3931"/>
    <w:rsid w:val="516923D4"/>
    <w:rsid w:val="528C45CC"/>
    <w:rsid w:val="52A31916"/>
    <w:rsid w:val="5429409D"/>
    <w:rsid w:val="59263807"/>
    <w:rsid w:val="5A427C66"/>
    <w:rsid w:val="5C115B42"/>
    <w:rsid w:val="5E160F34"/>
    <w:rsid w:val="61F45CEA"/>
    <w:rsid w:val="63A454EE"/>
    <w:rsid w:val="640E504F"/>
    <w:rsid w:val="66C37A39"/>
    <w:rsid w:val="68156ADA"/>
    <w:rsid w:val="68914293"/>
    <w:rsid w:val="6C976C36"/>
    <w:rsid w:val="6FB67326"/>
    <w:rsid w:val="70F25AEA"/>
    <w:rsid w:val="73520AC2"/>
    <w:rsid w:val="74DD616A"/>
    <w:rsid w:val="74F55BA9"/>
    <w:rsid w:val="7C943EFA"/>
    <w:rsid w:val="7D7B6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200" w:beforeLines="200" w:after="100" w:afterLines="100" w:line="400" w:lineRule="exact"/>
      <w:jc w:val="center"/>
      <w:outlineLvl w:val="0"/>
    </w:pPr>
    <w:rPr>
      <w:rFonts w:eastAsia="黑体" w:asciiTheme="majorHAnsi" w:hAnsiTheme="majorHAnsi" w:cstheme="majorBidi"/>
      <w:color w:val="2E54A1" w:themeColor="accent1" w:themeShade="BF"/>
      <w:sz w:val="32"/>
      <w:szCs w:val="48"/>
      <w14:ligatures w14:val="standardContextual"/>
    </w:rPr>
  </w:style>
  <w:style w:type="paragraph" w:styleId="3">
    <w:name w:val="heading 3"/>
    <w:basedOn w:val="1"/>
    <w:next w:val="1"/>
    <w:semiHidden/>
    <w:unhideWhenUsed/>
    <w:qFormat/>
    <w:uiPriority w:val="0"/>
    <w:pPr>
      <w:keepNext/>
      <w:keepLines/>
      <w:spacing w:before="260" w:after="260" w:line="413" w:lineRule="auto"/>
      <w:outlineLvl w:val="2"/>
    </w:pPr>
    <w:rPr>
      <w:b/>
      <w:sz w:val="32"/>
    </w:rPr>
  </w:style>
  <w:style w:type="paragraph" w:styleId="4">
    <w:name w:val="heading 4"/>
    <w:basedOn w:val="3"/>
    <w:next w:val="1"/>
    <w:link w:val="12"/>
    <w:semiHidden/>
    <w:unhideWhenUsed/>
    <w:qFormat/>
    <w:uiPriority w:val="0"/>
    <w:pPr>
      <w:outlineLvl w:val="3"/>
    </w:pPr>
    <w:rPr>
      <w:rFonts w:ascii="Times New Roman" w:hAnsi="Times New Roman" w:eastAsia="黑体" w:cstheme="majorBidi"/>
      <w:color w:val="000000" w:themeColor="text1"/>
      <w:sz w:val="24"/>
      <w:szCs w:val="28"/>
      <w14:textFill>
        <w14:solidFill>
          <w14:schemeClr w14:val="tx1"/>
        </w14:solidFill>
      </w14:textFill>
      <w14:ligatures w14:val="standardContextual"/>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customStyle="1" w:styleId="11">
    <w:name w:val="标题 1 字符"/>
    <w:basedOn w:val="8"/>
    <w:link w:val="2"/>
    <w:qFormat/>
    <w:uiPriority w:val="9"/>
    <w:rPr>
      <w:rFonts w:eastAsia="黑体" w:asciiTheme="majorHAnsi" w:hAnsiTheme="majorHAnsi" w:cstheme="majorBidi"/>
      <w:color w:val="2E54A1" w:themeColor="accent1" w:themeShade="BF"/>
      <w:sz w:val="32"/>
      <w:szCs w:val="48"/>
    </w:rPr>
  </w:style>
  <w:style w:type="character" w:customStyle="1" w:styleId="12">
    <w:name w:val="标题 4 字符"/>
    <w:link w:val="4"/>
    <w:qFormat/>
    <w:uiPriority w:val="9"/>
    <w:rPr>
      <w:rFonts w:ascii="Times New Roman" w:hAnsi="Times New Roman" w:eastAsia="黑体" w:cstheme="majorBidi"/>
      <w:color w:val="000000" w:themeColor="text1"/>
      <w:kern w:val="2"/>
      <w:sz w:val="24"/>
      <w:szCs w:val="28"/>
      <w:lang w:val="en-US" w:eastAsia="zh-CN" w:bidi="ar-SA"/>
      <w14:textFill>
        <w14:solidFill>
          <w14:schemeClr w14:val="tx1"/>
        </w14:solidFill>
      </w14:textFill>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wmf"/><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300</Words>
  <Characters>1938</Characters>
  <Lines>89</Lines>
  <Paragraphs>57</Paragraphs>
  <TotalTime>4</TotalTime>
  <ScaleCrop>false</ScaleCrop>
  <LinksUpToDate>false</LinksUpToDate>
  <CharactersWithSpaces>2188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2026-06-22T12:02:00Z</dcterms:created>
  <dc:creator>远方不远</dc:creator>
  <cp:lastModifiedBy>远方不远</cp:lastModifiedBy>
  <dcterms:modified xsi:type="dcterms:W3CDTF">2026-07-16T03:57:27Z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1793B4B0D8B84FF39667AB75753EE3E0_13</vt:lpwstr>
  </property>
  <property fmtid="{D5CDD505-2E9C-101B-9397-08002B2CF9AE}" pid="4" name="KSOTemplateDocerSaveRecord">
    <vt:lpwstr>eyJoZGlkIjoiZGVlZjBhNDdiMmM5ODZhMGUxMDk3MmU5ZGIxNTkyYmQiLCJ1c2VySWQiOiIxNjk5MjMwMzgxIn0=</vt:lpwstr>
  </property>
</Properties>
</file>