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pPr>
      <w:r>
        <w:rPr>
          <w:rFonts w:ascii="Times New Roman" w:hAnsi="Times New Roman" w:eastAsia="Times New Roman"/>
          <w:b/>
          <w:sz w:val="28"/>
        </w:rPr>
        <w:t>Additional file 1</w:t>
      </w:r>
    </w:p>
    <w:p>
      <w:pPr>
        <w:spacing w:line="480" w:lineRule="auto"/>
        <w:jc w:val="center"/>
      </w:pPr>
      <w:r>
        <w:rPr>
          <w:rFonts w:ascii="Times New Roman" w:hAnsi="Times New Roman" w:eastAsia="Times New Roman"/>
          <w:b w:val="0"/>
          <w:i w:val="0"/>
          <w:sz w:val="24"/>
        </w:rPr>
        <w:t>Robustness figures for the symptom network of domain-specific cognitive function in stable COPD</w:t>
      </w:r>
    </w:p>
    <w:p>
      <w:pPr>
        <w:spacing w:line="360" w:lineRule="auto"/>
      </w:pPr>
      <w:r>
        <w:rPr>
          <w:rFonts w:ascii="Times New Roman" w:hAnsi="Times New Roman" w:eastAsia="Times New Roman"/>
          <w:b w:val="0"/>
          <w:i w:val="0"/>
          <w:sz w:val="24"/>
        </w:rPr>
        <w:t>This additional file contains the two robustness figures recommended for routine submission: edge-weight bootstrap confidence intervals and the overall case-dropping stability plot. The duration-specific case-dropping plot was generated during exploratory subgroup analysis but is not included in this supplementary file because the disease-duration comparison was exploratory and was not statistically significant.</w:t>
      </w:r>
    </w:p>
    <w:p>
      <w:pPr>
        <w:spacing w:line="276" w:lineRule="auto"/>
      </w:pPr>
      <w:r>
        <w:rPr>
          <w:rFonts w:ascii="Times New Roman" w:hAnsi="Times New Roman" w:eastAsia="Times New Roman"/>
          <w:b/>
          <w:sz w:val="24"/>
        </w:rPr>
        <w:t>Figure S1. Edge-weight bootstrap confidence intervals.</w:t>
      </w:r>
    </w:p>
    <w:p>
      <w:pPr>
        <w:jc w:val="center"/>
      </w:pPr>
      <w:r>
        <w:drawing>
          <wp:inline xmlns:a="http://schemas.openxmlformats.org/drawingml/2006/main" xmlns:pic="http://schemas.openxmlformats.org/drawingml/2006/picture">
            <wp:extent cx="5943600" cy="7429500"/>
            <wp:docPr id="1" name="Picture 1"/>
            <wp:cNvGraphicFramePr>
              <a:graphicFrameLocks noChangeAspect="1"/>
            </wp:cNvGraphicFramePr>
            <a:graphic>
              <a:graphicData uri="http://schemas.openxmlformats.org/drawingml/2006/picture">
                <pic:pic>
                  <pic:nvPicPr>
                    <pic:cNvPr id="0" name="FigureS1_Edge_Bootstrap_CI.jpg"/>
                    <pic:cNvPicPr/>
                  </pic:nvPicPr>
                  <pic:blipFill>
                    <a:blip r:embed="rId10"/>
                    <a:stretch>
                      <a:fillRect/>
                    </a:stretch>
                  </pic:blipFill>
                  <pic:spPr>
                    <a:xfrm>
                      <a:off x="0" y="0"/>
                      <a:ext cx="5943600" cy="7429500"/>
                    </a:xfrm>
                    <a:prstGeom prst="rect"/>
                  </pic:spPr>
                </pic:pic>
              </a:graphicData>
            </a:graphic>
          </wp:inline>
        </w:drawing>
      </w:r>
    </w:p>
    <w:p>
      <w:pPr>
        <w:spacing w:line="276" w:lineRule="auto"/>
      </w:pPr>
      <w:r>
        <w:rPr>
          <w:rFonts w:ascii="Times New Roman" w:hAnsi="Times New Roman" w:eastAsia="Times New Roman"/>
          <w:b w:val="0"/>
          <w:i w:val="0"/>
          <w:sz w:val="24"/>
        </w:rPr>
        <w:t>The red points and line show the sample edge estimates. The black points and line show the mean bootstrap estimates. The gray areas indicate the bootstrap confidence intervals. Stronger edges show narrower intervals than weaker edges.</w:t>
      </w:r>
    </w:p>
    <w:p>
      <w:pPr>
        <w:spacing w:line="276" w:lineRule="auto"/>
      </w:pPr>
      <w:r>
        <w:rPr>
          <w:rFonts w:ascii="Times New Roman" w:hAnsi="Times New Roman" w:eastAsia="Times New Roman"/>
          <w:b/>
          <w:sz w:val="24"/>
        </w:rPr>
        <w:t>Figure S2. Overall case-dropping stability plot.</w:t>
      </w:r>
    </w:p>
    <w:p>
      <w:pPr>
        <w:jc w:val="center"/>
      </w:pPr>
      <w:r>
        <w:drawing>
          <wp:inline xmlns:a="http://schemas.openxmlformats.org/drawingml/2006/main" xmlns:pic="http://schemas.openxmlformats.org/drawingml/2006/picture">
            <wp:extent cx="5943600" cy="4457700"/>
            <wp:docPr id="2" name="Picture 2"/>
            <wp:cNvGraphicFramePr>
              <a:graphicFrameLocks noChangeAspect="1"/>
            </wp:cNvGraphicFramePr>
            <a:graphic>
              <a:graphicData uri="http://schemas.openxmlformats.org/drawingml/2006/picture">
                <pic:pic>
                  <pic:nvPicPr>
                    <pic:cNvPr id="0" name="FigureS2_Overall_CaseDropping_Stability.jpg"/>
                    <pic:cNvPicPr/>
                  </pic:nvPicPr>
                  <pic:blipFill>
                    <a:blip r:embed="rId11"/>
                    <a:stretch>
                      <a:fillRect/>
                    </a:stretch>
                  </pic:blipFill>
                  <pic:spPr>
                    <a:xfrm>
                      <a:off x="0" y="0"/>
                      <a:ext cx="5943600" cy="4457700"/>
                    </a:xfrm>
                    <a:prstGeom prst="rect"/>
                  </pic:spPr>
                </pic:pic>
              </a:graphicData>
            </a:graphic>
          </wp:inline>
        </w:drawing>
      </w:r>
    </w:p>
    <w:p>
      <w:pPr>
        <w:spacing w:line="276" w:lineRule="auto"/>
      </w:pPr>
      <w:r>
        <w:rPr>
          <w:rFonts w:ascii="Times New Roman" w:hAnsi="Times New Roman" w:eastAsia="Times New Roman"/>
          <w:b w:val="0"/>
          <w:i w:val="0"/>
          <w:sz w:val="24"/>
        </w:rPr>
        <w:t>Strength and expected influence showed acceptable to very good stability. Closeness and betweenness were not stable and were therefore not interpreted in the main manuscript.</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fldChar w:fldCharType="begin"/>
      <w:instrText xml:space="preserve">PAGE</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before="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