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4906" w:rsidRDefault="002A43C9">
      <w:pPr>
        <w:pStyle w:val="Heading1"/>
        <w:keepNext w:val="0"/>
        <w:keepLines w:val="0"/>
        <w:shd w:val="clear" w:color="auto" w:fill="FFFFFF"/>
        <w:spacing w:before="0" w:after="200"/>
        <w:jc w:val="center"/>
      </w:pPr>
      <w:bookmarkStart w:id="0" w:name="_1uw4ffw7o50"/>
      <w:bookmarkEnd w:id="0"/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Appendix</w:t>
      </w:r>
    </w:p>
    <w:p w:rsidR="00554906" w:rsidRDefault="002A43C9">
      <w:pPr>
        <w:pStyle w:val="Standard"/>
        <w:shd w:val="clear" w:color="auto" w:fill="FFFFFF"/>
        <w:spacing w:before="80" w:after="260" w:line="240" w:lineRule="auto"/>
        <w:jc w:val="center"/>
      </w:pPr>
      <w:r>
        <w:rPr>
          <w:rFonts w:ascii="Times New Roman" w:eastAsia="Times New Roman" w:hAnsi="Times New Roman" w:cs="Times New Roman"/>
          <w:i/>
          <w:iCs/>
          <w:color w:val="111111"/>
          <w:sz w:val="21"/>
          <w:szCs w:val="21"/>
        </w:rPr>
        <w:t>Summary tables for germline TWAS pathway-convergence analyses of overall breast cancer and triple-negative breast cancer</w:t>
      </w:r>
    </w:p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1" w:name="_3vte6fdmhg43"/>
      <w:bookmarkEnd w:id="1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A1. Study design and analytical framework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40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98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Element</w:t>
            </w:r>
          </w:p>
        </w:tc>
        <w:tc>
          <w:tcPr>
            <w:tcW w:w="703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Description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9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Phenotypes</w:t>
            </w:r>
          </w:p>
        </w:tc>
        <w:tc>
          <w:tcPr>
            <w:tcW w:w="703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Overall breast cancer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brs_ca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) and triple-negative breast cancer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tn_brs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).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9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Gene sets</w:t>
            </w:r>
          </w:p>
        </w:tc>
        <w:tc>
          <w:tcPr>
            <w:tcW w:w="703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Ten complete KEGG pathways nominated through an NMN-responsive aging-biology framework.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Tissues</w:t>
            </w:r>
          </w:p>
        </w:tc>
        <w:tc>
          <w:tcPr>
            <w:tcW w:w="703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Eleven GTEx v8 S-PrediXcan tissue models: subcutaneous adipose, visceral omental adipose, breast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mammary tissue, EBV-transformed lymphocytes, cultured fibroblasts, liver, ovary, spleen, uterus, vagina, and whole blood.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Primary statistics</w:t>
            </w:r>
          </w:p>
        </w:tc>
        <w:tc>
          <w:tcPr>
            <w:tcW w:w="703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Tissue-combined gene-level S-PrediXcan Z scores, pathway Stouffer statistics, competitive random-gene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permutation, Wilcoxon testing, bootstrap confidence intervals, differential tests, profile correlations, concordance metrics, and leave-one-out influence analysis.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Multiple testing</w:t>
            </w:r>
          </w:p>
        </w:tc>
        <w:tc>
          <w:tcPr>
            <w:tcW w:w="703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Benjamini–Hochberg FDR was applied within prespecified analysis families.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 pooled family-wise FDR output was also generated across in-run p values.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8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Primary interpretation</w:t>
            </w:r>
          </w:p>
        </w:tc>
        <w:tc>
          <w:tcPr>
            <w:tcW w:w="703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Negative Z scores indicate that higher genetically predicted expression is associated with lower phenotype odds, subject to correct S-PrediXcan orientation.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TWAS associations do not establish causality, tissue mediation, tumor expression, or autophagic flux.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2" w:name="_gsmvmyguttgc"/>
      <w:bookmarkEnd w:id="2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A2. Analytical thresholds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9"/>
        <w:gridCol w:w="1986"/>
        <w:gridCol w:w="3610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Criterion</w:t>
            </w:r>
          </w:p>
        </w:tc>
        <w:tc>
          <w:tcPr>
            <w:tcW w:w="1986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Threshold</w:t>
            </w:r>
          </w:p>
        </w:tc>
        <w:tc>
          <w:tcPr>
            <w:tcW w:w="3610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Use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Raw p value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&lt; .05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Nominal statistical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FDR or global FDR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FDR &lt; .05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Multiple-testing interpretation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Pathway Stouffer statistic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|Z| &gt; 1.96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Magnitude-based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Cohen’s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d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 &gt; 0.50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Effect-size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Lin’s concordance coefficient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|CCC| &gt; 0.50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Agreement or discordance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&gt; .70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Direction-consistency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Kendall’s τ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|τ| &gt; .30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Rank-profile similarity or discordance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correlation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 &gt; .30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Linear profile similarity or discordance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Rank-biserial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correlation</w:t>
            </w:r>
          </w:p>
        </w:tc>
        <w:tc>
          <w:tcPr>
            <w:tcW w:w="19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|RBC| &gt; .30</w:t>
            </w:r>
          </w:p>
        </w:tc>
        <w:tc>
          <w:tcPr>
            <w:tcW w:w="361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Distributional effect-size screening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342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Influence rule</w:t>
            </w:r>
          </w:p>
        </w:tc>
        <w:tc>
          <w:tcPr>
            <w:tcW w:w="198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&gt;20% relative change or sign reversal</w:t>
            </w:r>
          </w:p>
        </w:tc>
        <w:tc>
          <w:tcPr>
            <w:tcW w:w="361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Leave-one-out gene influence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3" w:name="_mrg661jz989e"/>
      <w:bookmarkEnd w:id="3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A3. Composite pathway prioritization</w:t>
      </w:r>
    </w:p>
    <w:p w:rsidR="00554906" w:rsidRDefault="002A43C9">
      <w:pPr>
        <w:pStyle w:val="Standard"/>
        <w:shd w:val="clear" w:color="auto" w:fill="FFFFFF"/>
        <w:spacing w:before="60" w:after="100" w:line="240" w:lineRule="auto"/>
      </w:pP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Composite scores combine divergence, maximum pathway effect, 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overlap with NMN-interest genes, and robustness. They are ranking scores and do not represent independent inferential statistics.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"/>
        <w:gridCol w:w="2798"/>
        <w:gridCol w:w="1083"/>
        <w:gridCol w:w="1083"/>
        <w:gridCol w:w="1083"/>
        <w:gridCol w:w="1353"/>
        <w:gridCol w:w="1173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Rank</w:t>
            </w:r>
          </w:p>
        </w:tc>
        <w:tc>
          <w:tcPr>
            <w:tcW w:w="2798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Score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Divergence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Max |Z|</w:t>
            </w:r>
          </w:p>
        </w:tc>
        <w:tc>
          <w:tcPr>
            <w:tcW w:w="135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Interest overlap</w:t>
            </w:r>
          </w:p>
        </w:tc>
        <w:tc>
          <w:tcPr>
            <w:tcW w:w="117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Best FDR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0.728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1.09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8.98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0.022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0.304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0.39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5.68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0.2085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0.180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0.38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3.50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0.7437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0.166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2.51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0.7188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0.149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2.52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0.141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3.02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KEGG_PPAR_SIGNALING_PATHWAY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0.130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0.30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2.79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0.7437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0.123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0.27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2.71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</w:t>
            </w:r>
          </w:p>
        </w:tc>
        <w:tc>
          <w:tcPr>
            <w:tcW w:w="279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0.097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0.23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2.32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0%</w:t>
            </w:r>
          </w:p>
        </w:tc>
        <w:tc>
          <w:tcPr>
            <w:tcW w:w="117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10</w:t>
            </w:r>
          </w:p>
        </w:tc>
        <w:tc>
          <w:tcPr>
            <w:tcW w:w="279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0.073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0.29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0.70</w:t>
            </w:r>
          </w:p>
        </w:tc>
        <w:tc>
          <w:tcPr>
            <w:tcW w:w="135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4%</w:t>
            </w:r>
          </w:p>
        </w:tc>
        <w:tc>
          <w:tcPr>
            <w:tcW w:w="11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0.8541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4" w:name="_95rxbj6dx4j9"/>
      <w:bookmarkEnd w:id="4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A4. Per-disease pathway enrichment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8"/>
        <w:gridCol w:w="885"/>
        <w:gridCol w:w="704"/>
        <w:gridCol w:w="885"/>
        <w:gridCol w:w="886"/>
        <w:gridCol w:w="1509"/>
        <w:gridCol w:w="704"/>
        <w:gridCol w:w="704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88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Phenotype</w:t>
            </w:r>
          </w:p>
        </w:tc>
        <w:tc>
          <w:tcPr>
            <w:tcW w:w="70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n</w:t>
            </w:r>
          </w:p>
        </w:tc>
        <w:tc>
          <w:tcPr>
            <w:tcW w:w="88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Coverage</w:t>
            </w:r>
          </w:p>
        </w:tc>
        <w:tc>
          <w:tcPr>
            <w:tcW w:w="886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Stouffer Z</w:t>
            </w:r>
          </w:p>
        </w:tc>
        <w:tc>
          <w:tcPr>
            <w:tcW w:w="150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Bootstrap 95% CI</w:t>
            </w:r>
          </w:p>
        </w:tc>
        <w:tc>
          <w:tcPr>
            <w:tcW w:w="70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Perm. p</w:t>
            </w:r>
          </w:p>
        </w:tc>
        <w:tc>
          <w:tcPr>
            <w:tcW w:w="70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FDR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153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90%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7A0000"/>
                <w:sz w:val="21"/>
                <w:szCs w:val="21"/>
              </w:rPr>
              <w:t>−8.98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[−14.78, −3.09]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.0022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.022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241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96%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7A0000"/>
                <w:sz w:val="21"/>
                <w:szCs w:val="21"/>
              </w:rPr>
              <w:t>−5.68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[−11.28, 0.02]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.0417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.2085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255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69%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+3.50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[−0.93, 7.78]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.2304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.8874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68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86%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+3.02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[−2.20, 8.34]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.2815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KEGG_PPAR_SIGNALING_PATHWAY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67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88%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+2.79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[−2.16, 7.54]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.3491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.8874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266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89%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+2.71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[−2.19, 7.66]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.3294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209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88%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7A0000"/>
                <w:sz w:val="21"/>
                <w:szCs w:val="21"/>
              </w:rPr>
              <w:t>−2.52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[−7.05, 1.89]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.3659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192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83%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7A0000"/>
                <w:sz w:val="21"/>
                <w:szCs w:val="21"/>
              </w:rPr>
              <w:t>−2.51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[−7.99, 2.93]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.3940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.8874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27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90%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+2.32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[−3.02, 7.70]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.3957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26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87%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004D2A"/>
                <w:sz w:val="21"/>
                <w:szCs w:val="21"/>
              </w:rPr>
              <w:t>+2.17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[−4.00, 8.12]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.4476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.6594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+0.83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.7702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−0.90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.7633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6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−0.70</w:t>
            </w:r>
          </w:p>
        </w:tc>
        <w:tc>
          <w:tcPr>
            <w:tcW w:w="150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.8051</w:t>
            </w:r>
          </w:p>
        </w:tc>
        <w:tc>
          <w:tcPr>
            <w:tcW w:w="70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4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88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7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88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−0.49</w:t>
            </w:r>
          </w:p>
        </w:tc>
        <w:tc>
          <w:tcPr>
            <w:tcW w:w="150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.8541</w:t>
            </w:r>
          </w:p>
        </w:tc>
        <w:tc>
          <w:tcPr>
            <w:tcW w:w="7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5" w:name="_n0pf9nu0k83u"/>
      <w:bookmarkEnd w:id="5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 xml:space="preserve">Table A5. Tissue-specific enrichment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highlights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7"/>
        <w:gridCol w:w="2437"/>
        <w:gridCol w:w="1083"/>
        <w:gridCol w:w="1083"/>
        <w:gridCol w:w="1625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2437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Tissue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brs_ca Z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tn_brs Z</w:t>
            </w:r>
          </w:p>
        </w:tc>
        <w:tc>
          <w:tcPr>
            <w:tcW w:w="162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Gap, brs_ca − tn_brs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 w:val="restart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Whole blood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+3.47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−2.52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+5.98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Liver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+1.96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−3.80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+5.76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Uterus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+2.40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−3.24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+5.63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EBV-transformed lymphocytes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+2.12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−3.22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+5.34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Spleen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−0.26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−4.31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+4.05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Subcutaneous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−1.41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+1.97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 w:val="restart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Subcutaneous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+0.24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−3.71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+3.95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Liver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+0.49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−3.21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+3.69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Visceral omental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−0.41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−3.57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+3.15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Breast mammary tissue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+0.55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−2.08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+2.63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Uterus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−0.57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−2.85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+2.28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Vagina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−0.62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−2.09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+1.47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 w:val="restart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Subcutaneous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+3.15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−0.80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+3.95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Vagina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+1.88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−1.23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+3.11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Cultured fibroblasts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+2.58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+0.03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+2.55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Breast mammary tissue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+0.96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−1.48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+2.44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Visceral omental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+1.51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−0.61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+2.11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Ovary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+0.76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−1.06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+1.82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 w:val="restart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EBV-transformed lymphocytes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−1.47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+3.07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−4.54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Spleen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−1.53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+1.82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−3.35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Breast mammary tissue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−1.90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−2.72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Subcutaneous adipose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−2.40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+0.08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−2.48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Cultured fibroblasts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−2.21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+0.16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−2.37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Ovary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−0.58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+1.02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−1.60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 w:val="restart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Vagina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−0.04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−4.09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+4.05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Cultured fibroblasts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−3.64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−0.06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−3.58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Spleen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−2.82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+0.55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−3.38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Liver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+1.53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−1.41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+2.93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Breast mammary tissue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+0.12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−1.93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+2.04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797" w:type="dxa"/>
            <w:vMerge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A43C9">
            <w:pPr>
              <w:widowControl w:val="0"/>
            </w:pPr>
          </w:p>
        </w:tc>
        <w:tc>
          <w:tcPr>
            <w:tcW w:w="24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Ovary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−1.03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+0.67</w:t>
            </w:r>
          </w:p>
        </w:tc>
        <w:tc>
          <w:tcPr>
            <w:tcW w:w="162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−1.70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6" w:name="_2pjy65nw7yuw"/>
      <w:bookmarkEnd w:id="6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A6. Between-phenotype differential and profile analyses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8"/>
        <w:gridCol w:w="1534"/>
        <w:gridCol w:w="1264"/>
        <w:gridCol w:w="1444"/>
        <w:gridCol w:w="1444"/>
        <w:gridCol w:w="721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153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Analysis</w:t>
            </w:r>
          </w:p>
        </w:tc>
        <w:tc>
          <w:tcPr>
            <w:tcW w:w="126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Estimate</w:t>
            </w:r>
          </w:p>
        </w:tc>
        <w:tc>
          <w:tcPr>
            <w:tcW w:w="144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 value</w:t>
            </w:r>
          </w:p>
        </w:tc>
        <w:tc>
          <w:tcPr>
            <w:tcW w:w="144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FDR</w:t>
            </w:r>
          </w:p>
        </w:tc>
        <w:tc>
          <w:tcPr>
            <w:tcW w:w="721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Interpretation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MWU differential test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Mean difference = +0.760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.001546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.001546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Different distributions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Paired Wilcoxon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.013337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.019493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Paired shift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Kolmogorov–Smirnov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.001049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Distributional difference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Brunner–Munzel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.001579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Distributional difference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Paired Cohen’s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d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+0.15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Small effect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Unpaired Cohen’s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d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+0.25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Small effect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Rank-biserial correlation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−0.217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Small effect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Pearson profile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correlation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−0.364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.000008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Opposite profile ordering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 profile correlation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ρ = −0.359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.000010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Opposite rank ordering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/ Spearman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−.331; ρ = −.335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&lt;.001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&lt;.001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Discordant profiles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/ Spearman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−.385; ρ = −.389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&lt;.001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&lt;.001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Discordant profiles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ρ = −.325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.000003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.0000285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Rank discordance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/ Spearman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−.385; ρ = −.426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.001694 / .000450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.010729 / .005045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Discordant profiles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/ Spearman</w:t>
            </w:r>
          </w:p>
        </w:tc>
        <w:tc>
          <w:tcPr>
            <w:tcW w:w="126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−.448; ρ = −.533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.003740 / .000401</w:t>
            </w:r>
          </w:p>
        </w:tc>
        <w:tc>
          <w:tcPr>
            <w:tcW w:w="144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.023687 / .005833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Strong discordance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6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KEGG_PPAR_SIGNALING_PATHWAY</w:t>
            </w:r>
          </w:p>
        </w:tc>
        <w:tc>
          <w:tcPr>
            <w:tcW w:w="15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 / Spearman</w:t>
            </w:r>
          </w:p>
        </w:tc>
        <w:tc>
          <w:tcPr>
            <w:tcW w:w="126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−.30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9; ρ = −.308</w:t>
            </w:r>
          </w:p>
        </w:tc>
        <w:tc>
          <w:tcPr>
            <w:tcW w:w="14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.010860 / .011260</w:t>
            </w:r>
          </w:p>
        </w:tc>
        <w:tc>
          <w:tcPr>
            <w:tcW w:w="14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—</w:t>
            </w:r>
          </w:p>
        </w:tc>
        <w:tc>
          <w:tcPr>
            <w:tcW w:w="72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Moderate discordance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7" w:name="_dkxz9wx2niqa"/>
      <w:bookmarkEnd w:id="7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A7. Shared and phenotype-specific pathway patterns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3069"/>
        <w:gridCol w:w="1263"/>
        <w:gridCol w:w="1263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Classification</w:t>
            </w:r>
          </w:p>
        </w:tc>
        <w:tc>
          <w:tcPr>
            <w:tcW w:w="306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126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brs_ca Z</w:t>
            </w:r>
          </w:p>
        </w:tc>
        <w:tc>
          <w:tcPr>
            <w:tcW w:w="126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tn_brs Z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Shared, same direction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+2.17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+2.32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brs_ca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+3.50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+1.20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brs_ca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KEGG_PPAR_SIGNALING_PATHWAY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+2.79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+1.13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brs_ca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−2.51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+1.82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tn_brs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+0.83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−8.98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tn_brs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−0.90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−5.68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tn_brs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+1.76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+3.02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tn_brs</w:t>
            </w:r>
          </w:p>
        </w:tc>
        <w:tc>
          <w:tcPr>
            <w:tcW w:w="306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−1.42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+2.71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42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Specific to tn_brs</w:t>
            </w:r>
          </w:p>
        </w:tc>
        <w:tc>
          <w:tcPr>
            <w:tcW w:w="30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26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−0.43</w:t>
            </w:r>
          </w:p>
        </w:tc>
        <w:tc>
          <w:tcPr>
            <w:tcW w:w="126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−2.52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8" w:name="_gt58wh7so4ot"/>
      <w:bookmarkEnd w:id="8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 xml:space="preserve">Table A8.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Sensitivity analysis after removing influential genes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8"/>
        <w:gridCol w:w="3159"/>
        <w:gridCol w:w="1083"/>
        <w:gridCol w:w="1263"/>
        <w:gridCol w:w="452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3068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Phenotype</w:t>
            </w:r>
          </w:p>
        </w:tc>
        <w:tc>
          <w:tcPr>
            <w:tcW w:w="315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Full Z</w:t>
            </w:r>
          </w:p>
        </w:tc>
        <w:tc>
          <w:tcPr>
            <w:tcW w:w="126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Z without influential genes</w:t>
            </w:r>
          </w:p>
        </w:tc>
        <w:tc>
          <w:tcPr>
            <w:tcW w:w="452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Dropped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−8.77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−8.77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−5.24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−5.24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+4.11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+3.17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+3.59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+3.91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−2.87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−2.45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KEGG_PPAR_SIGNALING_PATHWAY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+2.76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+2.58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+2.16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+2.02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KEGG_CITRATE_CYCLE_TCA_CYCLE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+2.38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+1.29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+2.00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+0.84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</w:t>
            </w:r>
          </w:p>
        </w:tc>
        <w:tc>
          <w:tcPr>
            <w:tcW w:w="315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+2.00</w:t>
            </w:r>
          </w:p>
        </w:tc>
        <w:tc>
          <w:tcPr>
            <w:tcW w:w="12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+0.76</w:t>
            </w:r>
          </w:p>
        </w:tc>
        <w:tc>
          <w:tcPr>
            <w:tcW w:w="45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06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315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+1.97</w:t>
            </w:r>
          </w:p>
        </w:tc>
        <w:tc>
          <w:tcPr>
            <w:tcW w:w="126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+0.26</w:t>
            </w:r>
          </w:p>
        </w:tc>
        <w:tc>
          <w:tcPr>
            <w:tcW w:w="45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13</w:t>
            </w:r>
          </w:p>
        </w:tc>
      </w:tr>
    </w:tbl>
    <w:p w:rsidR="00554906" w:rsidRDefault="002A43C9">
      <w:pPr>
        <w:pStyle w:val="Standard"/>
        <w:shd w:val="clear" w:color="auto" w:fill="FFFFFF"/>
        <w:spacing w:before="60" w:after="100" w:line="240" w:lineRule="auto"/>
      </w:pP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Robust results were significant before and after removal of influential genes. Fragile results lost the |Z| &gt; 1.96 threshold after removal and should be interpreted cautiously.</w:t>
      </w:r>
    </w:p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9" w:name="_wue9u5inllqs"/>
      <w:bookmarkEnd w:id="9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 xml:space="preserve">Table A9.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Recurrent influential genes across top divergent pathways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3"/>
        <w:gridCol w:w="1174"/>
        <w:gridCol w:w="1534"/>
        <w:gridCol w:w="4964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</w:t>
            </w:r>
          </w:p>
        </w:tc>
        <w:tc>
          <w:tcPr>
            <w:tcW w:w="117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n pathways</w:t>
            </w:r>
          </w:p>
        </w:tc>
        <w:tc>
          <w:tcPr>
            <w:tcW w:w="153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Maximum |%ΔZ|</w:t>
            </w:r>
          </w:p>
        </w:tc>
        <w:tc>
          <w:tcPr>
            <w:tcW w:w="496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Pathways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HRAS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675.94%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Endocytosis; Ras signaling; Regulation of actin 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MAP2K2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258.31%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Autophagy; Ras signaling; Regulation of actin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FGFR2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76.72%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signaling; Regulation of actin 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PIK3R3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596.42%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MAPK10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518.14%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MAP2K1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472.29%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PIK3CB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362.60%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PIK3CD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298.31%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PIK3R2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246.24%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AKT1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206.01%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PIK3R1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193.60%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PIK3CA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189.16%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BAD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188.59%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MAPK9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185.64%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CDC42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62.95%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FGFR4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62.80%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ARPC5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61.61%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Regulation of actin 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ACTR3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53.41%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Regulation of actin 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PDGFD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48.47%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Ras signaling; Regulation of actin cytoskeleton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PLD2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44.54%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PRKACB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40.87%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RHOA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35.59%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RAB5C</w:t>
            </w:r>
          </w:p>
        </w:tc>
        <w:tc>
          <w:tcPr>
            <w:tcW w:w="117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32.56%</w:t>
            </w:r>
          </w:p>
        </w:tc>
        <w:tc>
          <w:tcPr>
            <w:tcW w:w="496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35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ARF6</w:t>
            </w:r>
          </w:p>
        </w:tc>
        <w:tc>
          <w:tcPr>
            <w:tcW w:w="117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</w:t>
            </w:r>
          </w:p>
        </w:tc>
        <w:tc>
          <w:tcPr>
            <w:tcW w:w="153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30.18%</w:t>
            </w:r>
          </w:p>
        </w:tc>
        <w:tc>
          <w:tcPr>
            <w:tcW w:w="496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Endocytosis; Ras signaling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10" w:name="_435lig1lrfdz"/>
      <w:bookmarkEnd w:id="10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A10. Highest-impact leave-one-out genes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9"/>
        <w:gridCol w:w="1353"/>
        <w:gridCol w:w="1083"/>
        <w:gridCol w:w="1625"/>
        <w:gridCol w:w="1354"/>
        <w:gridCol w:w="721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 and phenotype</w:t>
            </w:r>
          </w:p>
        </w:tc>
        <w:tc>
          <w:tcPr>
            <w:tcW w:w="135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</w:t>
            </w:r>
          </w:p>
        </w:tc>
        <w:tc>
          <w:tcPr>
            <w:tcW w:w="1083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Z</w:t>
            </w:r>
          </w:p>
        </w:tc>
        <w:tc>
          <w:tcPr>
            <w:tcW w:w="162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Δ Stouffer Z</w:t>
            </w:r>
          </w:p>
        </w:tc>
        <w:tc>
          <w:tcPr>
            <w:tcW w:w="1354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Relative change</w:t>
            </w:r>
          </w:p>
        </w:tc>
        <w:tc>
          <w:tcPr>
            <w:tcW w:w="721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Sign flip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POMC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−28.31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−1.73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1648.7%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ATG10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−20.91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−1.75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1612.3%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VPS11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+11.11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+0.93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856.1%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WDR45B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−10.76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−0.90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830.2%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BECN1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+10.05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+0.84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774.4%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CHRNG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+13.20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+0.81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768.7%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HRAS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−8.76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−0.74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675.9%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CFLAR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−8.19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−0.69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631.8%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PIK3R3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−7.73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−0.65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596.4%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GABARAP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+7.46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+0.63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574.6%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ATG13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−7.37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−0.62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568.4%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UTS2R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+9.74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+0.59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567.1%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QRFP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+8.99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+0.55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523.3%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MAPK10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−6.72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−0.56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518.1%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VMP1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+6.52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+0.55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502.5%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AGT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+8.59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+0.52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500.2%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MAP2K1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−6.12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−0.51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472.3%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Neuroactive ligand–receptor; tn_brs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LTB4R2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+7.96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+0.49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463.6%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GORASP2</w:t>
            </w:r>
          </w:p>
        </w:tc>
        <w:tc>
          <w:tcPr>
            <w:tcW w:w="1083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+5.94</w:t>
            </w:r>
          </w:p>
        </w:tc>
        <w:tc>
          <w:tcPr>
            <w:tcW w:w="162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+0.50</w:t>
            </w:r>
          </w:p>
        </w:tc>
        <w:tc>
          <w:tcPr>
            <w:tcW w:w="1354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457.6%</w:t>
            </w:r>
          </w:p>
        </w:tc>
        <w:tc>
          <w:tcPr>
            <w:tcW w:w="721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Yes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8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Autophagy; brs_ca</w:t>
            </w:r>
          </w:p>
        </w:tc>
        <w:tc>
          <w:tcPr>
            <w:tcW w:w="135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GORASP1</w:t>
            </w:r>
          </w:p>
        </w:tc>
        <w:tc>
          <w:tcPr>
            <w:tcW w:w="108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−5.89</w:t>
            </w:r>
          </w:p>
        </w:tc>
        <w:tc>
          <w:tcPr>
            <w:tcW w:w="162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−0.49</w:t>
            </w:r>
          </w:p>
        </w:tc>
        <w:tc>
          <w:tcPr>
            <w:tcW w:w="135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454.6%</w:t>
            </w:r>
          </w:p>
        </w:tc>
        <w:tc>
          <w:tcPr>
            <w:tcW w:w="72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11" w:name="_8csedtjfr5d1"/>
      <w:bookmarkEnd w:id="11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A11. Family-wise FDR survivors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6"/>
        <w:gridCol w:w="1490"/>
        <w:gridCol w:w="1660"/>
        <w:gridCol w:w="1932"/>
        <w:gridCol w:w="612"/>
        <w:gridCol w:w="785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Gene set</w:t>
            </w:r>
          </w:p>
        </w:tc>
        <w:tc>
          <w:tcPr>
            <w:tcW w:w="1490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Source</w:t>
            </w:r>
          </w:p>
        </w:tc>
        <w:tc>
          <w:tcPr>
            <w:tcW w:w="1660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Test</w:t>
            </w:r>
          </w:p>
        </w:tc>
        <w:tc>
          <w:tcPr>
            <w:tcW w:w="1932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Comparison</w:t>
            </w:r>
          </w:p>
        </w:tc>
        <w:tc>
          <w:tcPr>
            <w:tcW w:w="612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p</w:t>
            </w:r>
          </w:p>
        </w:tc>
        <w:tc>
          <w:tcPr>
            <w:tcW w:w="78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FDR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−6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2.85×10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−6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2.85×10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8×10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−6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6.33×10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−6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6.33×10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1×10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6.33×10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3.23×10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KEGG_MAPK_SIGNALING_PATHWAY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3.4×10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3.23×10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2.2×10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3.33×10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3.5×10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3.33×10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KEGG_NEUROACTIVE_LIGAND_RECEPTOR_INTERACTION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7.1×10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3.37×10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9.2×10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−5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5.83×10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vertAlign w:val="superscript"/>
              </w:rPr>
              <w:t>−4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KEGG_REGULATION_OF_ACTIN_CYTOSKELETON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.000379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.001800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KEGG_ENDOCYTOSIS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.000529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.002513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.000534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.002536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enrichment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Wilcoxon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.000740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.002812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KS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.001049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differential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Kruskal–Wallis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All diseases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.001542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differential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MWU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.001546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Brunner–Munzel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.001579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MWU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.001640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.003116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.000584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.003699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enrichment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Permutation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.002200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.003800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.000450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.005045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.000531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.005045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Spearman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.000401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.005833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Kendall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.000614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.005833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KEGG_SYNAPTIC_VESICLE_CYCLE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.001694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.010729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Paired Wilcoxon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.013337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.019493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differential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Paired Wilcoxon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.013337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.019493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KEGG_FATTY_ACID_DEGRADATION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proximity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Pearson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.003740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.023687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KEGG_RAS_SIGNALING_PATHWAY</w:t>
            </w:r>
          </w:p>
        </w:tc>
        <w:tc>
          <w:tcPr>
            <w:tcW w:w="14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Sign concordance</w:t>
            </w:r>
          </w:p>
        </w:tc>
        <w:tc>
          <w:tcPr>
            <w:tcW w:w="193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.005209</w:t>
            </w:r>
          </w:p>
        </w:tc>
        <w:tc>
          <w:tcPr>
            <w:tcW w:w="78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.024743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4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KEGG_AUTOPHAGY_ANIMAL</w:t>
            </w:r>
          </w:p>
        </w:tc>
        <w:tc>
          <w:tcPr>
            <w:tcW w:w="14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pairwise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Welch</w:t>
            </w:r>
          </w:p>
        </w:tc>
        <w:tc>
          <w:tcPr>
            <w:tcW w:w="193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brs_ca vs tn_brs</w:t>
            </w:r>
          </w:p>
        </w:tc>
        <w:tc>
          <w:tcPr>
            <w:tcW w:w="61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.035183</w:t>
            </w:r>
          </w:p>
        </w:tc>
        <w:tc>
          <w:tcPr>
            <w:tcW w:w="78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.047748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12" w:name="_i9ulv4ooqpc3"/>
      <w:bookmarkEnd w:id="12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A12. Summary of the principal findings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7"/>
        <w:gridCol w:w="3790"/>
        <w:gridCol w:w="2708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27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Finding</w:t>
            </w:r>
          </w:p>
        </w:tc>
        <w:tc>
          <w:tcPr>
            <w:tcW w:w="3790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Result</w:t>
            </w:r>
          </w:p>
        </w:tc>
        <w:tc>
          <w:tcPr>
            <w:tcW w:w="2708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Interpretation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Strongest pathway enrichment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TNBC autophagy: Stouffer Z = −8.98; permutation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.0022; pathway FDR = .022.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Supported pathway-level association with TNBC susceptibility.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Most consistent disease gap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 mean tissue gap = +2.83 for overall breast cancer minus TNBC; same direction in 82% of tissues.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Descriptive cross-tissue cons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istency, not proof of tissue causality.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Strongest phenotype divergence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 mean gene-level difference = +0.760; MWU FDR = .001546; paired Wilcoxon FDR = .019493.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TNBC and overall breast cancer profiles differ in distribution.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Most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recurrent interest gene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MAP2K2 appeared in autophagy, Ras signaling, and actin-cytoskeleton pathways; approximate scores were −3.35 in overall breast cancer and +6.08 in TNBC.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Candidate subtype-opposed regulatory bridge requiring colocalization and functio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nal validation.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Suggestive trafficking pathway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Endocytosis in TNBC: Z = −5.68; permutation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.0417; FDR = .2085.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Suggestive but not supported after pathway correction.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Strongest profile discordance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Fatty-acid degradation: Pearson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= −.448; Spearman ρ = −.533; Kendall τ = −.377; Kendall FDR ≈ .000768.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Subtype-opposed gene ordering without coll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ective pathway enrichment.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527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Most robust sensitivity result</w:t>
            </w:r>
          </w:p>
        </w:tc>
        <w:tc>
          <w:tcPr>
            <w:tcW w:w="3790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TNBC autophagy remained Z = −8.77 after removing influential genes.</w:t>
            </w:r>
          </w:p>
        </w:tc>
        <w:tc>
          <w:tcPr>
            <w:tcW w:w="2708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Distributed signal under the prespecified leave-one-out rule.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52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Primary translational caution</w:t>
            </w:r>
          </w:p>
        </w:tc>
        <w:tc>
          <w:tcPr>
            <w:tcW w:w="379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No analysis established that NMN pre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vents or treats breast cancer.</w:t>
            </w:r>
          </w:p>
        </w:tc>
        <w:tc>
          <w:tcPr>
            <w:tcW w:w="270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Results support hypothesis generation only.</w:t>
            </w:r>
          </w:p>
        </w:tc>
      </w:tr>
    </w:tbl>
    <w:p w:rsidR="00554906" w:rsidRDefault="002A43C9">
      <w:pPr>
        <w:pStyle w:val="Heading2"/>
        <w:keepNext w:val="0"/>
        <w:keepLines w:val="0"/>
        <w:pBdr>
          <w:bottom w:val="single" w:sz="6" w:space="2" w:color="111111"/>
        </w:pBdr>
        <w:shd w:val="clear" w:color="auto" w:fill="FFFFFF"/>
        <w:spacing w:before="400" w:after="160"/>
      </w:pPr>
      <w:bookmarkStart w:id="13" w:name="_xs9277f9mwz4"/>
      <w:bookmarkEnd w:id="13"/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Table A13. Interpretation and limitations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5"/>
        <w:gridCol w:w="6590"/>
      </w:tblGrid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435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Issue</w:t>
            </w:r>
          </w:p>
        </w:tc>
        <w:tc>
          <w:tcPr>
            <w:tcW w:w="6589" w:type="dxa"/>
            <w:tcBorders>
              <w:bottom w:val="single" w:sz="6" w:space="0" w:color="111111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</w:rPr>
              <w:t>Implication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TWAS interpretation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S-PrediXcan estimates associations between genetically predicted expression and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phenotype. It does not measure RNA expression in tumors or demonstrate a causal expression mechanism.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Pathway breadth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The tested KEGG sets were complete pathways, often containing hundreds of genes. A pathway-level result does not demonstrate that every N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MN-responsive gene, or even the original NMN genes, drives the association.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Tissue dependence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Correlated prediction models and shared GWAS statistics across tissues limit interpretation of tissue-level consistency.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Phenotype overlap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TNBC is nested within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 overall breast cancer, and the two GWAS resources are not independent. Standard pairwise tests do not fully model sampling covariance.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Influence analysis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Relative percentage changes can be unstable when the original pathway statistic is near zero.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Recurrent influence is not equivalent to independent genetic evidence.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Colocalization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Gene-level colocalization, conditional TWAS, fine-mapping, and case-case analyses are required before assigning causal roles to MAP2K2, TP53INP2, RAB11A, CPT2, or other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candidates.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 biology</w:t>
            </w:r>
          </w:p>
        </w:tc>
        <w:tc>
          <w:tcPr>
            <w:tcW w:w="6589" w:type="dxa"/>
            <w:tcBorders>
              <w:bottom w:val="single" w:sz="2" w:space="0" w:color="777777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Autophagy can suppress tumor initiation but support established tumor survival. A germline association cannot be translated directly into autophagy stimulation or inhibition as a treatment recommendation.</w:t>
            </w:r>
          </w:p>
        </w:tc>
      </w:tr>
      <w:tr w:rsidR="0055490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4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 xml:space="preserve">NMN </w:t>
            </w: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interpretation</w:t>
            </w:r>
          </w:p>
        </w:tc>
        <w:tc>
          <w:tcPr>
            <w:tcW w:w="658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906" w:rsidRDefault="002A43C9">
            <w:pPr>
              <w:pStyle w:val="Standard"/>
              <w:spacing w:before="120" w:after="220" w:line="240" w:lineRule="auto"/>
            </w:pPr>
            <w:r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</w:rPr>
              <w:t>The NMN-related evidence arose from aging-related mouse transcriptional analyses and should not be interpreted as evidence that NMN modifies human breast cancer risk or treatment response.</w:t>
            </w:r>
          </w:p>
        </w:tc>
      </w:tr>
    </w:tbl>
    <w:p w:rsidR="00554906" w:rsidRDefault="002A43C9">
      <w:pPr>
        <w:pStyle w:val="Standard"/>
        <w:shd w:val="clear" w:color="auto" w:fill="FFFFFF"/>
        <w:spacing w:before="140" w:after="40" w:line="240" w:lineRule="auto"/>
      </w:pPr>
      <w:r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</w:rPr>
        <w:t>Note.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</w:rPr>
        <w:t>brs_ca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= overall breast cancer; </w:t>
      </w:r>
      <w:r>
        <w:rPr>
          <w:rFonts w:ascii="Times New Roman" w:eastAsia="Times New Roman" w:hAnsi="Times New Roman" w:cs="Times New Roman"/>
          <w:i/>
          <w:iCs/>
          <w:color w:val="111111"/>
          <w:sz w:val="18"/>
          <w:szCs w:val="18"/>
        </w:rPr>
        <w:t>tn_brs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= triple-negative breast cancer; FDR = false discovery rate; MWU = Mann–Whitney U; KS = Kolmogorov–Smirnov; BM = Brunner–Munzel; CCC = Lin’s concordance correlation coefficient; NMN = nicotinamide mononucleotide; TWA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S = transcriptome-wide association study.</w:t>
      </w:r>
    </w:p>
    <w:p w:rsidR="00554906" w:rsidRDefault="002A43C9">
      <w:pPr>
        <w:pStyle w:val="Standard"/>
        <w:shd w:val="clear" w:color="auto" w:fill="FFFFFF"/>
        <w:spacing w:before="140" w:after="40" w:line="240" w:lineRule="auto"/>
      </w:pP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All tables are formatted for direct copying into Microsoft Word. No table uses a scrolling container. The results are presented as an appendix in a restrained Nature/APA-style format using Times New Roman.</w:t>
      </w:r>
    </w:p>
    <w:p w:rsidR="00554906" w:rsidRDefault="002A43C9">
      <w:pPr>
        <w:pStyle w:val="Standard"/>
        <w:shd w:val="clear" w:color="auto" w:fill="FFFFFF"/>
        <w:spacing w:before="140" w:after="40" w:line="240" w:lineRule="auto"/>
      </w:pPr>
      <w:r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</w:rPr>
        <w:t>Recommen</w:t>
      </w:r>
      <w:r>
        <w:rPr>
          <w:rFonts w:ascii="Times New Roman" w:eastAsia="Times New Roman" w:hAnsi="Times New Roman" w:cs="Times New Roman"/>
          <w:b/>
          <w:bCs/>
          <w:color w:val="111111"/>
          <w:sz w:val="18"/>
          <w:szCs w:val="18"/>
        </w:rPr>
        <w:t>ded next analyses: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case-case TNBC versus non-TNBC GWAS, gene-level colocalization, covariance-aware multi-tissue TWAS, conditional TWAS, fine-mapping, ancestry-diverse replication, and gene-specific functional assays.</w:t>
      </w:r>
    </w:p>
    <w:p w:rsidR="00554906" w:rsidRDefault="00554906">
      <w:pPr>
        <w:pStyle w:val="Standard"/>
      </w:pPr>
    </w:p>
    <w:sectPr w:rsidR="00554906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2A43C9">
      <w:r>
        <w:separator/>
      </w:r>
    </w:p>
  </w:endnote>
  <w:endnote w:type="continuationSeparator" w:id="0">
    <w:p w:rsidR="00000000" w:rsidRDefault="002A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2A43C9">
      <w:r>
        <w:rPr>
          <w:color w:val="000000"/>
        </w:rPr>
        <w:separator/>
      </w:r>
    </w:p>
  </w:footnote>
  <w:footnote w:type="continuationSeparator" w:id="0">
    <w:p w:rsidR="00000000" w:rsidRDefault="002A4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54906"/>
    <w:rsid w:val="002A43C9"/>
    <w:rsid w:val="0055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A00410-C2D7-4719-A1C7-41E87363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le">
    <w:name w:val="Title"/>
    <w:basedOn w:val="Normal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2668</Words>
  <Characters>15213</Characters>
  <Application>Microsoft Office Word</Application>
  <DocSecurity>0</DocSecurity>
  <Lines>126</Lines>
  <Paragraphs>35</Paragraphs>
  <ScaleCrop>false</ScaleCrop>
  <Company/>
  <LinksUpToDate>false</LinksUpToDate>
  <CharactersWithSpaces>17846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cloudconvert_5</cp:lastModifiedBy>
  <cp:revision>1</cp:revision>
  <dcterms:created xsi:type="dcterms:W3CDTF">2026-07-11T11:00:00Z</dcterms:created>
  <dcterms:modified xsi:type="dcterms:W3CDTF">2026-07-11T11:00:00Z</dcterms:modified>
</cp:coreProperties>
</file>