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8379C" w14:textId="77777777" w:rsidR="00000000" w:rsidRDefault="00000000">
      <w:pPr>
        <w:rPr>
          <w:rFonts w:ascii="Times New Roman" w:hAnsi="Times New Roman" w:cs="Times New Roman"/>
          <w:sz w:val="24"/>
          <w:szCs w:val="24"/>
        </w:rPr>
      </w:pPr>
    </w:p>
    <w:p w14:paraId="517A3FB3" w14:textId="77777777" w:rsidR="009D7CFF" w:rsidRDefault="009D7CFF">
      <w:pPr>
        <w:rPr>
          <w:rFonts w:ascii="Times New Roman" w:hAnsi="Times New Roman" w:cs="Times New Roman"/>
          <w:sz w:val="24"/>
          <w:szCs w:val="24"/>
        </w:rPr>
      </w:pPr>
    </w:p>
    <w:p w14:paraId="59EAA2AC" w14:textId="77777777" w:rsidR="009D7CFF" w:rsidRPr="00C05374" w:rsidRDefault="009D7CFF" w:rsidP="009D7CFF">
      <w:pPr>
        <w:spacing w:before="240"/>
        <w:jc w:val="both"/>
        <w:rPr>
          <w:rFonts w:ascii="Times New Roman" w:hAnsi="Times New Roman" w:cs="Times New Roman"/>
          <w:b/>
          <w:color w:val="2E74B5" w:themeColor="accent1" w:themeShade="BF"/>
          <w:sz w:val="32"/>
          <w:szCs w:val="32"/>
        </w:rPr>
      </w:pPr>
      <w:r w:rsidRPr="00C05374">
        <w:rPr>
          <w:rFonts w:ascii="Times New Roman" w:hAnsi="Times New Roman" w:cs="Times New Roman"/>
          <w:b/>
          <w:color w:val="2E74B5" w:themeColor="accent1" w:themeShade="BF"/>
          <w:sz w:val="32"/>
          <w:szCs w:val="32"/>
        </w:rPr>
        <w:t>Highlights</w:t>
      </w:r>
    </w:p>
    <w:p w14:paraId="196F88DD" w14:textId="77777777" w:rsidR="009D7CFF" w:rsidRPr="00EE0760" w:rsidRDefault="009D7CFF" w:rsidP="009D7CFF">
      <w:pPr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0760">
        <w:rPr>
          <w:rFonts w:ascii="Times New Roman" w:hAnsi="Times New Roman" w:cs="Times New Roman"/>
          <w:bCs/>
          <w:sz w:val="28"/>
          <w:szCs w:val="28"/>
        </w:rPr>
        <w:t>Adult left diaphragmatic eventration may closely mimic a giant diaphragmatic hernia on chest radiography and CT imaging, creating significant diagnostic confusion.</w:t>
      </w:r>
    </w:p>
    <w:p w14:paraId="66E23ABC" w14:textId="77777777" w:rsidR="009D7CFF" w:rsidRPr="00EE0760" w:rsidRDefault="009D7CFF" w:rsidP="009D7CFF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0760">
        <w:rPr>
          <w:rFonts w:ascii="Times New Roman" w:hAnsi="Times New Roman" w:cs="Times New Roman"/>
          <w:bCs/>
          <w:sz w:val="28"/>
          <w:szCs w:val="28"/>
        </w:rPr>
        <w:t>Radiologic suspicion of diaphragmatic discontinuity does not always indicate a true hernia defect; intraoperative assessment remains definitive in equivocal cases.</w:t>
      </w:r>
    </w:p>
    <w:p w14:paraId="23293E8F" w14:textId="77777777" w:rsidR="009D7CFF" w:rsidRPr="00EE0760" w:rsidRDefault="009D7CFF" w:rsidP="009D7CFF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0760">
        <w:rPr>
          <w:rFonts w:ascii="Times New Roman" w:hAnsi="Times New Roman" w:cs="Times New Roman"/>
          <w:bCs/>
          <w:sz w:val="28"/>
          <w:szCs w:val="28"/>
        </w:rPr>
        <w:t>Accurate differentiation between eventration and hernia is critical, as surgical strategies differ substantially (plication vs. defect repair).</w:t>
      </w:r>
    </w:p>
    <w:p w14:paraId="0051C70D" w14:textId="77777777" w:rsidR="009D7CFF" w:rsidRPr="00EE0760" w:rsidRDefault="009D7CFF" w:rsidP="009D7CFF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0760">
        <w:rPr>
          <w:rFonts w:ascii="Times New Roman" w:hAnsi="Times New Roman" w:cs="Times New Roman"/>
          <w:bCs/>
          <w:sz w:val="28"/>
          <w:szCs w:val="28"/>
        </w:rPr>
        <w:t>Diaphragmatic plication via thoracotomy resulted in marked symptomatic relief and radiologic lung re-expansion in this symptomatic adult patient.</w:t>
      </w:r>
    </w:p>
    <w:p w14:paraId="5C4DDBB1" w14:textId="77777777" w:rsidR="009D7CFF" w:rsidRPr="00EE0760" w:rsidRDefault="009D7CFF" w:rsidP="009D7CFF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0760">
        <w:rPr>
          <w:rFonts w:ascii="Times New Roman" w:hAnsi="Times New Roman" w:cs="Times New Roman"/>
          <w:bCs/>
          <w:sz w:val="28"/>
          <w:szCs w:val="28"/>
        </w:rPr>
        <w:t>Maintaining a high index of suspicion in non-traumatic adult presentations can prevent misdiagnosis and guide appropriate operative planning.</w:t>
      </w:r>
    </w:p>
    <w:p w14:paraId="7CADA021" w14:textId="1917F1BF" w:rsidR="00EE0760" w:rsidRPr="00EE0760" w:rsidRDefault="00EE0760" w:rsidP="00EE0760">
      <w:pPr>
        <w:pStyle w:val="NormalWeb"/>
        <w:numPr>
          <w:ilvl w:val="0"/>
          <w:numId w:val="1"/>
        </w:numPr>
        <w:rPr>
          <w:sz w:val="28"/>
          <w:szCs w:val="28"/>
        </w:rPr>
      </w:pPr>
      <w:r w:rsidRPr="00EE0760">
        <w:rPr>
          <w:sz w:val="28"/>
          <w:szCs w:val="28"/>
        </w:rPr>
        <w:t>Remote pulmonary tuberculosis may represent a rare cause of chronic phrenic neuropathy.</w:t>
      </w:r>
    </w:p>
    <w:p w14:paraId="2BE4FF03" w14:textId="77777777" w:rsidR="00EE0760" w:rsidRPr="00EE0760" w:rsidRDefault="00EE0760" w:rsidP="00EE0760">
      <w:pPr>
        <w:pStyle w:val="NormalWeb"/>
        <w:numPr>
          <w:ilvl w:val="0"/>
          <w:numId w:val="1"/>
        </w:numPr>
        <w:rPr>
          <w:sz w:val="28"/>
          <w:szCs w:val="28"/>
        </w:rPr>
      </w:pPr>
      <w:r w:rsidRPr="00EE0760">
        <w:rPr>
          <w:sz w:val="28"/>
          <w:szCs w:val="28"/>
        </w:rPr>
        <w:t>• Open thoracotomy with diaphragmatic plication provides excellent symptomatic improvement</w:t>
      </w:r>
    </w:p>
    <w:p w14:paraId="30724A38" w14:textId="77777777" w:rsidR="00EE0760" w:rsidRPr="009D7CFF" w:rsidRDefault="00EE0760" w:rsidP="00EE0760">
      <w:pPr>
        <w:spacing w:line="360" w:lineRule="auto"/>
        <w:ind w:left="720"/>
        <w:jc w:val="both"/>
        <w:rPr>
          <w:rFonts w:ascii="Times New Roman" w:hAnsi="Times New Roman" w:cs="Times New Roman"/>
          <w:bCs/>
          <w:sz w:val="28"/>
          <w:szCs w:val="24"/>
        </w:rPr>
      </w:pPr>
    </w:p>
    <w:p w14:paraId="31F20851" w14:textId="77777777" w:rsidR="009D7CFF" w:rsidRPr="009D7CFF" w:rsidRDefault="009D7CFF">
      <w:pPr>
        <w:rPr>
          <w:rFonts w:ascii="Times New Roman" w:hAnsi="Times New Roman" w:cs="Times New Roman"/>
          <w:sz w:val="24"/>
          <w:szCs w:val="24"/>
        </w:rPr>
      </w:pPr>
    </w:p>
    <w:sectPr w:rsidR="009D7CFF" w:rsidRPr="009D7C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042C0"/>
    <w:multiLevelType w:val="multilevel"/>
    <w:tmpl w:val="04347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8949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CFF"/>
    <w:rsid w:val="00203217"/>
    <w:rsid w:val="009D7CFF"/>
    <w:rsid w:val="00C05374"/>
    <w:rsid w:val="00E03937"/>
    <w:rsid w:val="00E66993"/>
    <w:rsid w:val="00EE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6DA01"/>
  <w15:chartTrackingRefBased/>
  <w15:docId w15:val="{EA890C08-0F68-4463-B1DD-79F189A56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7CFF"/>
    <w:pPr>
      <w:ind w:left="720"/>
      <w:contextualSpacing/>
    </w:pPr>
  </w:style>
  <w:style w:type="paragraph" w:customStyle="1" w:styleId="pdq2pgselectionanchorcontainer">
    <w:name w:val="pdq2pg_selectionanchorcontainer"/>
    <w:basedOn w:val="Normal"/>
    <w:rsid w:val="00EE0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E0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812</Characters>
  <Application>Microsoft Office Word</Application>
  <DocSecurity>0</DocSecurity>
  <Lines>6</Lines>
  <Paragraphs>1</Paragraphs>
  <ScaleCrop>false</ScaleCrop>
  <Company>P R C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JOB Ayen</cp:lastModifiedBy>
  <cp:revision>3</cp:revision>
  <dcterms:created xsi:type="dcterms:W3CDTF">2026-02-23T13:27:00Z</dcterms:created>
  <dcterms:modified xsi:type="dcterms:W3CDTF">2026-07-16T00:45:00Z</dcterms:modified>
</cp:coreProperties>
</file>