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459C4" w14:textId="77777777" w:rsidR="00144D0A" w:rsidRDefault="00144D0A" w:rsidP="00144D0A">
      <w:pPr>
        <w:rPr>
          <w:b/>
          <w:bCs/>
          <w:lang w:val="en-US"/>
        </w:rPr>
      </w:pPr>
      <w:r w:rsidRPr="00AA3C37">
        <w:rPr>
          <w:b/>
          <w:bCs/>
          <w:lang w:val="en-US"/>
        </w:rPr>
        <w:t>Supplementary</w:t>
      </w:r>
    </w:p>
    <w:p w14:paraId="34549E74" w14:textId="77777777" w:rsidR="00144D0A" w:rsidRDefault="00144D0A" w:rsidP="00144D0A">
      <w:pPr>
        <w:pStyle w:val="s5"/>
        <w:spacing w:before="0" w:beforeAutospacing="0" w:after="90" w:afterAutospacing="0"/>
        <w:ind w:left="315" w:hanging="315"/>
        <w:rPr>
          <w:rFonts w:asciiTheme="minorHAnsi" w:hAnsiTheme="minorHAnsi" w:cstheme="minorHAnsi"/>
          <w:color w:val="000000"/>
          <w:sz w:val="27"/>
          <w:szCs w:val="27"/>
          <w:lang w:val="en-US"/>
        </w:rPr>
      </w:pPr>
    </w:p>
    <w:p w14:paraId="2D4F9159" w14:textId="77777777" w:rsidR="00144D0A" w:rsidRDefault="00144D0A" w:rsidP="00144D0A">
      <w:pPr>
        <w:pStyle w:val="s5"/>
        <w:spacing w:before="0" w:beforeAutospacing="0" w:after="90" w:afterAutospacing="0"/>
        <w:rPr>
          <w:rFonts w:asciiTheme="minorHAnsi" w:hAnsiTheme="minorHAnsi" w:cstheme="minorHAnsi"/>
          <w:color w:val="000000"/>
          <w:sz w:val="27"/>
          <w:szCs w:val="27"/>
          <w:lang w:val="en-US"/>
        </w:rPr>
      </w:pPr>
    </w:p>
    <w:p w14:paraId="6087C890" w14:textId="77777777" w:rsidR="00144D0A" w:rsidRPr="0094693A" w:rsidRDefault="00144D0A" w:rsidP="00144D0A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Table S1: </w:t>
      </w:r>
      <w:r w:rsidRPr="00D83DA5">
        <w:rPr>
          <w:lang w:val="en-US"/>
        </w:rPr>
        <w:t>Study populations used for the individual analyses</w:t>
      </w:r>
    </w:p>
    <w:tbl>
      <w:tblPr>
        <w:tblW w:w="9373" w:type="dxa"/>
        <w:tblLayout w:type="fixed"/>
        <w:tblLook w:val="0420" w:firstRow="1" w:lastRow="0" w:firstColumn="0" w:lastColumn="0" w:noHBand="0" w:noVBand="1"/>
      </w:tblPr>
      <w:tblGrid>
        <w:gridCol w:w="2205"/>
        <w:gridCol w:w="6066"/>
        <w:gridCol w:w="1102"/>
      </w:tblGrid>
      <w:tr w:rsidR="00144D0A" w:rsidRPr="00BD5B23" w14:paraId="55F53925" w14:textId="77777777" w:rsidTr="003F212F">
        <w:trPr>
          <w:trHeight w:val="519"/>
          <w:tblHeader/>
        </w:trPr>
        <w:tc>
          <w:tcPr>
            <w:tcW w:w="220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63638" w14:textId="77777777" w:rsidR="00144D0A" w:rsidRPr="00BD5B23" w:rsidRDefault="00144D0A" w:rsidP="003F212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 w:cstheme="minorHAnsi"/>
                <w:b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D5B23">
              <w:rPr>
                <w:rFonts w:eastAsia="Helvetica" w:cstheme="minorHAnsi"/>
                <w:b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Analysi</w:t>
            </w:r>
            <w:r>
              <w:rPr>
                <w:rFonts w:eastAsia="Helvetica" w:cstheme="minorHAnsi"/>
                <w:b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s</w:t>
            </w:r>
          </w:p>
        </w:tc>
        <w:tc>
          <w:tcPr>
            <w:tcW w:w="606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AF07D" w14:textId="77777777" w:rsidR="00144D0A" w:rsidRPr="00BD5B23" w:rsidRDefault="00144D0A" w:rsidP="003F212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 w:cstheme="minorHAnsi"/>
                <w:b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D5B23">
              <w:rPr>
                <w:rFonts w:eastAsia="Helvetica" w:cstheme="minorHAnsi"/>
                <w:b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Study population</w:t>
            </w:r>
          </w:p>
        </w:tc>
        <w:tc>
          <w:tcPr>
            <w:tcW w:w="110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8C5B3" w14:textId="77777777" w:rsidR="00144D0A" w:rsidRPr="00BD5B23" w:rsidRDefault="00144D0A" w:rsidP="003F212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theme="minorHAnsi"/>
                <w:b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D5B23">
              <w:rPr>
                <w:rFonts w:eastAsia="Helvetica" w:cstheme="minorHAnsi"/>
                <w:b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n</w:t>
            </w:r>
            <w:r w:rsidRPr="00E60836">
              <w:rPr>
                <w:rFonts w:cstheme="minorHAnsi"/>
                <w:lang w:val="en-US"/>
              </w:rPr>
              <w:t>ᵇ</w:t>
            </w:r>
          </w:p>
        </w:tc>
      </w:tr>
      <w:tr w:rsidR="00144D0A" w:rsidRPr="00BD5B23" w14:paraId="529B22B1" w14:textId="77777777" w:rsidTr="003F212F">
        <w:trPr>
          <w:trHeight w:val="778"/>
        </w:trPr>
        <w:tc>
          <w:tcPr>
            <w:tcW w:w="2205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E2778" w14:textId="77777777" w:rsidR="00144D0A" w:rsidRPr="00BD5B23" w:rsidRDefault="00144D0A" w:rsidP="003F212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D5B23">
              <w:rPr>
                <w:rFonts w:eastAsia="Helvetica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Overall IVT utilization</w:t>
            </w:r>
          </w:p>
        </w:tc>
        <w:tc>
          <w:tcPr>
            <w:tcW w:w="606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CF711" w14:textId="77777777" w:rsidR="00144D0A" w:rsidRPr="00BD5B23" w:rsidRDefault="00144D0A" w:rsidP="003F212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D5B23">
              <w:rPr>
                <w:rFonts w:eastAsia="Helvetica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All patients with acute ischemic stroke. Outcome: intravenous thrombolysis performed in the treating hospital.</w:t>
            </w:r>
          </w:p>
        </w:tc>
        <w:tc>
          <w:tcPr>
            <w:tcW w:w="110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F242A" w14:textId="77777777" w:rsidR="00144D0A" w:rsidRPr="00BD5B23" w:rsidRDefault="00144D0A" w:rsidP="003F212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D5B23">
              <w:rPr>
                <w:rFonts w:eastAsia="Helvetica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59,514</w:t>
            </w:r>
          </w:p>
        </w:tc>
      </w:tr>
      <w:tr w:rsidR="00144D0A" w:rsidRPr="00BD5B23" w14:paraId="6D8C081F" w14:textId="77777777" w:rsidTr="003F212F">
        <w:trPr>
          <w:trHeight w:val="1324"/>
        </w:trPr>
        <w:tc>
          <w:tcPr>
            <w:tcW w:w="22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ECC6D" w14:textId="77777777" w:rsidR="00144D0A" w:rsidRPr="00BD5B23" w:rsidRDefault="00144D0A" w:rsidP="003F212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D5B23">
              <w:rPr>
                <w:rFonts w:eastAsia="Helvetica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IVT within the conventional treatment window (≤4.5 h)</w:t>
            </w:r>
            <w:r w:rsidRPr="001B200F">
              <w:rPr>
                <w:rFonts w:eastAsia="Helvetica" w:cstheme="minorHAnsi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6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52933" w14:textId="77777777" w:rsidR="00144D0A" w:rsidRDefault="00144D0A" w:rsidP="003F212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D5B23">
              <w:rPr>
                <w:rFonts w:eastAsia="Helvetica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Patients with symptom onset-to-admission time ≤4 h, including in-hospital strokes. Excluding patients transferred for thrombolysis, patients receiving thrombolysis at a referring hospital, patients with documented pre-stroke anticoagulation, and patients undergoing isolated mechanical thrombectomy</w:t>
            </w:r>
          </w:p>
          <w:p w14:paraId="194A3477" w14:textId="77777777" w:rsidR="00144D0A" w:rsidRPr="00BD5B23" w:rsidRDefault="00144D0A" w:rsidP="003F212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D5B23">
              <w:rPr>
                <w:rFonts w:eastAsia="Helvetica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without IVT</w:t>
            </w:r>
            <w:r>
              <w:rPr>
                <w:rFonts w:eastAsia="Helvetica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r w:rsidRPr="001B200F">
              <w:rPr>
                <w:rFonts w:cstheme="minorHAnsi"/>
                <w:lang w:val="en-US"/>
              </w:rPr>
              <w:t>ᵃ</w:t>
            </w:r>
          </w:p>
        </w:tc>
        <w:tc>
          <w:tcPr>
            <w:tcW w:w="11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B6FC7" w14:textId="77777777" w:rsidR="00144D0A" w:rsidRPr="00BD5B23" w:rsidRDefault="00144D0A" w:rsidP="003F212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D5B23">
              <w:rPr>
                <w:rFonts w:eastAsia="Helvetica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14,402</w:t>
            </w:r>
          </w:p>
        </w:tc>
      </w:tr>
      <w:tr w:rsidR="00144D0A" w:rsidRPr="00BD5B23" w14:paraId="00780F85" w14:textId="77777777" w:rsidTr="003F212F">
        <w:trPr>
          <w:trHeight w:val="1298"/>
        </w:trPr>
        <w:tc>
          <w:tcPr>
            <w:tcW w:w="22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07D81" w14:textId="77777777" w:rsidR="00144D0A" w:rsidRPr="00BD5B23" w:rsidRDefault="00144D0A" w:rsidP="003F212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D5B23">
              <w:rPr>
                <w:rFonts w:eastAsia="Helvetica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IVT within the extended treatment window (4.5–24 h)</w:t>
            </w:r>
            <w:r>
              <w:rPr>
                <w:rFonts w:eastAsia="Helvetica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</w:p>
        </w:tc>
        <w:tc>
          <w:tcPr>
            <w:tcW w:w="6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B9B99" w14:textId="77777777" w:rsidR="00144D0A" w:rsidRPr="00BD5B23" w:rsidRDefault="00144D0A" w:rsidP="003F212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D5B23">
              <w:rPr>
                <w:rFonts w:eastAsia="Helvetica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Patients with symptom onset-to-admission time between 4 and 24 h. Excluding patients transferred for thrombolysis, patients receiving thrombolysis at a referring hospital, patients with documented pre-stroke anticoagulation, and patients undergoing isolated mechanical thrombectomy without IVT</w:t>
            </w:r>
            <w:r w:rsidRPr="00740412">
              <w:rPr>
                <w:rFonts w:eastAsia="Helvetica" w:cstheme="minorHAnsi"/>
                <w:color w:val="000000"/>
                <w:kern w:val="0"/>
                <w:lang w:val="en-US"/>
                <w14:ligatures w14:val="none"/>
              </w:rPr>
              <w:t xml:space="preserve"> </w:t>
            </w:r>
            <w:r w:rsidRPr="001B200F">
              <w:rPr>
                <w:rFonts w:cstheme="minorHAnsi"/>
                <w:lang w:val="en-US"/>
              </w:rPr>
              <w:t>ᵃ</w:t>
            </w:r>
            <w:r>
              <w:rPr>
                <w:rFonts w:cstheme="minorHAnsi"/>
                <w:lang w:val="en-US"/>
              </w:rPr>
              <w:t xml:space="preserve"> </w:t>
            </w:r>
          </w:p>
        </w:tc>
        <w:tc>
          <w:tcPr>
            <w:tcW w:w="11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D1F56" w14:textId="77777777" w:rsidR="00144D0A" w:rsidRPr="00BD5B23" w:rsidRDefault="00144D0A" w:rsidP="003F212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D5B23">
              <w:rPr>
                <w:rFonts w:eastAsia="Helvetica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13,282</w:t>
            </w:r>
          </w:p>
        </w:tc>
      </w:tr>
      <w:tr w:rsidR="00144D0A" w:rsidRPr="00BD5B23" w14:paraId="269B5D02" w14:textId="77777777" w:rsidTr="003F212F">
        <w:trPr>
          <w:trHeight w:val="1298"/>
        </w:trPr>
        <w:tc>
          <w:tcPr>
            <w:tcW w:w="22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81CAA" w14:textId="77777777" w:rsidR="00144D0A" w:rsidRPr="00BD5B23" w:rsidRDefault="00144D0A" w:rsidP="003F212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Helvetica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IVT Wake-Up-Stroke</w:t>
            </w:r>
          </w:p>
        </w:tc>
        <w:tc>
          <w:tcPr>
            <w:tcW w:w="6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053D8" w14:textId="77777777" w:rsidR="00144D0A" w:rsidRPr="00BD5B23" w:rsidRDefault="00144D0A" w:rsidP="003F212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Helvetica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Patients with unknown symptom onset (Wake-up-Stroke). </w:t>
            </w:r>
            <w:r w:rsidRPr="00A32A61">
              <w:rPr>
                <w:rFonts w:eastAsia="Helvetica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Excluding patients transferred for thrombolysis, patients receiving thrombolysis at a referring hospital, patients with documented pre-stroke anticoagulation, and</w:t>
            </w:r>
            <w:r>
              <w:rPr>
                <w:rFonts w:eastAsia="Helvetica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r w:rsidRPr="00A32A61">
              <w:rPr>
                <w:rFonts w:eastAsia="Helvetica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patients undergoing isolated mechanical thrombectomy without IVT</w:t>
            </w:r>
          </w:p>
        </w:tc>
        <w:tc>
          <w:tcPr>
            <w:tcW w:w="11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D3948" w14:textId="77777777" w:rsidR="00144D0A" w:rsidRPr="00BD5B23" w:rsidRDefault="00144D0A" w:rsidP="003F212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Helvetica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2,284</w:t>
            </w:r>
          </w:p>
        </w:tc>
      </w:tr>
      <w:tr w:rsidR="00144D0A" w:rsidRPr="00BD5B23" w14:paraId="4A35A93F" w14:textId="77777777" w:rsidTr="003F212F">
        <w:trPr>
          <w:trHeight w:val="778"/>
        </w:trPr>
        <w:tc>
          <w:tcPr>
            <w:tcW w:w="22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BD4E4" w14:textId="77777777" w:rsidR="00144D0A" w:rsidRPr="00BD5B23" w:rsidRDefault="00144D0A" w:rsidP="003F212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D5B23">
              <w:rPr>
                <w:rFonts w:eastAsia="Helvetica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Overall door-to-needle time (DTN)</w:t>
            </w:r>
          </w:p>
        </w:tc>
        <w:tc>
          <w:tcPr>
            <w:tcW w:w="6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30D63" w14:textId="77777777" w:rsidR="00144D0A" w:rsidRPr="00BD5B23" w:rsidRDefault="00144D0A" w:rsidP="003F212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D5B23">
              <w:rPr>
                <w:rFonts w:eastAsia="Helvetica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Patients receiving IVT in the treating hospital. In-hospital strokes excluded. Analyses restricted to documented DTN values between 0 and 120 min.</w:t>
            </w:r>
          </w:p>
        </w:tc>
        <w:tc>
          <w:tcPr>
            <w:tcW w:w="11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571A5" w14:textId="77777777" w:rsidR="00144D0A" w:rsidRPr="00BD5B23" w:rsidRDefault="00144D0A" w:rsidP="003F212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D5B23">
              <w:rPr>
                <w:rFonts w:eastAsia="Helvetica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10,712</w:t>
            </w:r>
          </w:p>
        </w:tc>
      </w:tr>
      <w:tr w:rsidR="00144D0A" w:rsidRPr="00BD5B23" w14:paraId="73CC1AAC" w14:textId="77777777" w:rsidTr="003F212F">
        <w:trPr>
          <w:trHeight w:val="778"/>
        </w:trPr>
        <w:tc>
          <w:tcPr>
            <w:tcW w:w="22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ABBB8" w14:textId="77777777" w:rsidR="00144D0A" w:rsidRPr="00BD5B23" w:rsidRDefault="00144D0A" w:rsidP="003F212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D5B23">
              <w:rPr>
                <w:rFonts w:eastAsia="Helvetica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DTN ≤60 min</w:t>
            </w:r>
          </w:p>
        </w:tc>
        <w:tc>
          <w:tcPr>
            <w:tcW w:w="6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02F8D" w14:textId="77777777" w:rsidR="00144D0A" w:rsidRPr="00BD5B23" w:rsidRDefault="00144D0A" w:rsidP="003F212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D5B23">
              <w:rPr>
                <w:rFonts w:eastAsia="Helvetica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Patients with acute ischemic stroke receiving IVT in the treating hospital and symptom onset-to-admission time ≤4 h. In-hospital strokes excluded.</w:t>
            </w:r>
          </w:p>
        </w:tc>
        <w:tc>
          <w:tcPr>
            <w:tcW w:w="11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D066C" w14:textId="77777777" w:rsidR="00144D0A" w:rsidRPr="00BD5B23" w:rsidRDefault="00144D0A" w:rsidP="003F212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D5B23">
              <w:rPr>
                <w:rFonts w:eastAsia="Helvetica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7,948</w:t>
            </w:r>
          </w:p>
        </w:tc>
      </w:tr>
      <w:tr w:rsidR="00144D0A" w:rsidRPr="00BD5B23" w14:paraId="26405B20" w14:textId="77777777" w:rsidTr="003F212F">
        <w:trPr>
          <w:trHeight w:val="778"/>
        </w:trPr>
        <w:tc>
          <w:tcPr>
            <w:tcW w:w="2205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83696" w14:textId="77777777" w:rsidR="00144D0A" w:rsidRPr="00BD5B23" w:rsidRDefault="00144D0A" w:rsidP="003F212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D5B23">
              <w:rPr>
                <w:rFonts w:eastAsia="Helvetica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DTN ≤30 min</w:t>
            </w:r>
          </w:p>
        </w:tc>
        <w:tc>
          <w:tcPr>
            <w:tcW w:w="606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30D4E" w14:textId="77777777" w:rsidR="00144D0A" w:rsidRPr="00BD5B23" w:rsidRDefault="00144D0A" w:rsidP="003F212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D5B23">
              <w:rPr>
                <w:rFonts w:eastAsia="Helvetica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Patients with acute ischemic stroke receiving IVT in the treating hospital and symptom onset-to-admission time ≤4 h. In-hospital strokes excluded.</w:t>
            </w:r>
          </w:p>
        </w:tc>
        <w:tc>
          <w:tcPr>
            <w:tcW w:w="110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24A12" w14:textId="77777777" w:rsidR="00144D0A" w:rsidRPr="00BD5B23" w:rsidRDefault="00144D0A" w:rsidP="003F212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D5B23">
              <w:rPr>
                <w:rFonts w:eastAsia="Helvetica" w:cstheme="minorHAnsi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7,948</w:t>
            </w:r>
          </w:p>
        </w:tc>
      </w:tr>
    </w:tbl>
    <w:p w14:paraId="0DF49226" w14:textId="77777777" w:rsidR="00144D0A" w:rsidRPr="003C1EFD" w:rsidRDefault="00144D0A" w:rsidP="00144D0A">
      <w:pPr>
        <w:rPr>
          <w:rFonts w:cstheme="minorHAnsi"/>
          <w:lang w:val="en-US"/>
        </w:rPr>
      </w:pPr>
    </w:p>
    <w:p w14:paraId="7A978621" w14:textId="77777777" w:rsidR="00144D0A" w:rsidRPr="00667963" w:rsidRDefault="00144D0A" w:rsidP="00144D0A">
      <w:pPr>
        <w:rPr>
          <w:rFonts w:cstheme="minorHAnsi"/>
          <w:sz w:val="20"/>
          <w:szCs w:val="20"/>
          <w:lang w:val="en-US"/>
        </w:rPr>
      </w:pPr>
      <w:r w:rsidRPr="00667963">
        <w:rPr>
          <w:rFonts w:cstheme="minorHAnsi"/>
          <w:sz w:val="20"/>
          <w:szCs w:val="20"/>
          <w:lang w:val="en-US"/>
        </w:rPr>
        <w:t>ᵃ Patients presenting within 4 h after symptom onset were included to allow sufficient time for in-hospital evaluation and treatment within the approved 4.5-h treatment window.</w:t>
      </w:r>
    </w:p>
    <w:p w14:paraId="2201A763" w14:textId="77777777" w:rsidR="00144D0A" w:rsidRPr="001A5728" w:rsidRDefault="00144D0A" w:rsidP="00144D0A">
      <w:pPr>
        <w:rPr>
          <w:rFonts w:cstheme="minorHAnsi"/>
          <w:sz w:val="20"/>
          <w:szCs w:val="20"/>
          <w:lang w:val="en-US"/>
        </w:rPr>
      </w:pPr>
      <w:r w:rsidRPr="00667963">
        <w:rPr>
          <w:rFonts w:cstheme="minorHAnsi"/>
          <w:sz w:val="20"/>
          <w:szCs w:val="20"/>
          <w:lang w:val="en-US"/>
        </w:rPr>
        <w:t xml:space="preserve">ᵇ </w:t>
      </w:r>
      <w:r w:rsidRPr="001A5728">
        <w:rPr>
          <w:rFonts w:cstheme="minorHAnsi"/>
          <w:sz w:val="20"/>
          <w:szCs w:val="20"/>
          <w:lang w:val="en-US"/>
        </w:rPr>
        <w:t>Numbers refer to the initial analysis populations. Final sample sizes of multivariable regression models were slightly smaller because of missing values in individual covariates.</w:t>
      </w:r>
    </w:p>
    <w:p w14:paraId="347F3D22" w14:textId="77777777" w:rsidR="00144D0A" w:rsidRPr="00667963" w:rsidRDefault="00144D0A" w:rsidP="00144D0A">
      <w:pPr>
        <w:rPr>
          <w:rFonts w:cstheme="minorHAnsi"/>
          <w:sz w:val="20"/>
          <w:szCs w:val="20"/>
          <w:lang w:val="en-US"/>
        </w:rPr>
      </w:pPr>
      <w:r w:rsidRPr="00667963">
        <w:rPr>
          <w:rFonts w:cstheme="minorHAnsi"/>
          <w:b/>
          <w:bCs/>
          <w:sz w:val="20"/>
          <w:szCs w:val="20"/>
          <w:lang w:val="en-US"/>
        </w:rPr>
        <w:t>Abbreviations:</w:t>
      </w:r>
      <w:r w:rsidRPr="00667963">
        <w:rPr>
          <w:rFonts w:cstheme="minorHAnsi"/>
          <w:sz w:val="20"/>
          <w:szCs w:val="20"/>
          <w:lang w:val="en-US"/>
        </w:rPr>
        <w:t xml:space="preserve"> IVT, intravenous thrombolysis; DTN, door-to-needle time.</w:t>
      </w:r>
    </w:p>
    <w:p w14:paraId="105915B9" w14:textId="77777777" w:rsidR="00144D0A" w:rsidRPr="00BD5B23" w:rsidRDefault="00144D0A" w:rsidP="00144D0A">
      <w:pPr>
        <w:keepNext/>
        <w:widowControl w:val="0"/>
        <w:rPr>
          <w:rFonts w:cstheme="minorHAnsi"/>
          <w:b/>
          <w:bCs/>
          <w:lang w:val="en-US"/>
        </w:rPr>
      </w:pPr>
    </w:p>
    <w:p w14:paraId="44A321EA" w14:textId="77777777" w:rsidR="00144D0A" w:rsidRPr="00BD5B23" w:rsidRDefault="00144D0A" w:rsidP="00144D0A">
      <w:pPr>
        <w:keepLines/>
        <w:rPr>
          <w:rFonts w:cstheme="minorHAnsi"/>
          <w:b/>
          <w:bCs/>
          <w:lang w:val="en-US"/>
        </w:rPr>
      </w:pPr>
    </w:p>
    <w:p w14:paraId="4158E154" w14:textId="77777777" w:rsidR="00144D0A" w:rsidRDefault="00144D0A" w:rsidP="00144D0A">
      <w:pPr>
        <w:rPr>
          <w:lang w:val="en-US"/>
        </w:rPr>
      </w:pPr>
    </w:p>
    <w:p w14:paraId="09C92CC2" w14:textId="77777777" w:rsidR="00144D0A" w:rsidRDefault="00144D0A" w:rsidP="00144D0A">
      <w:pPr>
        <w:rPr>
          <w:lang w:val="en-US"/>
        </w:rPr>
      </w:pPr>
    </w:p>
    <w:p w14:paraId="05C6CEC5" w14:textId="77777777" w:rsidR="00144D0A" w:rsidRDefault="00144D0A" w:rsidP="00144D0A">
      <w:pPr>
        <w:rPr>
          <w:lang w:val="en-US"/>
        </w:rPr>
      </w:pPr>
    </w:p>
    <w:p w14:paraId="36F70933" w14:textId="77777777" w:rsidR="00144D0A" w:rsidRDefault="00144D0A" w:rsidP="00144D0A">
      <w:pPr>
        <w:rPr>
          <w:lang w:val="en-US"/>
        </w:rPr>
      </w:pPr>
    </w:p>
    <w:p w14:paraId="7574C520" w14:textId="77777777" w:rsidR="0073366A" w:rsidRPr="00144D0A" w:rsidRDefault="0073366A">
      <w:pPr>
        <w:rPr>
          <w:lang w:val="en-US"/>
        </w:rPr>
      </w:pPr>
    </w:p>
    <w:sectPr w:rsidR="0073366A" w:rsidRPr="00144D0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D0A"/>
    <w:rsid w:val="00144D0A"/>
    <w:rsid w:val="0073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673A5"/>
  <w15:chartTrackingRefBased/>
  <w15:docId w15:val="{4D425394-3AF3-477A-A9B9-D05B883FF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44D0A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5">
    <w:name w:val="s5"/>
    <w:basedOn w:val="Standard"/>
    <w:rsid w:val="00144D0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1943</Characters>
  <Application>Microsoft Office Word</Application>
  <DocSecurity>0</DocSecurity>
  <Lines>16</Lines>
  <Paragraphs>4</Paragraphs>
  <ScaleCrop>false</ScaleCrop>
  <Company>Klinikum Fulda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Neumann-Haefelin, Tobias, Prof. Dr.</dc:creator>
  <cp:keywords/>
  <dc:description/>
  <cp:lastModifiedBy>Neumann-Haefelin, Tobias, Prof. Dr.</cp:lastModifiedBy>
  <cp:revision>1</cp:revision>
  <dcterms:created xsi:type="dcterms:W3CDTF">2026-07-15T11:37:00Z</dcterms:created>
  <dcterms:modified xsi:type="dcterms:W3CDTF">2026-07-15T11:38:00Z</dcterms:modified>
</cp:coreProperties>
</file>