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E625E" w14:textId="77777777" w:rsidR="007654C3" w:rsidRDefault="007654C3" w:rsidP="007654C3">
      <w:pPr>
        <w:spacing w:line="256" w:lineRule="auto"/>
        <w:rPr>
          <w:rFonts w:ascii="Calibri" w:hAnsi="Calibri" w:cs="Calibri"/>
          <w:b/>
          <w:bCs/>
        </w:rPr>
      </w:pPr>
      <w:r>
        <w:rPr>
          <w:rFonts w:ascii="Calibri" w:hAnsi="Calibri" w:cs="Calibri"/>
          <w:b/>
        </w:rPr>
        <w:t>Decision-Making Factors in Housing Transitions Among Older Adults in Europe: A Scoping Review of Qualitative Studies</w:t>
      </w:r>
    </w:p>
    <w:p w14:paraId="53D0A6E9" w14:textId="241C5927" w:rsidR="007654C3" w:rsidRDefault="0062438C" w:rsidP="007654C3">
      <w:pPr>
        <w:spacing w:line="256" w:lineRule="auto"/>
        <w:rPr>
          <w:rFonts w:ascii="Calibri" w:eastAsia="新細明體" w:hAnsi="Calibri" w:cs="Calibri"/>
          <w:b/>
        </w:rPr>
      </w:pPr>
      <w:r>
        <w:rPr>
          <w:rFonts w:ascii="Calibri" w:eastAsia="新細明體" w:hAnsi="Calibri" w:cs="Calibri"/>
          <w:b/>
        </w:rPr>
        <w:t>Supplementary material</w:t>
      </w:r>
    </w:p>
    <w:p w14:paraId="2F8E6005" w14:textId="0FEF6E64" w:rsidR="006E1C80" w:rsidRPr="0062438C" w:rsidRDefault="007654C3" w:rsidP="0062438C">
      <w:pPr>
        <w:rPr>
          <w:rFonts w:ascii="Calibri" w:eastAsia="Calibri" w:hAnsi="Calibri" w:cs="Calibri"/>
          <w:bCs/>
          <w:sz w:val="22"/>
          <w:szCs w:val="22"/>
        </w:rPr>
        <w:sectPr w:rsidR="006E1C80" w:rsidRPr="0062438C" w:rsidSect="0062438C">
          <w:footerReference w:type="default" r:id="rId6"/>
          <w:pgSz w:w="11906" w:h="16838"/>
          <w:pgMar w:top="1440" w:right="1440" w:bottom="1440" w:left="1440" w:header="851" w:footer="992" w:gutter="0"/>
          <w:cols w:space="425"/>
          <w:docGrid w:type="lines" w:linePitch="360"/>
        </w:sectPr>
      </w:pPr>
      <w:r w:rsidRPr="0062438C">
        <w:rPr>
          <w:rFonts w:ascii="Calibri" w:eastAsia="新細明體" w:hAnsi="Calibri" w:cs="Calibri"/>
          <w:bCs/>
        </w:rPr>
        <w:t>Stephen S.Y. Chang, Marti Herrera van der Hoeven, Bruce Guthrie, Andrew Kingston,</w:t>
      </w:r>
      <w:r w:rsidR="0062438C" w:rsidRPr="0062438C">
        <w:rPr>
          <w:rFonts w:ascii="Calibri" w:eastAsia="新細明體" w:hAnsi="Calibri" w:cs="Calibri"/>
          <w:bCs/>
        </w:rPr>
        <w:t xml:space="preserve"> </w:t>
      </w:r>
      <w:r w:rsidRPr="0062438C">
        <w:rPr>
          <w:rFonts w:ascii="Calibri" w:eastAsia="新細明體" w:hAnsi="Calibri" w:cs="Calibri"/>
          <w:bCs/>
        </w:rPr>
        <w:t>Heather Wilkinson</w:t>
      </w:r>
    </w:p>
    <w:p w14:paraId="1D4C63B5" w14:textId="615C5DFB" w:rsidR="00D86B54" w:rsidRDefault="00EA06E3">
      <w:pPr>
        <w:spacing w:line="278" w:lineRule="auto"/>
        <w:rPr>
          <w:lang w:val="en-US"/>
        </w:rPr>
      </w:pPr>
      <w:r>
        <w:rPr>
          <w:rFonts w:ascii="Calibri" w:eastAsia="Calibri" w:hAnsi="Calibri" w:cs="Calibri"/>
          <w:b/>
          <w:bCs/>
          <w:sz w:val="22"/>
          <w:szCs w:val="22"/>
        </w:rPr>
        <w:lastRenderedPageBreak/>
        <w:t xml:space="preserve">Table S1 </w:t>
      </w:r>
      <w:r w:rsidR="00866DB4" w:rsidRPr="00797C72">
        <w:rPr>
          <w:lang w:val="en-US"/>
        </w:rPr>
        <w:t>Search query used</w:t>
      </w:r>
      <w:r w:rsidR="00866DB4">
        <w:rPr>
          <w:lang w:val="en-US"/>
        </w:rPr>
        <w:t xml:space="preserve"> in each database</w:t>
      </w:r>
    </w:p>
    <w:tbl>
      <w:tblPr>
        <w:tblStyle w:val="TableGrid"/>
        <w:tblW w:w="13575" w:type="dxa"/>
        <w:tblLayout w:type="fixed"/>
        <w:tblLook w:val="04A0" w:firstRow="1" w:lastRow="0" w:firstColumn="1" w:lastColumn="0" w:noHBand="0" w:noVBand="1"/>
      </w:tblPr>
      <w:tblGrid>
        <w:gridCol w:w="1841"/>
        <w:gridCol w:w="11734"/>
      </w:tblGrid>
      <w:tr w:rsidR="00BD2848" w:rsidRPr="00797C72" w14:paraId="1D33D895" w14:textId="77777777" w:rsidTr="005F6CF2">
        <w:tc>
          <w:tcPr>
            <w:tcW w:w="678" w:type="pct"/>
            <w:hideMark/>
          </w:tcPr>
          <w:p w14:paraId="7E70DBBE" w14:textId="77777777" w:rsidR="00AC6ADA" w:rsidRPr="005F6CF2" w:rsidRDefault="00AC6ADA" w:rsidP="005F6CF2">
            <w:pPr>
              <w:spacing w:line="240" w:lineRule="auto"/>
              <w:jc w:val="center"/>
              <w:rPr>
                <w:b/>
                <w:bCs/>
                <w:sz w:val="22"/>
                <w:szCs w:val="22"/>
                <w:lang w:val="en-US"/>
              </w:rPr>
            </w:pPr>
            <w:r w:rsidRPr="005F6CF2">
              <w:rPr>
                <w:sz w:val="22"/>
                <w:szCs w:val="22"/>
                <w:lang w:val="en-US"/>
              </w:rPr>
              <w:t>Database</w:t>
            </w:r>
          </w:p>
        </w:tc>
        <w:tc>
          <w:tcPr>
            <w:tcW w:w="4322" w:type="pct"/>
            <w:hideMark/>
          </w:tcPr>
          <w:p w14:paraId="4AAB0035" w14:textId="77777777" w:rsidR="00AC6ADA" w:rsidRPr="005F6CF2" w:rsidRDefault="00AC6ADA" w:rsidP="005F6CF2">
            <w:pPr>
              <w:spacing w:line="240" w:lineRule="auto"/>
              <w:jc w:val="center"/>
              <w:rPr>
                <w:b/>
                <w:bCs/>
                <w:sz w:val="22"/>
                <w:szCs w:val="22"/>
                <w:lang w:val="en-US"/>
              </w:rPr>
            </w:pPr>
            <w:r w:rsidRPr="005F6CF2">
              <w:rPr>
                <w:sz w:val="22"/>
                <w:szCs w:val="22"/>
                <w:lang w:val="en-US"/>
              </w:rPr>
              <w:t>Search query</w:t>
            </w:r>
          </w:p>
        </w:tc>
      </w:tr>
      <w:tr w:rsidR="00BD2848" w:rsidRPr="00797C72" w14:paraId="266B33B6" w14:textId="77777777" w:rsidTr="005F6CF2">
        <w:tc>
          <w:tcPr>
            <w:tcW w:w="678" w:type="pct"/>
            <w:hideMark/>
          </w:tcPr>
          <w:p w14:paraId="6908921C" w14:textId="77777777" w:rsidR="00AC6ADA" w:rsidRPr="00010426" w:rsidRDefault="00AC6ADA" w:rsidP="005F6CF2">
            <w:pPr>
              <w:spacing w:line="240" w:lineRule="auto"/>
              <w:jc w:val="center"/>
              <w:rPr>
                <w:b/>
                <w:bCs/>
                <w:sz w:val="22"/>
                <w:szCs w:val="22"/>
                <w:lang w:val="en-US"/>
              </w:rPr>
            </w:pPr>
            <w:r w:rsidRPr="00010426">
              <w:rPr>
                <w:sz w:val="22"/>
                <w:szCs w:val="22"/>
                <w:lang w:val="en-US"/>
              </w:rPr>
              <w:t>Scopus</w:t>
            </w:r>
          </w:p>
        </w:tc>
        <w:tc>
          <w:tcPr>
            <w:tcW w:w="4322" w:type="pct"/>
            <w:hideMark/>
          </w:tcPr>
          <w:p w14:paraId="146C8AE3"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val="en-US" w:eastAsia="en-US"/>
                <w14:ligatures w14:val="standardContextual"/>
              </w:rPr>
              <w:t>(elder$ OR "older people" OR seniors OR aged OR "aging population" OR "older adults") </w:t>
            </w:r>
          </w:p>
          <w:p w14:paraId="2318D692"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eastAsia="en-US"/>
                <w14:ligatures w14:val="standardContextual"/>
              </w:rPr>
              <w:t>AND</w:t>
            </w:r>
            <w:r w:rsidRPr="00010426">
              <w:rPr>
                <w:rFonts w:eastAsiaTheme="minorHAnsi"/>
                <w:sz w:val="22"/>
                <w:szCs w:val="22"/>
                <w:lang w:val="en-US" w:eastAsia="en-US"/>
                <w14:ligatures w14:val="standardContextual"/>
              </w:rPr>
              <w:t> </w:t>
            </w:r>
          </w:p>
          <w:p w14:paraId="0AEC6A0C"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val="en-US" w:eastAsia="en-US"/>
                <w14:ligatures w14:val="standardContextual"/>
              </w:rPr>
              <w:t>("transition of home" OR "moving house" OR “relocation” OR "residential change" OR “housing move” OR "residential transition" OR "aging in place" OR “displacement” OR "housing change" OR "change of residence" OR "downsizing home" OR "upsizing home" OR "rightsizing home") </w:t>
            </w:r>
          </w:p>
          <w:p w14:paraId="2AACFB05"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eastAsia="en-US"/>
                <w14:ligatures w14:val="standardContextual"/>
              </w:rPr>
              <w:t>AND</w:t>
            </w:r>
            <w:r w:rsidRPr="00010426">
              <w:rPr>
                <w:rFonts w:eastAsiaTheme="minorHAnsi"/>
                <w:sz w:val="22"/>
                <w:szCs w:val="22"/>
                <w:lang w:val="en-US" w:eastAsia="en-US"/>
                <w14:ligatures w14:val="standardContextual"/>
              </w:rPr>
              <w:t> </w:t>
            </w:r>
          </w:p>
          <w:p w14:paraId="4926AC2F"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val="en-US" w:eastAsia="en-US"/>
                <w14:ligatures w14:val="standardContextual"/>
              </w:rPr>
              <w:t>("decision making" OR "decision factors" OR "factors influencing" OR "decision processes" OR "choice behavior" OR "motivation" OR "barriers" OR "facilitators" OR "lived experience" OR "perceptions" OR "attitudes") </w:t>
            </w:r>
          </w:p>
          <w:p w14:paraId="6BA857D8"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eastAsia="en-US"/>
                <w14:ligatures w14:val="standardContextual"/>
              </w:rPr>
              <w:t>AND</w:t>
            </w:r>
            <w:r w:rsidRPr="00010426">
              <w:rPr>
                <w:rFonts w:eastAsiaTheme="minorHAnsi"/>
                <w:sz w:val="22"/>
                <w:szCs w:val="22"/>
                <w:lang w:val="en-US" w:eastAsia="en-US"/>
                <w14:ligatures w14:val="standardContextual"/>
              </w:rPr>
              <w:t> </w:t>
            </w:r>
          </w:p>
          <w:p w14:paraId="343EF254"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val="en-US" w:eastAsia="en-US"/>
                <w14:ligatures w14:val="standardContextual"/>
              </w:rPr>
              <w:t>("qualitative research" OR "qualitative study" OR "qualitative approach" OR interviews OR "focus groups" OR </w:t>
            </w:r>
            <w:proofErr w:type="spellStart"/>
            <w:r w:rsidRPr="00010426">
              <w:rPr>
                <w:rFonts w:eastAsiaTheme="minorHAnsi"/>
                <w:sz w:val="22"/>
                <w:szCs w:val="22"/>
                <w:lang w:val="en-US" w:eastAsia="en-US"/>
                <w14:ligatures w14:val="standardContextual"/>
              </w:rPr>
              <w:t>ethnograph</w:t>
            </w:r>
            <w:proofErr w:type="spellEnd"/>
            <w:r w:rsidRPr="00010426">
              <w:rPr>
                <w:rFonts w:eastAsiaTheme="minorHAnsi"/>
                <w:sz w:val="22"/>
                <w:szCs w:val="22"/>
                <w:lang w:val="en-US" w:eastAsia="en-US"/>
                <w14:ligatures w14:val="standardContextual"/>
              </w:rPr>
              <w:t>$ OR "narrative research" OR "thematic analysis" OR "grounded theory" OR </w:t>
            </w:r>
            <w:proofErr w:type="spellStart"/>
            <w:r w:rsidRPr="00010426">
              <w:rPr>
                <w:rFonts w:eastAsiaTheme="minorHAnsi"/>
                <w:sz w:val="22"/>
                <w:szCs w:val="22"/>
                <w:lang w:val="en-US" w:eastAsia="en-US"/>
                <w14:ligatures w14:val="standardContextual"/>
              </w:rPr>
              <w:t>phenomenolog</w:t>
            </w:r>
            <w:proofErr w:type="spellEnd"/>
            <w:r w:rsidRPr="00010426">
              <w:rPr>
                <w:rFonts w:eastAsiaTheme="minorHAnsi"/>
                <w:sz w:val="22"/>
                <w:szCs w:val="22"/>
                <w:lang w:val="en-US" w:eastAsia="en-US"/>
                <w14:ligatures w14:val="standardContextual"/>
              </w:rPr>
              <w:t>$ OR "case study" OR "lived experience") </w:t>
            </w:r>
          </w:p>
          <w:p w14:paraId="354B5791" w14:textId="77777777" w:rsidR="00AC6ADA" w:rsidRPr="00010426" w:rsidRDefault="00AC6ADA" w:rsidP="005F6CF2">
            <w:pPr>
              <w:spacing w:line="240" w:lineRule="auto"/>
              <w:jc w:val="center"/>
              <w:rPr>
                <w:sz w:val="22"/>
                <w:szCs w:val="22"/>
                <w:lang w:val="en-US"/>
              </w:rPr>
            </w:pPr>
          </w:p>
        </w:tc>
      </w:tr>
      <w:tr w:rsidR="00BD2848" w:rsidRPr="00797C72" w14:paraId="39D8EEDC" w14:textId="77777777" w:rsidTr="005F6CF2">
        <w:tc>
          <w:tcPr>
            <w:tcW w:w="678" w:type="pct"/>
          </w:tcPr>
          <w:p w14:paraId="79ABA561" w14:textId="77777777" w:rsidR="00AC6ADA" w:rsidRPr="00010426" w:rsidRDefault="00AC6ADA" w:rsidP="005F6CF2">
            <w:pPr>
              <w:spacing w:line="240" w:lineRule="auto"/>
              <w:jc w:val="center"/>
              <w:rPr>
                <w:sz w:val="22"/>
                <w:szCs w:val="22"/>
                <w:lang w:val="en-US"/>
              </w:rPr>
            </w:pPr>
            <w:r w:rsidRPr="00010426">
              <w:rPr>
                <w:sz w:val="22"/>
                <w:szCs w:val="22"/>
                <w:lang w:val="en-US"/>
              </w:rPr>
              <w:t>Web of Science (</w:t>
            </w:r>
            <w:proofErr w:type="spellStart"/>
            <w:r w:rsidRPr="00010426">
              <w:rPr>
                <w:sz w:val="22"/>
                <w:szCs w:val="22"/>
                <w:lang w:val="en-US"/>
              </w:rPr>
              <w:t>WoS</w:t>
            </w:r>
            <w:proofErr w:type="spellEnd"/>
            <w:r w:rsidRPr="00010426">
              <w:rPr>
                <w:sz w:val="22"/>
                <w:szCs w:val="22"/>
                <w:lang w:val="en-US"/>
              </w:rPr>
              <w:t>)</w:t>
            </w:r>
          </w:p>
          <w:p w14:paraId="48F47964" w14:textId="77777777" w:rsidR="00AC6ADA" w:rsidRPr="00010426" w:rsidRDefault="00AC6ADA" w:rsidP="005F6CF2">
            <w:pPr>
              <w:spacing w:line="240" w:lineRule="auto"/>
              <w:jc w:val="center"/>
              <w:rPr>
                <w:b/>
                <w:bCs/>
                <w:sz w:val="22"/>
                <w:szCs w:val="22"/>
                <w:lang w:val="en-US"/>
              </w:rPr>
            </w:pPr>
          </w:p>
        </w:tc>
        <w:tc>
          <w:tcPr>
            <w:tcW w:w="4322" w:type="pct"/>
          </w:tcPr>
          <w:p w14:paraId="49AEC9F3" w14:textId="77777777" w:rsidR="00EE245F" w:rsidRPr="005F6CF2" w:rsidRDefault="00EE245F" w:rsidP="005F6CF2">
            <w:pPr>
              <w:spacing w:line="240" w:lineRule="auto"/>
              <w:jc w:val="center"/>
              <w:rPr>
                <w:sz w:val="22"/>
                <w:szCs w:val="22"/>
                <w:lang w:val="en-US"/>
              </w:rPr>
            </w:pPr>
            <w:r w:rsidRPr="005F6CF2">
              <w:rPr>
                <w:sz w:val="22"/>
                <w:szCs w:val="22"/>
                <w:lang w:val="en-US"/>
              </w:rPr>
              <w:t>TS</w:t>
            </w:r>
            <w:proofErr w:type="gramStart"/>
            <w:r w:rsidRPr="005F6CF2">
              <w:rPr>
                <w:sz w:val="22"/>
                <w:szCs w:val="22"/>
                <w:lang w:val="en-US"/>
              </w:rPr>
              <w:t>=(</w:t>
            </w:r>
            <w:proofErr w:type="gramEnd"/>
            <w:r w:rsidRPr="005F6CF2">
              <w:rPr>
                <w:sz w:val="22"/>
                <w:szCs w:val="22"/>
                <w:lang w:val="en-US"/>
              </w:rPr>
              <w:t>elder* OR "older people" OR seniors OR aged OR "aging population" OR "older adults")  </w:t>
            </w:r>
          </w:p>
          <w:p w14:paraId="51864512" w14:textId="77777777" w:rsidR="00EE245F" w:rsidRPr="005F6CF2" w:rsidRDefault="00EE245F" w:rsidP="005F6CF2">
            <w:pPr>
              <w:spacing w:line="240" w:lineRule="auto"/>
              <w:jc w:val="center"/>
              <w:rPr>
                <w:sz w:val="22"/>
                <w:szCs w:val="22"/>
                <w:lang w:val="en-US"/>
              </w:rPr>
            </w:pPr>
            <w:r w:rsidRPr="005F6CF2">
              <w:rPr>
                <w:sz w:val="22"/>
                <w:szCs w:val="22"/>
                <w:lang w:val="en-US"/>
              </w:rPr>
              <w:t>AND  </w:t>
            </w:r>
          </w:p>
          <w:p w14:paraId="27149C8E" w14:textId="77777777" w:rsidR="00EE245F" w:rsidRPr="005F6CF2" w:rsidRDefault="00EE245F" w:rsidP="005F6CF2">
            <w:pPr>
              <w:spacing w:line="240" w:lineRule="auto"/>
              <w:jc w:val="center"/>
              <w:rPr>
                <w:sz w:val="22"/>
                <w:szCs w:val="22"/>
                <w:lang w:val="en-US"/>
              </w:rPr>
            </w:pPr>
            <w:r w:rsidRPr="005F6CF2">
              <w:rPr>
                <w:sz w:val="22"/>
                <w:szCs w:val="22"/>
                <w:lang w:val="en-US"/>
              </w:rPr>
              <w:t>TS</w:t>
            </w:r>
            <w:proofErr w:type="gramStart"/>
            <w:r w:rsidRPr="005F6CF2">
              <w:rPr>
                <w:sz w:val="22"/>
                <w:szCs w:val="22"/>
                <w:lang w:val="en-US"/>
              </w:rPr>
              <w:t>=(</w:t>
            </w:r>
            <w:proofErr w:type="gramEnd"/>
            <w:r w:rsidRPr="005F6CF2">
              <w:rPr>
                <w:sz w:val="22"/>
                <w:szCs w:val="22"/>
                <w:lang w:val="en-US"/>
              </w:rPr>
              <w:t>"home transition" OR "moving house" OR relocation OR "residential change" OR "housing move" OR "residential transition" OR "aging in place" OR displacement OR "housing change" OR "change of residence" OR "downsizing" OR "upsizing" OR "rightsizing")   </w:t>
            </w:r>
          </w:p>
          <w:p w14:paraId="5CC6C555" w14:textId="77777777" w:rsidR="00EE245F" w:rsidRPr="005F6CF2" w:rsidRDefault="00EE245F" w:rsidP="005F6CF2">
            <w:pPr>
              <w:spacing w:line="240" w:lineRule="auto"/>
              <w:jc w:val="center"/>
              <w:rPr>
                <w:sz w:val="22"/>
                <w:szCs w:val="22"/>
                <w:lang w:val="en-US"/>
              </w:rPr>
            </w:pPr>
            <w:r w:rsidRPr="005F6CF2">
              <w:rPr>
                <w:sz w:val="22"/>
                <w:szCs w:val="22"/>
                <w:lang w:val="en-US"/>
              </w:rPr>
              <w:t>AND  </w:t>
            </w:r>
          </w:p>
          <w:p w14:paraId="508D2E3C" w14:textId="77777777" w:rsidR="00EE245F" w:rsidRPr="005F6CF2" w:rsidRDefault="00EE245F" w:rsidP="005F6CF2">
            <w:pPr>
              <w:spacing w:line="240" w:lineRule="auto"/>
              <w:jc w:val="center"/>
              <w:rPr>
                <w:sz w:val="22"/>
                <w:szCs w:val="22"/>
                <w:lang w:val="en-US"/>
              </w:rPr>
            </w:pPr>
            <w:r w:rsidRPr="005F6CF2">
              <w:rPr>
                <w:sz w:val="22"/>
                <w:szCs w:val="22"/>
                <w:lang w:val="en-US"/>
              </w:rPr>
              <w:t>TS</w:t>
            </w:r>
            <w:proofErr w:type="gramStart"/>
            <w:r w:rsidRPr="005F6CF2">
              <w:rPr>
                <w:sz w:val="22"/>
                <w:szCs w:val="22"/>
                <w:lang w:val="en-US"/>
              </w:rPr>
              <w:t>=(</w:t>
            </w:r>
            <w:proofErr w:type="gramEnd"/>
            <w:r w:rsidRPr="005F6CF2">
              <w:rPr>
                <w:sz w:val="22"/>
                <w:szCs w:val="22"/>
                <w:lang w:val="en-US"/>
              </w:rPr>
              <w:t>"decision making" OR "decision factors" OR "factors influencing" OR "decision processes" OR "choice behavior" OR "motivation" OR "barriers" OR "facilitators" OR "lived experience" OR "perceptions" OR "attitudes") </w:t>
            </w:r>
          </w:p>
          <w:p w14:paraId="5333A443" w14:textId="77777777" w:rsidR="00EE245F" w:rsidRPr="005F6CF2" w:rsidRDefault="00EE245F" w:rsidP="005F6CF2">
            <w:pPr>
              <w:spacing w:line="240" w:lineRule="auto"/>
              <w:jc w:val="center"/>
              <w:rPr>
                <w:sz w:val="22"/>
                <w:szCs w:val="22"/>
                <w:lang w:val="en-US"/>
              </w:rPr>
            </w:pPr>
            <w:r w:rsidRPr="005F6CF2">
              <w:rPr>
                <w:sz w:val="22"/>
                <w:szCs w:val="22"/>
              </w:rPr>
              <w:t>AND</w:t>
            </w:r>
            <w:r w:rsidRPr="005F6CF2">
              <w:rPr>
                <w:sz w:val="22"/>
                <w:szCs w:val="22"/>
                <w:lang w:val="en-US"/>
              </w:rPr>
              <w:t> </w:t>
            </w:r>
          </w:p>
          <w:p w14:paraId="7F3190D4" w14:textId="77777777" w:rsidR="00EE245F" w:rsidRPr="005F6CF2" w:rsidRDefault="00EE245F" w:rsidP="005F6CF2">
            <w:pPr>
              <w:spacing w:line="240" w:lineRule="auto"/>
              <w:jc w:val="center"/>
              <w:rPr>
                <w:sz w:val="22"/>
                <w:szCs w:val="22"/>
                <w:lang w:val="en-US"/>
              </w:rPr>
            </w:pPr>
            <w:r w:rsidRPr="005F6CF2">
              <w:rPr>
                <w:sz w:val="22"/>
                <w:szCs w:val="22"/>
                <w:lang w:val="en-US"/>
              </w:rPr>
              <w:lastRenderedPageBreak/>
              <w:t>TS</w:t>
            </w:r>
            <w:proofErr w:type="gramStart"/>
            <w:r w:rsidRPr="005F6CF2">
              <w:rPr>
                <w:sz w:val="22"/>
                <w:szCs w:val="22"/>
                <w:lang w:val="en-US"/>
              </w:rPr>
              <w:t>=(</w:t>
            </w:r>
            <w:proofErr w:type="gramEnd"/>
            <w:r w:rsidRPr="005F6CF2">
              <w:rPr>
                <w:sz w:val="22"/>
                <w:szCs w:val="22"/>
                <w:lang w:val="en-US"/>
              </w:rPr>
              <w:t>"qualitative research" OR "qualitative study" OR "qualitative approach" OR interviews OR "focus groups" OR </w:t>
            </w:r>
            <w:proofErr w:type="spellStart"/>
            <w:r w:rsidRPr="005F6CF2">
              <w:rPr>
                <w:sz w:val="22"/>
                <w:szCs w:val="22"/>
                <w:lang w:val="en-US"/>
              </w:rPr>
              <w:t>ethnograph</w:t>
            </w:r>
            <w:proofErr w:type="spellEnd"/>
            <w:r w:rsidRPr="005F6CF2">
              <w:rPr>
                <w:sz w:val="22"/>
                <w:szCs w:val="22"/>
                <w:lang w:val="en-US"/>
              </w:rPr>
              <w:t>* OR "narrative research" OR "thematic analysis" OR "grounded theory" OR </w:t>
            </w:r>
            <w:proofErr w:type="spellStart"/>
            <w:r w:rsidRPr="005F6CF2">
              <w:rPr>
                <w:sz w:val="22"/>
                <w:szCs w:val="22"/>
                <w:lang w:val="en-US"/>
              </w:rPr>
              <w:t>phenomenolog</w:t>
            </w:r>
            <w:proofErr w:type="spellEnd"/>
            <w:r w:rsidRPr="005F6CF2">
              <w:rPr>
                <w:sz w:val="22"/>
                <w:szCs w:val="22"/>
                <w:lang w:val="en-US"/>
              </w:rPr>
              <w:t>* OR "case study" OR "</w:t>
            </w:r>
            <w:proofErr w:type="gramStart"/>
            <w:r w:rsidRPr="005F6CF2">
              <w:rPr>
                <w:sz w:val="22"/>
                <w:szCs w:val="22"/>
                <w:lang w:val="en-US"/>
              </w:rPr>
              <w:t>lived</w:t>
            </w:r>
            <w:proofErr w:type="gramEnd"/>
            <w:r w:rsidRPr="005F6CF2">
              <w:rPr>
                <w:sz w:val="22"/>
                <w:szCs w:val="22"/>
                <w:lang w:val="en-US"/>
              </w:rPr>
              <w:t xml:space="preserve"> experience") </w:t>
            </w:r>
          </w:p>
          <w:p w14:paraId="23A63200" w14:textId="77777777" w:rsidR="00AC6ADA" w:rsidRPr="00010426" w:rsidRDefault="00AC6ADA" w:rsidP="005F6CF2">
            <w:pPr>
              <w:spacing w:line="240" w:lineRule="auto"/>
              <w:jc w:val="center"/>
              <w:rPr>
                <w:rFonts w:eastAsiaTheme="minorHAnsi"/>
                <w:sz w:val="22"/>
                <w:szCs w:val="22"/>
                <w:lang w:eastAsia="en-US"/>
                <w14:ligatures w14:val="standardContextual"/>
              </w:rPr>
            </w:pPr>
          </w:p>
        </w:tc>
      </w:tr>
      <w:tr w:rsidR="00BD2848" w:rsidRPr="00797C72" w14:paraId="798062E7" w14:textId="77777777" w:rsidTr="005F6CF2">
        <w:tc>
          <w:tcPr>
            <w:tcW w:w="678" w:type="pct"/>
          </w:tcPr>
          <w:p w14:paraId="525044FD" w14:textId="0DC8AE7E" w:rsidR="00AC6ADA" w:rsidRPr="00010426" w:rsidRDefault="00403A52" w:rsidP="005F6CF2">
            <w:pPr>
              <w:spacing w:line="240" w:lineRule="auto"/>
              <w:jc w:val="center"/>
              <w:rPr>
                <w:b/>
                <w:bCs/>
                <w:sz w:val="22"/>
                <w:szCs w:val="22"/>
                <w:lang w:val="en-US"/>
              </w:rPr>
            </w:pPr>
            <w:r w:rsidRPr="00010426">
              <w:rPr>
                <w:sz w:val="22"/>
                <w:szCs w:val="22"/>
              </w:rPr>
              <w:lastRenderedPageBreak/>
              <w:t>Applied Social Sciences Index and Abstracts (ASSIA)</w:t>
            </w:r>
          </w:p>
        </w:tc>
        <w:tc>
          <w:tcPr>
            <w:tcW w:w="4322" w:type="pct"/>
          </w:tcPr>
          <w:p w14:paraId="1E8EA63E"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eastAsia="en-US"/>
                <w14:ligatures w14:val="standardContextual"/>
              </w:rPr>
              <w:t>("older adults" OR "aged" OR "seniors" OR "elderly" OR "60 years" OR "60+" OR "age 60 and above")</w:t>
            </w:r>
            <w:r w:rsidRPr="00010426">
              <w:rPr>
                <w:rFonts w:eastAsiaTheme="minorHAnsi"/>
                <w:sz w:val="22"/>
                <w:szCs w:val="22"/>
                <w:lang w:val="en-US" w:eastAsia="en-US"/>
                <w14:ligatures w14:val="standardContextual"/>
              </w:rPr>
              <w:t> </w:t>
            </w:r>
          </w:p>
          <w:p w14:paraId="618C4F85"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eastAsia="en-US"/>
                <w14:ligatures w14:val="standardContextual"/>
              </w:rPr>
              <w:t>AND</w:t>
            </w:r>
            <w:r w:rsidRPr="00010426">
              <w:rPr>
                <w:rFonts w:eastAsiaTheme="minorHAnsi"/>
                <w:sz w:val="22"/>
                <w:szCs w:val="22"/>
                <w:lang w:val="en-US" w:eastAsia="en-US"/>
                <w14:ligatures w14:val="standardContextual"/>
              </w:rPr>
              <w:t> </w:t>
            </w:r>
          </w:p>
          <w:p w14:paraId="5ED38798"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eastAsia="en-US"/>
                <w14:ligatures w14:val="standardContextual"/>
              </w:rPr>
              <w:t>("housing transition" OR "housing change" OR "moving house" OR "relocation" OR "residential change" OR "downsizing" OR "rightsizing" OR "aging in place" OR "residential transition" OR "home relocation" OR "housing mobility" OR "living arrangement change" OR "home change" OR "community relocation" OR "housing adjustment")</w:t>
            </w:r>
            <w:r w:rsidRPr="00010426">
              <w:rPr>
                <w:rFonts w:eastAsiaTheme="minorHAnsi"/>
                <w:sz w:val="22"/>
                <w:szCs w:val="22"/>
                <w:lang w:val="en-US" w:eastAsia="en-US"/>
                <w14:ligatures w14:val="standardContextual"/>
              </w:rPr>
              <w:t> </w:t>
            </w:r>
          </w:p>
          <w:p w14:paraId="7405A9BB"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eastAsia="en-US"/>
                <w14:ligatures w14:val="standardContextual"/>
              </w:rPr>
              <w:t>AND</w:t>
            </w:r>
            <w:r w:rsidRPr="00010426">
              <w:rPr>
                <w:rFonts w:eastAsiaTheme="minorHAnsi"/>
                <w:sz w:val="22"/>
                <w:szCs w:val="22"/>
                <w:lang w:val="en-US" w:eastAsia="en-US"/>
                <w14:ligatures w14:val="standardContextual"/>
              </w:rPr>
              <w:t> </w:t>
            </w:r>
          </w:p>
          <w:p w14:paraId="184D7122"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eastAsia="en-US"/>
                <w14:ligatures w14:val="standardContextual"/>
              </w:rPr>
              <w:t>("decision making" OR "decision factors" OR "factors influencing" OR "choice </w:t>
            </w:r>
            <w:proofErr w:type="spellStart"/>
            <w:r w:rsidRPr="00010426">
              <w:rPr>
                <w:rFonts w:eastAsiaTheme="minorHAnsi"/>
                <w:sz w:val="22"/>
                <w:szCs w:val="22"/>
                <w:lang w:eastAsia="en-US"/>
                <w14:ligatures w14:val="standardContextual"/>
              </w:rPr>
              <w:t>behavior</w:t>
            </w:r>
            <w:proofErr w:type="spellEnd"/>
            <w:r w:rsidRPr="00010426">
              <w:rPr>
                <w:rFonts w:eastAsiaTheme="minorHAnsi"/>
                <w:sz w:val="22"/>
                <w:szCs w:val="22"/>
                <w:lang w:eastAsia="en-US"/>
                <w14:ligatures w14:val="standardContextual"/>
              </w:rPr>
              <w:t>" OR "motivations" OR "barriers" OR "facilitators" OR "lived experience" OR "perceptions" OR "attitudes")</w:t>
            </w:r>
            <w:r w:rsidRPr="00010426">
              <w:rPr>
                <w:rFonts w:eastAsiaTheme="minorHAnsi"/>
                <w:sz w:val="22"/>
                <w:szCs w:val="22"/>
                <w:lang w:val="en-US" w:eastAsia="en-US"/>
                <w14:ligatures w14:val="standardContextual"/>
              </w:rPr>
              <w:t> </w:t>
            </w:r>
          </w:p>
          <w:p w14:paraId="6DF9E51D"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eastAsia="en-US"/>
                <w14:ligatures w14:val="standardContextual"/>
              </w:rPr>
              <w:t>AND</w:t>
            </w:r>
            <w:r w:rsidRPr="00010426">
              <w:rPr>
                <w:rFonts w:eastAsiaTheme="minorHAnsi"/>
                <w:sz w:val="22"/>
                <w:szCs w:val="22"/>
                <w:lang w:val="en-US" w:eastAsia="en-US"/>
                <w14:ligatures w14:val="standardContextual"/>
              </w:rPr>
              <w:t> </w:t>
            </w:r>
          </w:p>
          <w:p w14:paraId="26D7797B" w14:textId="77777777" w:rsidR="00A72682" w:rsidRPr="00010426" w:rsidRDefault="00A72682" w:rsidP="005F6CF2">
            <w:pPr>
              <w:spacing w:line="240" w:lineRule="auto"/>
              <w:jc w:val="center"/>
              <w:rPr>
                <w:rFonts w:eastAsiaTheme="minorHAnsi"/>
                <w:sz w:val="22"/>
                <w:szCs w:val="22"/>
                <w:lang w:val="en-US" w:eastAsia="en-US"/>
                <w14:ligatures w14:val="standardContextual"/>
              </w:rPr>
            </w:pPr>
            <w:r w:rsidRPr="00010426">
              <w:rPr>
                <w:rFonts w:eastAsiaTheme="minorHAnsi"/>
                <w:sz w:val="22"/>
                <w:szCs w:val="22"/>
                <w:lang w:eastAsia="en-US"/>
                <w14:ligatures w14:val="standardContextual"/>
              </w:rPr>
              <w:t>("qualitative research" OR "qualitative study" OR "interviews" OR "focus groups" OR "narrative research" OR "thematic analysis" OR "grounded theory" OR "case study")</w:t>
            </w:r>
            <w:r w:rsidRPr="00010426">
              <w:rPr>
                <w:rFonts w:eastAsiaTheme="minorHAnsi"/>
                <w:sz w:val="22"/>
                <w:szCs w:val="22"/>
                <w:lang w:val="en-US" w:eastAsia="en-US"/>
                <w14:ligatures w14:val="standardContextual"/>
              </w:rPr>
              <w:t> </w:t>
            </w:r>
          </w:p>
          <w:p w14:paraId="25278E07" w14:textId="77777777" w:rsidR="00AC6ADA" w:rsidRPr="00010426" w:rsidRDefault="00AC6ADA" w:rsidP="005F6CF2">
            <w:pPr>
              <w:spacing w:line="240" w:lineRule="auto"/>
              <w:jc w:val="center"/>
              <w:rPr>
                <w:rFonts w:eastAsiaTheme="minorHAnsi"/>
                <w:sz w:val="22"/>
                <w:szCs w:val="22"/>
                <w:lang w:val="en-US" w:eastAsia="en-US"/>
                <w14:ligatures w14:val="standardContextual"/>
              </w:rPr>
            </w:pPr>
          </w:p>
        </w:tc>
      </w:tr>
    </w:tbl>
    <w:p w14:paraId="7855ECA8" w14:textId="77777777" w:rsidR="00BD2848" w:rsidRDefault="00BD2848">
      <w:pPr>
        <w:spacing w:line="278" w:lineRule="auto"/>
        <w:rPr>
          <w:rFonts w:ascii="Calibri" w:eastAsia="Calibri" w:hAnsi="Calibri" w:cs="Calibri"/>
          <w:b/>
          <w:bCs/>
          <w:sz w:val="22"/>
          <w:szCs w:val="22"/>
        </w:rPr>
        <w:sectPr w:rsidR="00BD2848" w:rsidSect="005F6CF2">
          <w:pgSz w:w="16838" w:h="11906" w:orient="landscape"/>
          <w:pgMar w:top="1440" w:right="1440" w:bottom="1440" w:left="1440" w:header="851" w:footer="992" w:gutter="0"/>
          <w:cols w:space="425"/>
          <w:docGrid w:type="lines" w:linePitch="360"/>
        </w:sectPr>
      </w:pPr>
    </w:p>
    <w:p w14:paraId="4FF46926" w14:textId="7D415311" w:rsidR="00424658" w:rsidRDefault="00424658" w:rsidP="005F6CF2">
      <w:pPr>
        <w:spacing w:line="278" w:lineRule="auto"/>
        <w:rPr>
          <w:rFonts w:ascii="Calibri" w:eastAsia="Calibri" w:hAnsi="Calibri" w:cs="Calibri"/>
          <w:b/>
          <w:bCs/>
          <w:sz w:val="22"/>
          <w:szCs w:val="22"/>
        </w:rPr>
      </w:pPr>
      <w:r>
        <w:rPr>
          <w:rFonts w:ascii="Calibri" w:eastAsia="Calibri" w:hAnsi="Calibri" w:cs="Calibri"/>
          <w:b/>
          <w:bCs/>
          <w:sz w:val="22"/>
          <w:szCs w:val="22"/>
        </w:rPr>
        <w:lastRenderedPageBreak/>
        <w:t xml:space="preserve">Table </w:t>
      </w:r>
      <w:r w:rsidR="00EA06E3">
        <w:rPr>
          <w:rFonts w:ascii="Calibri" w:eastAsia="Calibri" w:hAnsi="Calibri" w:cs="Calibri"/>
          <w:b/>
          <w:bCs/>
          <w:sz w:val="22"/>
          <w:szCs w:val="22"/>
        </w:rPr>
        <w:t>S2</w:t>
      </w:r>
      <w:r>
        <w:rPr>
          <w:rFonts w:ascii="Calibri" w:eastAsia="Calibri" w:hAnsi="Calibri" w:cs="Calibri"/>
          <w:b/>
          <w:bCs/>
          <w:sz w:val="22"/>
          <w:szCs w:val="22"/>
        </w:rPr>
        <w:t>: Summary of included studies</w:t>
      </w:r>
    </w:p>
    <w:tbl>
      <w:tblPr>
        <w:tblStyle w:val="TableGrid"/>
        <w:tblW w:w="15568" w:type="dxa"/>
        <w:tblInd w:w="-289" w:type="dxa"/>
        <w:tblLayout w:type="fixed"/>
        <w:tblLook w:val="04A0" w:firstRow="1" w:lastRow="0" w:firstColumn="1" w:lastColumn="0" w:noHBand="0" w:noVBand="1"/>
      </w:tblPr>
      <w:tblGrid>
        <w:gridCol w:w="1341"/>
        <w:gridCol w:w="1224"/>
        <w:gridCol w:w="2159"/>
        <w:gridCol w:w="810"/>
        <w:gridCol w:w="1531"/>
        <w:gridCol w:w="2025"/>
        <w:gridCol w:w="6478"/>
      </w:tblGrid>
      <w:tr w:rsidR="004C7C2A" w:rsidRPr="00542CD9" w14:paraId="2070DFCE" w14:textId="77777777" w:rsidTr="005F6CF2">
        <w:tc>
          <w:tcPr>
            <w:tcW w:w="1341" w:type="dxa"/>
            <w:shd w:val="clear" w:color="auto" w:fill="C1E4F5" w:themeFill="accent1" w:themeFillTint="33"/>
          </w:tcPr>
          <w:p w14:paraId="727419B9" w14:textId="14E38CE6" w:rsidR="004C7C2A" w:rsidRPr="00424658" w:rsidRDefault="004C7C2A" w:rsidP="005F6CF2">
            <w:pPr>
              <w:pStyle w:val="NoSpacing"/>
              <w:spacing w:after="80" w:line="240" w:lineRule="exact"/>
              <w:rPr>
                <w:b w:val="0"/>
                <w:bCs w:val="0"/>
              </w:rPr>
            </w:pPr>
            <w:r w:rsidRPr="00424658">
              <w:rPr>
                <w:b w:val="0"/>
                <w:bCs w:val="0"/>
              </w:rPr>
              <w:t>Author (date)</w:t>
            </w:r>
          </w:p>
        </w:tc>
        <w:tc>
          <w:tcPr>
            <w:tcW w:w="1224" w:type="dxa"/>
            <w:shd w:val="clear" w:color="auto" w:fill="C1E4F5" w:themeFill="accent1" w:themeFillTint="33"/>
          </w:tcPr>
          <w:p w14:paraId="6B0BB335" w14:textId="78A10095" w:rsidR="004C7C2A" w:rsidRPr="00424658" w:rsidRDefault="004C7C2A" w:rsidP="005F6CF2">
            <w:pPr>
              <w:pStyle w:val="NoSpacing"/>
              <w:spacing w:after="80" w:line="240" w:lineRule="exact"/>
              <w:rPr>
                <w:b w:val="0"/>
                <w:bCs w:val="0"/>
              </w:rPr>
            </w:pPr>
            <w:r w:rsidRPr="00424658">
              <w:rPr>
                <w:b w:val="0"/>
                <w:bCs w:val="0"/>
              </w:rPr>
              <w:t>Country</w:t>
            </w:r>
          </w:p>
        </w:tc>
        <w:tc>
          <w:tcPr>
            <w:tcW w:w="2159" w:type="dxa"/>
            <w:shd w:val="clear" w:color="auto" w:fill="C1E4F5" w:themeFill="accent1" w:themeFillTint="33"/>
          </w:tcPr>
          <w:p w14:paraId="3AE6F2C3" w14:textId="53A05AB3" w:rsidR="004C7C2A" w:rsidRPr="00424658" w:rsidRDefault="004C7C2A" w:rsidP="005F6CF2">
            <w:pPr>
              <w:pStyle w:val="NoSpacing"/>
              <w:spacing w:after="80" w:line="240" w:lineRule="exact"/>
              <w:rPr>
                <w:b w:val="0"/>
                <w:bCs w:val="0"/>
              </w:rPr>
            </w:pPr>
            <w:r w:rsidRPr="00424658">
              <w:rPr>
                <w:b w:val="0"/>
                <w:bCs w:val="0"/>
              </w:rPr>
              <w:t>Transition studied</w:t>
            </w:r>
          </w:p>
        </w:tc>
        <w:tc>
          <w:tcPr>
            <w:tcW w:w="810" w:type="dxa"/>
            <w:shd w:val="clear" w:color="auto" w:fill="C1E4F5" w:themeFill="accent1" w:themeFillTint="33"/>
          </w:tcPr>
          <w:p w14:paraId="48FBFC14" w14:textId="25341004" w:rsidR="004C7C2A" w:rsidRPr="00424658" w:rsidRDefault="004C7C2A" w:rsidP="005F6CF2">
            <w:pPr>
              <w:pStyle w:val="NoSpacing"/>
              <w:spacing w:after="80" w:line="240" w:lineRule="exact"/>
              <w:rPr>
                <w:b w:val="0"/>
                <w:bCs w:val="0"/>
              </w:rPr>
            </w:pPr>
            <w:r>
              <w:rPr>
                <w:b w:val="0"/>
                <w:bCs w:val="0"/>
              </w:rPr>
              <w:t>Sample size</w:t>
            </w:r>
          </w:p>
        </w:tc>
        <w:tc>
          <w:tcPr>
            <w:tcW w:w="1531" w:type="dxa"/>
            <w:shd w:val="clear" w:color="auto" w:fill="C1E4F5" w:themeFill="accent1" w:themeFillTint="33"/>
          </w:tcPr>
          <w:p w14:paraId="060271EC" w14:textId="3626330A" w:rsidR="004C7C2A" w:rsidRPr="00424658" w:rsidRDefault="004C7C2A" w:rsidP="005F6CF2">
            <w:pPr>
              <w:pStyle w:val="NoSpacing"/>
              <w:spacing w:after="80" w:line="240" w:lineRule="exact"/>
              <w:rPr>
                <w:b w:val="0"/>
                <w:bCs w:val="0"/>
              </w:rPr>
            </w:pPr>
            <w:r>
              <w:rPr>
                <w:b w:val="0"/>
                <w:bCs w:val="0"/>
              </w:rPr>
              <w:t>Age</w:t>
            </w:r>
          </w:p>
        </w:tc>
        <w:tc>
          <w:tcPr>
            <w:tcW w:w="2025" w:type="dxa"/>
            <w:shd w:val="clear" w:color="auto" w:fill="C1E4F5" w:themeFill="accent1" w:themeFillTint="33"/>
          </w:tcPr>
          <w:p w14:paraId="26D9185E" w14:textId="5096EA7F" w:rsidR="004C7C2A" w:rsidRPr="00424658" w:rsidRDefault="004C7C2A" w:rsidP="005F6CF2">
            <w:pPr>
              <w:pStyle w:val="NoSpacing"/>
              <w:spacing w:after="80" w:line="240" w:lineRule="exact"/>
              <w:rPr>
                <w:b w:val="0"/>
                <w:bCs w:val="0"/>
              </w:rPr>
            </w:pPr>
            <w:r w:rsidRPr="00424658">
              <w:rPr>
                <w:b w:val="0"/>
                <w:bCs w:val="0"/>
              </w:rPr>
              <w:t>Factors</w:t>
            </w:r>
          </w:p>
        </w:tc>
        <w:tc>
          <w:tcPr>
            <w:tcW w:w="6478" w:type="dxa"/>
            <w:shd w:val="clear" w:color="auto" w:fill="C1E4F5" w:themeFill="accent1" w:themeFillTint="33"/>
          </w:tcPr>
          <w:p w14:paraId="71889960" w14:textId="48AEDD75" w:rsidR="004C7C2A" w:rsidRPr="00424658" w:rsidRDefault="004C7C2A" w:rsidP="005F6CF2">
            <w:pPr>
              <w:pStyle w:val="NoSpacing"/>
              <w:spacing w:after="80" w:line="240" w:lineRule="exact"/>
              <w:rPr>
                <w:b w:val="0"/>
                <w:bCs w:val="0"/>
              </w:rPr>
            </w:pPr>
            <w:r w:rsidRPr="00424658">
              <w:rPr>
                <w:b w:val="0"/>
                <w:bCs w:val="0"/>
              </w:rPr>
              <w:t>Findings</w:t>
            </w:r>
          </w:p>
        </w:tc>
      </w:tr>
      <w:tr w:rsidR="004C7C2A" w:rsidRPr="004C6AF3" w14:paraId="1A855EEA" w14:textId="77777777" w:rsidTr="005F6CF2">
        <w:trPr>
          <w:trHeight w:val="810"/>
        </w:trPr>
        <w:tc>
          <w:tcPr>
            <w:tcW w:w="1341" w:type="dxa"/>
          </w:tcPr>
          <w:p w14:paraId="7DF1ED00" w14:textId="1DA28CF2" w:rsidR="004C7C2A" w:rsidRPr="000D5A2E" w:rsidRDefault="004C7C2A" w:rsidP="005F6CF2">
            <w:pPr>
              <w:pStyle w:val="NoSpacing"/>
              <w:spacing w:after="80" w:line="240" w:lineRule="exact"/>
              <w:rPr>
                <w:b w:val="0"/>
                <w:bCs w:val="0"/>
              </w:rPr>
            </w:pPr>
            <w:r w:rsidRPr="000D5A2E">
              <w:rPr>
                <w:rStyle w:val="Strong"/>
              </w:rPr>
              <w:t>Buckland &amp; Tinker (2020)</w:t>
            </w:r>
          </w:p>
        </w:tc>
        <w:tc>
          <w:tcPr>
            <w:tcW w:w="1224" w:type="dxa"/>
          </w:tcPr>
          <w:p w14:paraId="451E0725" w14:textId="7C154347" w:rsidR="004C7C2A" w:rsidRPr="000D5A2E" w:rsidRDefault="004C7C2A" w:rsidP="005F6CF2">
            <w:pPr>
              <w:pStyle w:val="NoSpacing"/>
              <w:spacing w:after="80" w:line="240" w:lineRule="exact"/>
              <w:rPr>
                <w:b w:val="0"/>
                <w:bCs w:val="0"/>
              </w:rPr>
            </w:pPr>
            <w:r w:rsidRPr="000D5A2E">
              <w:rPr>
                <w:b w:val="0"/>
                <w:bCs w:val="0"/>
              </w:rPr>
              <w:t>United Kingdom</w:t>
            </w:r>
          </w:p>
        </w:tc>
        <w:tc>
          <w:tcPr>
            <w:tcW w:w="2159" w:type="dxa"/>
          </w:tcPr>
          <w:p w14:paraId="2C04F0E2" w14:textId="12B37646" w:rsidR="004C7C2A" w:rsidRPr="000D5A2E" w:rsidRDefault="004C7C2A" w:rsidP="005F6CF2">
            <w:pPr>
              <w:pStyle w:val="NoSpacing"/>
              <w:spacing w:after="80" w:line="240" w:lineRule="exact"/>
              <w:rPr>
                <w:b w:val="0"/>
                <w:bCs w:val="0"/>
              </w:rPr>
            </w:pPr>
            <w:r w:rsidRPr="000D5A2E">
              <w:rPr>
                <w:b w:val="0"/>
                <w:bCs w:val="0"/>
              </w:rPr>
              <w:t>Move to extra care housing</w:t>
            </w:r>
          </w:p>
        </w:tc>
        <w:tc>
          <w:tcPr>
            <w:tcW w:w="810" w:type="dxa"/>
          </w:tcPr>
          <w:p w14:paraId="5499CACB" w14:textId="19D8D66E" w:rsidR="004C7C2A" w:rsidRPr="000D5A2E" w:rsidRDefault="004C7C2A" w:rsidP="005F6CF2">
            <w:pPr>
              <w:pStyle w:val="NoSpacing"/>
              <w:spacing w:after="80" w:line="240" w:lineRule="exact"/>
              <w:rPr>
                <w:b w:val="0"/>
                <w:bCs w:val="0"/>
              </w:rPr>
            </w:pPr>
            <w:r w:rsidRPr="000D5A2E">
              <w:rPr>
                <w:b w:val="0"/>
                <w:bCs w:val="0"/>
              </w:rPr>
              <w:t>8</w:t>
            </w:r>
          </w:p>
        </w:tc>
        <w:tc>
          <w:tcPr>
            <w:tcW w:w="1531" w:type="dxa"/>
          </w:tcPr>
          <w:p w14:paraId="2B05AC88" w14:textId="548C701A" w:rsidR="004C7C2A" w:rsidRPr="000D5A2E" w:rsidRDefault="004C7C2A" w:rsidP="005F6CF2">
            <w:pPr>
              <w:pStyle w:val="NoSpacing"/>
              <w:spacing w:after="80" w:line="240" w:lineRule="exact"/>
              <w:rPr>
                <w:b w:val="0"/>
                <w:bCs w:val="0"/>
              </w:rPr>
            </w:pPr>
            <w:r>
              <w:rPr>
                <w:b w:val="0"/>
                <w:bCs w:val="0"/>
              </w:rPr>
              <w:t xml:space="preserve">Range </w:t>
            </w:r>
            <w:r w:rsidRPr="000D5A2E">
              <w:rPr>
                <w:b w:val="0"/>
                <w:bCs w:val="0"/>
              </w:rPr>
              <w:t>55–93</w:t>
            </w:r>
          </w:p>
        </w:tc>
        <w:tc>
          <w:tcPr>
            <w:tcW w:w="2025" w:type="dxa"/>
          </w:tcPr>
          <w:p w14:paraId="13B8AEA2" w14:textId="2879F65E" w:rsidR="004C7C2A" w:rsidRPr="000D5A2E" w:rsidRDefault="004C7C2A" w:rsidP="005F6CF2">
            <w:pPr>
              <w:pStyle w:val="NoSpacing"/>
              <w:spacing w:after="80" w:line="240" w:lineRule="exact"/>
              <w:rPr>
                <w:b w:val="0"/>
                <w:bCs w:val="0"/>
              </w:rPr>
            </w:pPr>
            <w:r w:rsidRPr="000D5A2E">
              <w:rPr>
                <w:b w:val="0"/>
                <w:bCs w:val="0"/>
              </w:rPr>
              <w:t>Health decline; family influence; autonomy; psychological factors</w:t>
            </w:r>
          </w:p>
        </w:tc>
        <w:tc>
          <w:tcPr>
            <w:tcW w:w="6478" w:type="dxa"/>
          </w:tcPr>
          <w:p w14:paraId="2F102C6F" w14:textId="4B6647AA" w:rsidR="004C7C2A" w:rsidRPr="000D5A2E" w:rsidRDefault="004C7C2A" w:rsidP="005F6CF2">
            <w:pPr>
              <w:pStyle w:val="NoSpacing"/>
              <w:spacing w:after="80" w:line="240" w:lineRule="exact"/>
              <w:rPr>
                <w:b w:val="0"/>
                <w:bCs w:val="0"/>
              </w:rPr>
            </w:pPr>
            <w:r w:rsidRPr="000D5A2E">
              <w:rPr>
                <w:b w:val="0"/>
                <w:bCs w:val="0"/>
              </w:rPr>
              <w:t>Most moves followed declining health and were often supported or prompted by family. Although participants had limited prior knowledge of extra care, many later described positive effects on independence and wellbeing.</w:t>
            </w:r>
          </w:p>
        </w:tc>
      </w:tr>
      <w:tr w:rsidR="004C7C2A" w:rsidRPr="004C6AF3" w14:paraId="33FFE652" w14:textId="77777777" w:rsidTr="005F6CF2">
        <w:tc>
          <w:tcPr>
            <w:tcW w:w="1341" w:type="dxa"/>
          </w:tcPr>
          <w:p w14:paraId="00FB82B3" w14:textId="5984A973" w:rsidR="004C7C2A" w:rsidRPr="000D5A2E" w:rsidRDefault="004C7C2A" w:rsidP="005F6CF2">
            <w:pPr>
              <w:pStyle w:val="NoSpacing"/>
              <w:spacing w:after="80" w:line="240" w:lineRule="exact"/>
              <w:rPr>
                <w:b w:val="0"/>
                <w:bCs w:val="0"/>
              </w:rPr>
            </w:pPr>
            <w:r w:rsidRPr="000D5A2E">
              <w:rPr>
                <w:rStyle w:val="Strong"/>
              </w:rPr>
              <w:t>Gibson et al. (2024A)</w:t>
            </w:r>
          </w:p>
        </w:tc>
        <w:tc>
          <w:tcPr>
            <w:tcW w:w="1224" w:type="dxa"/>
          </w:tcPr>
          <w:p w14:paraId="4BD1D016" w14:textId="3C7FB82F" w:rsidR="004C7C2A" w:rsidRPr="000D5A2E" w:rsidRDefault="004C7C2A" w:rsidP="005F6CF2">
            <w:pPr>
              <w:pStyle w:val="NoSpacing"/>
              <w:spacing w:after="80" w:line="240" w:lineRule="exact"/>
              <w:rPr>
                <w:b w:val="0"/>
                <w:bCs w:val="0"/>
              </w:rPr>
            </w:pPr>
            <w:r w:rsidRPr="000D5A2E">
              <w:rPr>
                <w:b w:val="0"/>
                <w:bCs w:val="0"/>
              </w:rPr>
              <w:t>United Kingdom</w:t>
            </w:r>
          </w:p>
        </w:tc>
        <w:tc>
          <w:tcPr>
            <w:tcW w:w="2159" w:type="dxa"/>
          </w:tcPr>
          <w:p w14:paraId="4B28CBA3" w14:textId="77C8D588" w:rsidR="004C7C2A" w:rsidRPr="000D5A2E" w:rsidRDefault="004C7C2A" w:rsidP="005F6CF2">
            <w:pPr>
              <w:pStyle w:val="NoSpacing"/>
              <w:spacing w:after="80" w:line="240" w:lineRule="exact"/>
              <w:rPr>
                <w:b w:val="0"/>
                <w:bCs w:val="0"/>
              </w:rPr>
            </w:pPr>
            <w:r w:rsidRPr="000D5A2E">
              <w:rPr>
                <w:b w:val="0"/>
                <w:bCs w:val="0"/>
              </w:rPr>
              <w:t>Care transitions in later life</w:t>
            </w:r>
          </w:p>
        </w:tc>
        <w:tc>
          <w:tcPr>
            <w:tcW w:w="810" w:type="dxa"/>
          </w:tcPr>
          <w:p w14:paraId="771903E1" w14:textId="25C6216D" w:rsidR="004C7C2A" w:rsidRPr="000D5A2E" w:rsidRDefault="004C7C2A" w:rsidP="005F6CF2">
            <w:pPr>
              <w:pStyle w:val="NoSpacing"/>
              <w:spacing w:after="80" w:line="240" w:lineRule="exact"/>
              <w:rPr>
                <w:b w:val="0"/>
                <w:bCs w:val="0"/>
              </w:rPr>
            </w:pPr>
            <w:r w:rsidRPr="000D5A2E">
              <w:rPr>
                <w:b w:val="0"/>
                <w:bCs w:val="0"/>
              </w:rPr>
              <w:t>46</w:t>
            </w:r>
          </w:p>
        </w:tc>
        <w:tc>
          <w:tcPr>
            <w:tcW w:w="1531" w:type="dxa"/>
          </w:tcPr>
          <w:p w14:paraId="15B6BC83" w14:textId="417B592D" w:rsidR="004C7C2A" w:rsidRPr="000D5A2E" w:rsidRDefault="004C7C2A" w:rsidP="005F6CF2">
            <w:pPr>
              <w:pStyle w:val="NoSpacing"/>
              <w:spacing w:after="80" w:line="240" w:lineRule="exact"/>
              <w:rPr>
                <w:b w:val="0"/>
                <w:bCs w:val="0"/>
              </w:rPr>
            </w:pPr>
            <w:r>
              <w:rPr>
                <w:b w:val="0"/>
                <w:bCs w:val="0"/>
              </w:rPr>
              <w:t xml:space="preserve">Range </w:t>
            </w:r>
            <w:r w:rsidRPr="000D5A2E">
              <w:rPr>
                <w:b w:val="0"/>
                <w:bCs w:val="0"/>
              </w:rPr>
              <w:t>80–100+</w:t>
            </w:r>
          </w:p>
        </w:tc>
        <w:tc>
          <w:tcPr>
            <w:tcW w:w="2025" w:type="dxa"/>
          </w:tcPr>
          <w:p w14:paraId="1E6AA51D" w14:textId="65D665E1" w:rsidR="004C7C2A" w:rsidRPr="000D5A2E" w:rsidRDefault="004C7C2A" w:rsidP="005F6CF2">
            <w:pPr>
              <w:pStyle w:val="NoSpacing"/>
              <w:spacing w:after="80" w:line="240" w:lineRule="exact"/>
              <w:rPr>
                <w:b w:val="0"/>
                <w:bCs w:val="0"/>
              </w:rPr>
            </w:pPr>
            <w:r w:rsidRPr="000D5A2E">
              <w:rPr>
                <w:b w:val="0"/>
                <w:bCs w:val="0"/>
              </w:rPr>
              <w:t>Health; social factors; environment; service coordination</w:t>
            </w:r>
          </w:p>
        </w:tc>
        <w:tc>
          <w:tcPr>
            <w:tcW w:w="6478" w:type="dxa"/>
          </w:tcPr>
          <w:p w14:paraId="7C4D13DC" w14:textId="7E3D70A4" w:rsidR="004C7C2A" w:rsidRPr="000D5A2E" w:rsidRDefault="004C7C2A" w:rsidP="005F6CF2">
            <w:pPr>
              <w:pStyle w:val="NoSpacing"/>
              <w:spacing w:after="80" w:line="240" w:lineRule="exact"/>
              <w:rPr>
                <w:b w:val="0"/>
                <w:bCs w:val="0"/>
              </w:rPr>
            </w:pPr>
            <w:r w:rsidRPr="000D5A2E">
              <w:rPr>
                <w:b w:val="0"/>
                <w:bCs w:val="0"/>
              </w:rPr>
              <w:t>Transitions were strongly shaped by service inflexibility and poor coordination. Older adults often felt unheard, and the findings emphasised dignity, communication, and loss of agency.</w:t>
            </w:r>
          </w:p>
        </w:tc>
      </w:tr>
      <w:tr w:rsidR="004C7C2A" w:rsidRPr="004C6AF3" w14:paraId="1128AB54" w14:textId="77777777" w:rsidTr="005F6CF2">
        <w:trPr>
          <w:trHeight w:val="1180"/>
        </w:trPr>
        <w:tc>
          <w:tcPr>
            <w:tcW w:w="1341" w:type="dxa"/>
          </w:tcPr>
          <w:p w14:paraId="04BFF261" w14:textId="13C43619" w:rsidR="004C7C2A" w:rsidRPr="000D5A2E" w:rsidRDefault="004C7C2A" w:rsidP="005F6CF2">
            <w:pPr>
              <w:pStyle w:val="NoSpacing"/>
              <w:spacing w:after="80" w:line="240" w:lineRule="exact"/>
              <w:rPr>
                <w:b w:val="0"/>
                <w:bCs w:val="0"/>
              </w:rPr>
            </w:pPr>
            <w:r w:rsidRPr="000D5A2E">
              <w:rPr>
                <w:rStyle w:val="Strong"/>
              </w:rPr>
              <w:t>Gibson et al. (2024B)</w:t>
            </w:r>
          </w:p>
        </w:tc>
        <w:tc>
          <w:tcPr>
            <w:tcW w:w="1224" w:type="dxa"/>
          </w:tcPr>
          <w:p w14:paraId="52C214BB" w14:textId="0E0217F5" w:rsidR="004C7C2A" w:rsidRPr="000D5A2E" w:rsidRDefault="004C7C2A" w:rsidP="005F6CF2">
            <w:pPr>
              <w:pStyle w:val="NoSpacing"/>
              <w:spacing w:after="80" w:line="240" w:lineRule="exact"/>
              <w:rPr>
                <w:b w:val="0"/>
                <w:bCs w:val="0"/>
              </w:rPr>
            </w:pPr>
            <w:r w:rsidRPr="000D5A2E">
              <w:rPr>
                <w:b w:val="0"/>
                <w:bCs w:val="0"/>
              </w:rPr>
              <w:t>United Kingdom</w:t>
            </w:r>
          </w:p>
        </w:tc>
        <w:tc>
          <w:tcPr>
            <w:tcW w:w="2159" w:type="dxa"/>
          </w:tcPr>
          <w:p w14:paraId="7AA22B30" w14:textId="07539B81" w:rsidR="004C7C2A" w:rsidRPr="000D5A2E" w:rsidRDefault="004C7C2A" w:rsidP="005F6CF2">
            <w:pPr>
              <w:pStyle w:val="NoSpacing"/>
              <w:spacing w:after="80" w:line="240" w:lineRule="exact"/>
              <w:rPr>
                <w:b w:val="0"/>
                <w:bCs w:val="0"/>
              </w:rPr>
            </w:pPr>
            <w:r w:rsidRPr="000D5A2E">
              <w:rPr>
                <w:b w:val="0"/>
                <w:bCs w:val="0"/>
              </w:rPr>
              <w:t>Ageing in place / downsizing</w:t>
            </w:r>
          </w:p>
        </w:tc>
        <w:tc>
          <w:tcPr>
            <w:tcW w:w="810" w:type="dxa"/>
          </w:tcPr>
          <w:p w14:paraId="3A5FC7CD" w14:textId="5D8C0197" w:rsidR="004C7C2A" w:rsidRPr="000D5A2E" w:rsidRDefault="004C7C2A" w:rsidP="005F6CF2">
            <w:pPr>
              <w:pStyle w:val="NoSpacing"/>
              <w:spacing w:after="80" w:line="240" w:lineRule="exact"/>
              <w:rPr>
                <w:b w:val="0"/>
                <w:bCs w:val="0"/>
              </w:rPr>
            </w:pPr>
            <w:r>
              <w:rPr>
                <w:b w:val="0"/>
                <w:bCs w:val="0"/>
              </w:rPr>
              <w:t>42</w:t>
            </w:r>
          </w:p>
        </w:tc>
        <w:tc>
          <w:tcPr>
            <w:tcW w:w="1531" w:type="dxa"/>
          </w:tcPr>
          <w:p w14:paraId="0780C497" w14:textId="6606DB87" w:rsidR="004C7C2A" w:rsidRPr="000D5A2E" w:rsidRDefault="004C7C2A" w:rsidP="005F6CF2">
            <w:pPr>
              <w:pStyle w:val="NoSpacing"/>
              <w:spacing w:after="80" w:line="240" w:lineRule="exact"/>
              <w:rPr>
                <w:b w:val="0"/>
                <w:bCs w:val="0"/>
              </w:rPr>
            </w:pPr>
            <w:r>
              <w:rPr>
                <w:b w:val="0"/>
                <w:bCs w:val="0"/>
              </w:rPr>
              <w:t xml:space="preserve">Range </w:t>
            </w:r>
            <w:r w:rsidRPr="000D5A2E">
              <w:rPr>
                <w:b w:val="0"/>
                <w:bCs w:val="0"/>
              </w:rPr>
              <w:t>80–102</w:t>
            </w:r>
          </w:p>
        </w:tc>
        <w:tc>
          <w:tcPr>
            <w:tcW w:w="2025" w:type="dxa"/>
          </w:tcPr>
          <w:p w14:paraId="72028269" w14:textId="26B96BB3" w:rsidR="004C7C2A" w:rsidRPr="000D5A2E" w:rsidRDefault="004C7C2A" w:rsidP="005F6CF2">
            <w:pPr>
              <w:pStyle w:val="NoSpacing"/>
              <w:spacing w:after="80" w:line="240" w:lineRule="exact"/>
              <w:rPr>
                <w:b w:val="0"/>
                <w:bCs w:val="0"/>
              </w:rPr>
            </w:pPr>
            <w:r w:rsidRPr="000D5A2E">
              <w:rPr>
                <w:b w:val="0"/>
                <w:bCs w:val="0"/>
              </w:rPr>
              <w:t>Class; economic, social and cultural capital; structural inequality</w:t>
            </w:r>
          </w:p>
        </w:tc>
        <w:tc>
          <w:tcPr>
            <w:tcW w:w="6478" w:type="dxa"/>
          </w:tcPr>
          <w:p w14:paraId="6551E0C4" w14:textId="776C921A" w:rsidR="004C7C2A" w:rsidRPr="000D5A2E" w:rsidRDefault="004C7C2A" w:rsidP="005F6CF2">
            <w:pPr>
              <w:pStyle w:val="NoSpacing"/>
              <w:spacing w:after="80" w:line="240" w:lineRule="exact"/>
              <w:rPr>
                <w:b w:val="0"/>
                <w:bCs w:val="0"/>
              </w:rPr>
            </w:pPr>
            <w:r w:rsidRPr="000D5A2E">
              <w:rPr>
                <w:b w:val="0"/>
                <w:bCs w:val="0"/>
              </w:rPr>
              <w:t>Middle-class participants were better able to plan, adapt homes, and shape ageing-in-place futures, while working-class participants had fewer options and often described “making do.” The study highlights classed inequalities in housing decision-making.</w:t>
            </w:r>
          </w:p>
        </w:tc>
      </w:tr>
      <w:tr w:rsidR="004C7C2A" w14:paraId="53955A7A" w14:textId="77777777" w:rsidTr="005F6CF2">
        <w:trPr>
          <w:trHeight w:val="300"/>
        </w:trPr>
        <w:tc>
          <w:tcPr>
            <w:tcW w:w="1341" w:type="dxa"/>
          </w:tcPr>
          <w:p w14:paraId="2E3794C2" w14:textId="494D27B6" w:rsidR="004C7C2A" w:rsidRDefault="004C7C2A" w:rsidP="005F6CF2">
            <w:pPr>
              <w:pStyle w:val="NoSpacing"/>
              <w:spacing w:after="80" w:line="240" w:lineRule="exact"/>
              <w:rPr>
                <w:b w:val="0"/>
                <w:bCs w:val="0"/>
              </w:rPr>
            </w:pPr>
            <w:r w:rsidRPr="37D4BDDB">
              <w:rPr>
                <w:rStyle w:val="Strong"/>
              </w:rPr>
              <w:t>Hanratty et al. (2013)</w:t>
            </w:r>
          </w:p>
        </w:tc>
        <w:tc>
          <w:tcPr>
            <w:tcW w:w="1224" w:type="dxa"/>
          </w:tcPr>
          <w:p w14:paraId="3D94142A" w14:textId="09810D65" w:rsidR="004C7C2A" w:rsidRDefault="004C7C2A" w:rsidP="005F6CF2">
            <w:pPr>
              <w:pStyle w:val="NoSpacing"/>
              <w:spacing w:after="80" w:line="240" w:lineRule="exact"/>
              <w:rPr>
                <w:b w:val="0"/>
                <w:bCs w:val="0"/>
              </w:rPr>
            </w:pPr>
            <w:r>
              <w:rPr>
                <w:b w:val="0"/>
                <w:bCs w:val="0"/>
              </w:rPr>
              <w:t>United Kingdom</w:t>
            </w:r>
          </w:p>
        </w:tc>
        <w:tc>
          <w:tcPr>
            <w:tcW w:w="2159" w:type="dxa"/>
          </w:tcPr>
          <w:p w14:paraId="7DAE5F23" w14:textId="07478622" w:rsidR="004C7C2A" w:rsidRDefault="004C7C2A" w:rsidP="005F6CF2">
            <w:pPr>
              <w:pStyle w:val="NoSpacing"/>
              <w:spacing w:after="80" w:line="240" w:lineRule="exact"/>
              <w:rPr>
                <w:b w:val="0"/>
                <w:bCs w:val="0"/>
              </w:rPr>
            </w:pPr>
            <w:r>
              <w:rPr>
                <w:b w:val="0"/>
                <w:bCs w:val="0"/>
              </w:rPr>
              <w:t>Current living arrangements and preferences for future care</w:t>
            </w:r>
          </w:p>
        </w:tc>
        <w:tc>
          <w:tcPr>
            <w:tcW w:w="810" w:type="dxa"/>
          </w:tcPr>
          <w:p w14:paraId="1F3E755F" w14:textId="1154C8CA" w:rsidR="004C7C2A" w:rsidRDefault="004C7C2A" w:rsidP="005F6CF2">
            <w:pPr>
              <w:pStyle w:val="NoSpacing"/>
              <w:spacing w:after="80" w:line="240" w:lineRule="exact"/>
              <w:rPr>
                <w:b w:val="0"/>
                <w:bCs w:val="0"/>
              </w:rPr>
            </w:pPr>
            <w:r>
              <w:rPr>
                <w:b w:val="0"/>
                <w:bCs w:val="0"/>
              </w:rPr>
              <w:t>32</w:t>
            </w:r>
          </w:p>
        </w:tc>
        <w:tc>
          <w:tcPr>
            <w:tcW w:w="1531" w:type="dxa"/>
          </w:tcPr>
          <w:p w14:paraId="0C0FE336" w14:textId="07984CAB" w:rsidR="004C7C2A" w:rsidRDefault="004C7C2A" w:rsidP="005F6CF2">
            <w:pPr>
              <w:pStyle w:val="NoSpacing"/>
              <w:spacing w:after="80" w:line="240" w:lineRule="exact"/>
              <w:rPr>
                <w:b w:val="0"/>
                <w:bCs w:val="0"/>
              </w:rPr>
            </w:pPr>
            <w:r>
              <w:rPr>
                <w:b w:val="0"/>
                <w:bCs w:val="0"/>
              </w:rPr>
              <w:t>Range 74-95 or 70-87 by subgroup</w:t>
            </w:r>
          </w:p>
        </w:tc>
        <w:tc>
          <w:tcPr>
            <w:tcW w:w="2025" w:type="dxa"/>
          </w:tcPr>
          <w:p w14:paraId="34F78FE1" w14:textId="0ECF1CAA" w:rsidR="004C7C2A" w:rsidRDefault="004C7C2A" w:rsidP="005F6CF2">
            <w:pPr>
              <w:pStyle w:val="NoSpacing"/>
              <w:spacing w:after="80" w:line="240" w:lineRule="exact"/>
              <w:rPr>
                <w:b w:val="0"/>
                <w:bCs w:val="0"/>
              </w:rPr>
            </w:pPr>
            <w:r>
              <w:rPr>
                <w:b w:val="0"/>
                <w:bCs w:val="0"/>
              </w:rPr>
              <w:t>Living alone; practical and emotional disadvantage; care quality; continuity</w:t>
            </w:r>
          </w:p>
        </w:tc>
        <w:tc>
          <w:tcPr>
            <w:tcW w:w="6478" w:type="dxa"/>
          </w:tcPr>
          <w:p w14:paraId="6D689454" w14:textId="7BDCEC4C" w:rsidR="004C7C2A" w:rsidRDefault="004C7C2A" w:rsidP="005F6CF2">
            <w:pPr>
              <w:pStyle w:val="NoSpacing"/>
              <w:spacing w:after="80" w:line="240" w:lineRule="exact"/>
              <w:rPr>
                <w:b w:val="0"/>
                <w:bCs w:val="0"/>
              </w:rPr>
            </w:pPr>
            <w:r>
              <w:rPr>
                <w:b w:val="0"/>
                <w:bCs w:val="0"/>
              </w:rPr>
              <w:t>Participants generally wanted to remain at home as long as possible, and care homes were widely viewed with anxiety. Living alone intensified concerns about support, advocacy, and future care.</w:t>
            </w:r>
          </w:p>
          <w:p w14:paraId="31F9540C" w14:textId="21C7B0AE" w:rsidR="004C7C2A" w:rsidRDefault="004C7C2A" w:rsidP="005F6CF2">
            <w:pPr>
              <w:pStyle w:val="NoSpacing"/>
              <w:spacing w:after="80" w:line="240" w:lineRule="exact"/>
              <w:rPr>
                <w:b w:val="0"/>
                <w:bCs w:val="0"/>
              </w:rPr>
            </w:pPr>
          </w:p>
        </w:tc>
      </w:tr>
      <w:tr w:rsidR="004C7C2A" w:rsidRPr="004C6AF3" w14:paraId="2C6E83BC" w14:textId="77777777" w:rsidTr="005F6CF2">
        <w:tc>
          <w:tcPr>
            <w:tcW w:w="1341" w:type="dxa"/>
          </w:tcPr>
          <w:p w14:paraId="45BD59A4" w14:textId="00B03D36" w:rsidR="004C7C2A" w:rsidRPr="000D5A2E" w:rsidRDefault="004C7C2A" w:rsidP="005F6CF2">
            <w:pPr>
              <w:pStyle w:val="NoSpacing"/>
              <w:spacing w:after="80" w:line="240" w:lineRule="exact"/>
              <w:rPr>
                <w:b w:val="0"/>
                <w:bCs w:val="0"/>
              </w:rPr>
            </w:pPr>
            <w:r w:rsidRPr="000D5A2E">
              <w:rPr>
                <w:rStyle w:val="Strong"/>
              </w:rPr>
              <w:t>Hanratty et al. (2012)</w:t>
            </w:r>
          </w:p>
        </w:tc>
        <w:tc>
          <w:tcPr>
            <w:tcW w:w="1224" w:type="dxa"/>
          </w:tcPr>
          <w:p w14:paraId="0C24B622" w14:textId="148D0150" w:rsidR="004C7C2A" w:rsidRPr="000D5A2E" w:rsidRDefault="004C7C2A" w:rsidP="005F6CF2">
            <w:pPr>
              <w:pStyle w:val="NoSpacing"/>
              <w:spacing w:after="80" w:line="240" w:lineRule="exact"/>
              <w:rPr>
                <w:b w:val="0"/>
                <w:bCs w:val="0"/>
              </w:rPr>
            </w:pPr>
            <w:r w:rsidRPr="000D5A2E">
              <w:rPr>
                <w:b w:val="0"/>
                <w:bCs w:val="0"/>
              </w:rPr>
              <w:t xml:space="preserve">United Kingdom </w:t>
            </w:r>
          </w:p>
        </w:tc>
        <w:tc>
          <w:tcPr>
            <w:tcW w:w="2159" w:type="dxa"/>
          </w:tcPr>
          <w:p w14:paraId="776BE9C0" w14:textId="09E053D6" w:rsidR="004C7C2A" w:rsidRPr="000D5A2E" w:rsidRDefault="004C7C2A" w:rsidP="005F6CF2">
            <w:pPr>
              <w:pStyle w:val="NoSpacing"/>
              <w:spacing w:after="80" w:line="240" w:lineRule="exact"/>
              <w:rPr>
                <w:b w:val="0"/>
                <w:bCs w:val="0"/>
              </w:rPr>
            </w:pPr>
            <w:r w:rsidRPr="000D5A2E">
              <w:rPr>
                <w:b w:val="0"/>
                <w:bCs w:val="0"/>
              </w:rPr>
              <w:t>Transitions between home, hospital, hospice, care home and intermediate care</w:t>
            </w:r>
          </w:p>
        </w:tc>
        <w:tc>
          <w:tcPr>
            <w:tcW w:w="810" w:type="dxa"/>
          </w:tcPr>
          <w:p w14:paraId="01F35BD2" w14:textId="6CBC7DF8" w:rsidR="004C7C2A" w:rsidRPr="000D5A2E" w:rsidRDefault="004C7C2A" w:rsidP="005F6CF2">
            <w:pPr>
              <w:pStyle w:val="NoSpacing"/>
              <w:spacing w:after="80" w:line="240" w:lineRule="exact"/>
              <w:rPr>
                <w:b w:val="0"/>
                <w:bCs w:val="0"/>
              </w:rPr>
            </w:pPr>
            <w:r w:rsidRPr="000D5A2E">
              <w:rPr>
                <w:b w:val="0"/>
                <w:bCs w:val="0"/>
              </w:rPr>
              <w:t>30</w:t>
            </w:r>
          </w:p>
        </w:tc>
        <w:tc>
          <w:tcPr>
            <w:tcW w:w="1531" w:type="dxa"/>
          </w:tcPr>
          <w:p w14:paraId="70163E82" w14:textId="23981B8E" w:rsidR="004C7C2A" w:rsidRPr="000D5A2E" w:rsidRDefault="004C7C2A" w:rsidP="005F6CF2">
            <w:pPr>
              <w:pStyle w:val="NoSpacing"/>
              <w:spacing w:after="80" w:line="240" w:lineRule="exact"/>
              <w:rPr>
                <w:b w:val="0"/>
                <w:bCs w:val="0"/>
              </w:rPr>
            </w:pPr>
            <w:r>
              <w:rPr>
                <w:b w:val="0"/>
                <w:bCs w:val="0"/>
              </w:rPr>
              <w:t>Range 69-73</w:t>
            </w:r>
          </w:p>
        </w:tc>
        <w:tc>
          <w:tcPr>
            <w:tcW w:w="2025" w:type="dxa"/>
          </w:tcPr>
          <w:p w14:paraId="2068FC6A" w14:textId="4B890171" w:rsidR="004C7C2A" w:rsidRPr="000D5A2E" w:rsidRDefault="004C7C2A" w:rsidP="005F6CF2">
            <w:pPr>
              <w:pStyle w:val="NoSpacing"/>
              <w:spacing w:after="80" w:line="240" w:lineRule="exact"/>
              <w:rPr>
                <w:b w:val="0"/>
                <w:bCs w:val="0"/>
              </w:rPr>
            </w:pPr>
            <w:r w:rsidRPr="000D5A2E">
              <w:rPr>
                <w:b w:val="0"/>
                <w:bCs w:val="0"/>
              </w:rPr>
              <w:t>Institutional processes; communication; dignity; family advocacy</w:t>
            </w:r>
          </w:p>
        </w:tc>
        <w:tc>
          <w:tcPr>
            <w:tcW w:w="6478" w:type="dxa"/>
          </w:tcPr>
          <w:p w14:paraId="76A82A5F" w14:textId="1219A35C" w:rsidR="004C7C2A" w:rsidRPr="000D5A2E" w:rsidRDefault="004C7C2A" w:rsidP="005F6CF2">
            <w:pPr>
              <w:pStyle w:val="NoSpacing"/>
              <w:spacing w:after="80" w:line="240" w:lineRule="exact"/>
              <w:rPr>
                <w:b w:val="0"/>
                <w:bCs w:val="0"/>
              </w:rPr>
            </w:pPr>
            <w:r w:rsidRPr="000D5A2E">
              <w:rPr>
                <w:b w:val="0"/>
                <w:bCs w:val="0"/>
              </w:rPr>
              <w:t>Transitions were often rushed and poorly coordinated, with institutional priorities taking precedence over personal needs. Older adults frequently felt unheard and experienced loss of autonomy.</w:t>
            </w:r>
          </w:p>
        </w:tc>
      </w:tr>
      <w:tr w:rsidR="004C7C2A" w:rsidRPr="004C6AF3" w14:paraId="35C7C5B5" w14:textId="77777777" w:rsidTr="005F6CF2">
        <w:tc>
          <w:tcPr>
            <w:tcW w:w="1341" w:type="dxa"/>
          </w:tcPr>
          <w:p w14:paraId="26C09BA4" w14:textId="238026CA" w:rsidR="004C7C2A" w:rsidRPr="000D5A2E" w:rsidRDefault="004C7C2A" w:rsidP="005F6CF2">
            <w:pPr>
              <w:pStyle w:val="NoSpacing"/>
              <w:spacing w:after="80" w:line="240" w:lineRule="exact"/>
              <w:rPr>
                <w:b w:val="0"/>
                <w:bCs w:val="0"/>
              </w:rPr>
            </w:pPr>
            <w:r w:rsidRPr="000D5A2E">
              <w:rPr>
                <w:rStyle w:val="Strong"/>
              </w:rPr>
              <w:t>Hillcoat-</w:t>
            </w:r>
            <w:proofErr w:type="spellStart"/>
            <w:r w:rsidRPr="000D5A2E">
              <w:rPr>
                <w:rStyle w:val="Strong"/>
              </w:rPr>
              <w:t>Nallétamby</w:t>
            </w:r>
            <w:proofErr w:type="spellEnd"/>
            <w:r w:rsidRPr="000D5A2E">
              <w:rPr>
                <w:rStyle w:val="Strong"/>
              </w:rPr>
              <w:t xml:space="preserve"> (2019)</w:t>
            </w:r>
          </w:p>
        </w:tc>
        <w:tc>
          <w:tcPr>
            <w:tcW w:w="1224" w:type="dxa"/>
          </w:tcPr>
          <w:p w14:paraId="461F9BF9" w14:textId="007815EF" w:rsidR="004C7C2A" w:rsidRPr="000D5A2E" w:rsidRDefault="004C7C2A" w:rsidP="005F6CF2">
            <w:pPr>
              <w:pStyle w:val="NoSpacing"/>
              <w:spacing w:after="80" w:line="240" w:lineRule="exact"/>
              <w:rPr>
                <w:b w:val="0"/>
                <w:bCs w:val="0"/>
              </w:rPr>
            </w:pPr>
            <w:r w:rsidRPr="000D5A2E">
              <w:rPr>
                <w:b w:val="0"/>
                <w:bCs w:val="0"/>
              </w:rPr>
              <w:t xml:space="preserve">United Kingdom </w:t>
            </w:r>
          </w:p>
        </w:tc>
        <w:tc>
          <w:tcPr>
            <w:tcW w:w="2159" w:type="dxa"/>
          </w:tcPr>
          <w:p w14:paraId="45AF7E8A" w14:textId="2354CD4F" w:rsidR="004C7C2A" w:rsidRPr="000D5A2E" w:rsidRDefault="004C7C2A" w:rsidP="005F6CF2">
            <w:pPr>
              <w:pStyle w:val="NoSpacing"/>
              <w:spacing w:after="80" w:line="240" w:lineRule="exact"/>
              <w:rPr>
                <w:b w:val="0"/>
                <w:bCs w:val="0"/>
              </w:rPr>
            </w:pPr>
            <w:r w:rsidRPr="000D5A2E">
              <w:rPr>
                <w:b w:val="0"/>
                <w:bCs w:val="0"/>
              </w:rPr>
              <w:t>Relocation to extra-care housing</w:t>
            </w:r>
          </w:p>
        </w:tc>
        <w:tc>
          <w:tcPr>
            <w:tcW w:w="810" w:type="dxa"/>
          </w:tcPr>
          <w:p w14:paraId="7896613A" w14:textId="672D7B90" w:rsidR="004C7C2A" w:rsidRPr="000D5A2E" w:rsidRDefault="004C7C2A" w:rsidP="005F6CF2">
            <w:pPr>
              <w:pStyle w:val="NoSpacing"/>
              <w:spacing w:after="80" w:line="240" w:lineRule="exact"/>
              <w:rPr>
                <w:b w:val="0"/>
                <w:bCs w:val="0"/>
              </w:rPr>
            </w:pPr>
            <w:r w:rsidRPr="000D5A2E">
              <w:rPr>
                <w:b w:val="0"/>
                <w:bCs w:val="0"/>
              </w:rPr>
              <w:t>29</w:t>
            </w:r>
          </w:p>
        </w:tc>
        <w:tc>
          <w:tcPr>
            <w:tcW w:w="1531" w:type="dxa"/>
          </w:tcPr>
          <w:p w14:paraId="3C1CD9E5" w14:textId="07CFD8F5" w:rsidR="004C7C2A" w:rsidRPr="000D5A2E" w:rsidRDefault="004C7C2A" w:rsidP="005F6CF2">
            <w:pPr>
              <w:pStyle w:val="NoSpacing"/>
              <w:spacing w:after="80" w:line="240" w:lineRule="exact"/>
              <w:rPr>
                <w:b w:val="0"/>
                <w:bCs w:val="0"/>
              </w:rPr>
            </w:pPr>
            <w:r>
              <w:rPr>
                <w:b w:val="0"/>
                <w:bCs w:val="0"/>
              </w:rPr>
              <w:t>Mean 81.5 years</w:t>
            </w:r>
          </w:p>
        </w:tc>
        <w:tc>
          <w:tcPr>
            <w:tcW w:w="2025" w:type="dxa"/>
          </w:tcPr>
          <w:p w14:paraId="39DFE85B" w14:textId="3132C24E" w:rsidR="004C7C2A" w:rsidRPr="000D5A2E" w:rsidRDefault="004C7C2A" w:rsidP="005F6CF2">
            <w:pPr>
              <w:pStyle w:val="NoSpacing"/>
              <w:spacing w:after="80" w:line="240" w:lineRule="exact"/>
              <w:rPr>
                <w:b w:val="0"/>
                <w:bCs w:val="0"/>
              </w:rPr>
            </w:pPr>
            <w:r w:rsidRPr="000D5A2E">
              <w:rPr>
                <w:b w:val="0"/>
                <w:bCs w:val="0"/>
              </w:rPr>
              <w:t>Agency; influence of others; temporality; triggers</w:t>
            </w:r>
          </w:p>
        </w:tc>
        <w:tc>
          <w:tcPr>
            <w:tcW w:w="6478" w:type="dxa"/>
          </w:tcPr>
          <w:p w14:paraId="5DE1AD72" w14:textId="6E3DB326" w:rsidR="004C7C2A" w:rsidRPr="000D5A2E" w:rsidRDefault="004C7C2A" w:rsidP="005F6CF2">
            <w:pPr>
              <w:pStyle w:val="NoSpacing"/>
              <w:spacing w:after="80" w:line="240" w:lineRule="exact"/>
              <w:rPr>
                <w:b w:val="0"/>
                <w:bCs w:val="0"/>
              </w:rPr>
            </w:pPr>
            <w:r w:rsidRPr="000D5A2E">
              <w:rPr>
                <w:b w:val="0"/>
                <w:bCs w:val="0"/>
              </w:rPr>
              <w:t>Choice-making was shown to be a complex, time-bound process rather than a single event. The study identified different “pathways to choice,” reflecting varying degrees of agency, assistance, and delegation.</w:t>
            </w:r>
          </w:p>
        </w:tc>
      </w:tr>
      <w:tr w:rsidR="004C7C2A" w:rsidRPr="004C6AF3" w14:paraId="12E9082E" w14:textId="77777777" w:rsidTr="005F6CF2">
        <w:tc>
          <w:tcPr>
            <w:tcW w:w="1341" w:type="dxa"/>
          </w:tcPr>
          <w:p w14:paraId="4BF87BAF" w14:textId="5D4FE7D5" w:rsidR="004C7C2A" w:rsidRPr="000D5A2E" w:rsidRDefault="004C7C2A" w:rsidP="005F6CF2">
            <w:pPr>
              <w:pStyle w:val="NoSpacing"/>
              <w:spacing w:after="80" w:line="240" w:lineRule="exact"/>
              <w:rPr>
                <w:b w:val="0"/>
                <w:bCs w:val="0"/>
              </w:rPr>
            </w:pPr>
            <w:r w:rsidRPr="000D5A2E">
              <w:rPr>
                <w:rStyle w:val="Strong"/>
              </w:rPr>
              <w:t>Murphy-Morgan et al. (2024)</w:t>
            </w:r>
          </w:p>
        </w:tc>
        <w:tc>
          <w:tcPr>
            <w:tcW w:w="1224" w:type="dxa"/>
          </w:tcPr>
          <w:p w14:paraId="16ADB4A1" w14:textId="353A7182" w:rsidR="004C7C2A" w:rsidRPr="000D5A2E" w:rsidRDefault="004C7C2A" w:rsidP="005F6CF2">
            <w:pPr>
              <w:pStyle w:val="NoSpacing"/>
              <w:spacing w:after="80" w:line="240" w:lineRule="exact"/>
              <w:rPr>
                <w:b w:val="0"/>
                <w:bCs w:val="0"/>
              </w:rPr>
            </w:pPr>
            <w:r w:rsidRPr="000D5A2E">
              <w:rPr>
                <w:b w:val="0"/>
                <w:bCs w:val="0"/>
              </w:rPr>
              <w:t>United Kingdom</w:t>
            </w:r>
          </w:p>
        </w:tc>
        <w:tc>
          <w:tcPr>
            <w:tcW w:w="2159" w:type="dxa"/>
          </w:tcPr>
          <w:p w14:paraId="20F745FA" w14:textId="530C7DBE" w:rsidR="004C7C2A" w:rsidRPr="000D5A2E" w:rsidRDefault="004C7C2A" w:rsidP="005F6CF2">
            <w:pPr>
              <w:pStyle w:val="NoSpacing"/>
              <w:spacing w:after="80" w:line="240" w:lineRule="exact"/>
              <w:rPr>
                <w:b w:val="0"/>
                <w:bCs w:val="0"/>
              </w:rPr>
            </w:pPr>
            <w:r w:rsidRPr="000D5A2E">
              <w:rPr>
                <w:b w:val="0"/>
                <w:bCs w:val="0"/>
              </w:rPr>
              <w:t>Transition from independent living to supported housing</w:t>
            </w:r>
          </w:p>
        </w:tc>
        <w:tc>
          <w:tcPr>
            <w:tcW w:w="810" w:type="dxa"/>
          </w:tcPr>
          <w:p w14:paraId="49445838" w14:textId="4F4DD299" w:rsidR="004C7C2A" w:rsidRPr="000D5A2E" w:rsidRDefault="004C7C2A" w:rsidP="005F6CF2">
            <w:pPr>
              <w:pStyle w:val="NoSpacing"/>
              <w:spacing w:after="80" w:line="240" w:lineRule="exact"/>
              <w:rPr>
                <w:b w:val="0"/>
                <w:bCs w:val="0"/>
              </w:rPr>
            </w:pPr>
            <w:r w:rsidRPr="000D5A2E">
              <w:rPr>
                <w:b w:val="0"/>
                <w:bCs w:val="0"/>
              </w:rPr>
              <w:t>16</w:t>
            </w:r>
          </w:p>
        </w:tc>
        <w:tc>
          <w:tcPr>
            <w:tcW w:w="1531" w:type="dxa"/>
          </w:tcPr>
          <w:p w14:paraId="58FEDC65" w14:textId="33ED785E" w:rsidR="004C7C2A" w:rsidRDefault="004C7C2A" w:rsidP="005F6CF2">
            <w:pPr>
              <w:spacing w:after="80" w:line="240" w:lineRule="exact"/>
            </w:pPr>
            <w:r>
              <w:rPr>
                <w:rFonts w:ascii="Calibri" w:eastAsia="Calibri" w:hAnsi="Calibri" w:cs="Calibri"/>
                <w:sz w:val="20"/>
                <w:szCs w:val="20"/>
              </w:rPr>
              <w:t xml:space="preserve">Mean </w:t>
            </w:r>
            <w:r w:rsidRPr="37D4BDDB">
              <w:rPr>
                <w:rFonts w:ascii="Calibri" w:eastAsia="Calibri" w:hAnsi="Calibri" w:cs="Calibri"/>
                <w:sz w:val="20"/>
                <w:szCs w:val="20"/>
              </w:rPr>
              <w:t>61.75</w:t>
            </w:r>
            <w:r>
              <w:rPr>
                <w:rFonts w:ascii="Calibri" w:eastAsia="Calibri" w:hAnsi="Calibri" w:cs="Calibri"/>
                <w:sz w:val="20"/>
                <w:szCs w:val="20"/>
              </w:rPr>
              <w:t xml:space="preserve"> or </w:t>
            </w:r>
            <w:r w:rsidRPr="37D4BDDB">
              <w:rPr>
                <w:rFonts w:ascii="Calibri" w:eastAsia="Calibri" w:hAnsi="Calibri" w:cs="Calibri"/>
                <w:sz w:val="20"/>
                <w:szCs w:val="20"/>
              </w:rPr>
              <w:t>70.0</w:t>
            </w:r>
            <w:r>
              <w:rPr>
                <w:rFonts w:ascii="Calibri" w:eastAsia="Calibri" w:hAnsi="Calibri" w:cs="Calibri"/>
                <w:sz w:val="20"/>
                <w:szCs w:val="20"/>
              </w:rPr>
              <w:t xml:space="preserve"> years</w:t>
            </w:r>
            <w:r w:rsidRPr="37D4BDDB">
              <w:rPr>
                <w:rFonts w:ascii="Calibri" w:eastAsia="Calibri" w:hAnsi="Calibri" w:cs="Calibri"/>
                <w:sz w:val="20"/>
                <w:szCs w:val="20"/>
              </w:rPr>
              <w:t xml:space="preserve"> by subgroup</w:t>
            </w:r>
          </w:p>
          <w:p w14:paraId="5DF9325C" w14:textId="028D9D60" w:rsidR="004C7C2A" w:rsidRPr="000D5A2E" w:rsidRDefault="004C7C2A" w:rsidP="005F6CF2">
            <w:pPr>
              <w:pStyle w:val="NoSpacing"/>
              <w:spacing w:after="80" w:line="240" w:lineRule="exact"/>
            </w:pPr>
          </w:p>
        </w:tc>
        <w:tc>
          <w:tcPr>
            <w:tcW w:w="2025" w:type="dxa"/>
          </w:tcPr>
          <w:p w14:paraId="3C0DE158" w14:textId="7E7CB161" w:rsidR="004C7C2A" w:rsidRPr="000D5A2E" w:rsidRDefault="004C7C2A" w:rsidP="005F6CF2">
            <w:pPr>
              <w:pStyle w:val="NoSpacing"/>
              <w:spacing w:after="80" w:line="240" w:lineRule="exact"/>
              <w:rPr>
                <w:b w:val="0"/>
                <w:bCs w:val="0"/>
              </w:rPr>
            </w:pPr>
            <w:r w:rsidRPr="000D5A2E">
              <w:rPr>
                <w:b w:val="0"/>
                <w:bCs w:val="0"/>
              </w:rPr>
              <w:t>Crisis events; stigma; support; lack of information</w:t>
            </w:r>
          </w:p>
        </w:tc>
        <w:tc>
          <w:tcPr>
            <w:tcW w:w="6478" w:type="dxa"/>
          </w:tcPr>
          <w:p w14:paraId="7B8AB259" w14:textId="7705CA6F" w:rsidR="004C7C2A" w:rsidRPr="000D5A2E" w:rsidRDefault="004C7C2A" w:rsidP="005F6CF2">
            <w:pPr>
              <w:pStyle w:val="NoSpacing"/>
              <w:spacing w:after="80" w:line="240" w:lineRule="exact"/>
              <w:rPr>
                <w:b w:val="0"/>
                <w:bCs w:val="0"/>
              </w:rPr>
            </w:pPr>
            <w:r w:rsidRPr="000D5A2E">
              <w:rPr>
                <w:b w:val="0"/>
                <w:bCs w:val="0"/>
              </w:rPr>
              <w:t>Moves were typically precipitated by crisis rather than planned in advance. Despite initial stress and stigma, participants often described improved support, reduced loneliness, and maintained independence after the move.</w:t>
            </w:r>
          </w:p>
        </w:tc>
      </w:tr>
      <w:tr w:rsidR="004C7C2A" w:rsidRPr="004C6AF3" w14:paraId="31BBFA64" w14:textId="77777777" w:rsidTr="005F6CF2">
        <w:tc>
          <w:tcPr>
            <w:tcW w:w="1341" w:type="dxa"/>
          </w:tcPr>
          <w:p w14:paraId="10EB8C54" w14:textId="49AFEB73" w:rsidR="004C7C2A" w:rsidRPr="000D5A2E" w:rsidRDefault="004C7C2A" w:rsidP="005F6CF2">
            <w:pPr>
              <w:pStyle w:val="NoSpacing"/>
              <w:spacing w:after="80" w:line="240" w:lineRule="exact"/>
              <w:rPr>
                <w:b w:val="0"/>
                <w:bCs w:val="0"/>
              </w:rPr>
            </w:pPr>
            <w:r w:rsidRPr="000D5A2E">
              <w:rPr>
                <w:rStyle w:val="Strong"/>
              </w:rPr>
              <w:lastRenderedPageBreak/>
              <w:t xml:space="preserve">Burgess &amp; </w:t>
            </w:r>
            <w:proofErr w:type="spellStart"/>
            <w:r w:rsidRPr="000D5A2E">
              <w:rPr>
                <w:rStyle w:val="Strong"/>
              </w:rPr>
              <w:t>Quinio</w:t>
            </w:r>
            <w:proofErr w:type="spellEnd"/>
            <w:r w:rsidRPr="000D5A2E">
              <w:rPr>
                <w:rStyle w:val="Strong"/>
              </w:rPr>
              <w:t xml:space="preserve"> (2021)</w:t>
            </w:r>
          </w:p>
        </w:tc>
        <w:tc>
          <w:tcPr>
            <w:tcW w:w="1224" w:type="dxa"/>
          </w:tcPr>
          <w:p w14:paraId="37732E29" w14:textId="1E2157CE" w:rsidR="004C7C2A" w:rsidRPr="000D5A2E" w:rsidRDefault="004C7C2A" w:rsidP="005F6CF2">
            <w:pPr>
              <w:pStyle w:val="NoSpacing"/>
              <w:spacing w:after="80" w:line="240" w:lineRule="exact"/>
              <w:rPr>
                <w:b w:val="0"/>
                <w:bCs w:val="0"/>
              </w:rPr>
            </w:pPr>
            <w:r w:rsidRPr="000D5A2E">
              <w:rPr>
                <w:b w:val="0"/>
                <w:bCs w:val="0"/>
              </w:rPr>
              <w:t xml:space="preserve">United Kingdom </w:t>
            </w:r>
          </w:p>
        </w:tc>
        <w:tc>
          <w:tcPr>
            <w:tcW w:w="2159" w:type="dxa"/>
          </w:tcPr>
          <w:p w14:paraId="58BEA4D9" w14:textId="467478B2" w:rsidR="004C7C2A" w:rsidRPr="000D5A2E" w:rsidRDefault="004C7C2A" w:rsidP="005F6CF2">
            <w:pPr>
              <w:pStyle w:val="NoSpacing"/>
              <w:spacing w:after="80" w:line="240" w:lineRule="exact"/>
              <w:rPr>
                <w:b w:val="0"/>
                <w:bCs w:val="0"/>
              </w:rPr>
            </w:pPr>
            <w:r w:rsidRPr="000D5A2E">
              <w:rPr>
                <w:b w:val="0"/>
                <w:bCs w:val="0"/>
              </w:rPr>
              <w:t>Varied later-life moves, including downsizing and lateral moves</w:t>
            </w:r>
          </w:p>
        </w:tc>
        <w:tc>
          <w:tcPr>
            <w:tcW w:w="810" w:type="dxa"/>
          </w:tcPr>
          <w:p w14:paraId="24C6FD63" w14:textId="70AC74F8" w:rsidR="004C7C2A" w:rsidRPr="000D5A2E" w:rsidRDefault="004C7C2A" w:rsidP="005F6CF2">
            <w:pPr>
              <w:pStyle w:val="NoSpacing"/>
              <w:spacing w:after="80" w:line="240" w:lineRule="exact"/>
              <w:rPr>
                <w:b w:val="0"/>
                <w:bCs w:val="0"/>
              </w:rPr>
            </w:pPr>
            <w:r>
              <w:rPr>
                <w:b w:val="0"/>
                <w:bCs w:val="0"/>
              </w:rPr>
              <w:t>44</w:t>
            </w:r>
          </w:p>
        </w:tc>
        <w:tc>
          <w:tcPr>
            <w:tcW w:w="1531" w:type="dxa"/>
          </w:tcPr>
          <w:p w14:paraId="00F38FAB" w14:textId="2F50C210" w:rsidR="004C7C2A" w:rsidRPr="000D5A2E" w:rsidRDefault="004C7C2A" w:rsidP="005F6CF2">
            <w:pPr>
              <w:pStyle w:val="NoSpacing"/>
              <w:spacing w:after="80" w:line="240" w:lineRule="exact"/>
              <w:rPr>
                <w:b w:val="0"/>
                <w:bCs w:val="0"/>
              </w:rPr>
            </w:pPr>
            <w:r>
              <w:rPr>
                <w:b w:val="0"/>
                <w:bCs w:val="0"/>
              </w:rPr>
              <w:t>Range 55-85+</w:t>
            </w:r>
          </w:p>
        </w:tc>
        <w:tc>
          <w:tcPr>
            <w:tcW w:w="2025" w:type="dxa"/>
          </w:tcPr>
          <w:p w14:paraId="1ADB384A" w14:textId="3AB4464B" w:rsidR="004C7C2A" w:rsidRPr="000D5A2E" w:rsidRDefault="004C7C2A" w:rsidP="005F6CF2">
            <w:pPr>
              <w:pStyle w:val="NoSpacing"/>
              <w:spacing w:after="80" w:line="240" w:lineRule="exact"/>
              <w:rPr>
                <w:b w:val="0"/>
                <w:bCs w:val="0"/>
              </w:rPr>
            </w:pPr>
            <w:r w:rsidRPr="000D5A2E">
              <w:rPr>
                <w:b w:val="0"/>
                <w:bCs w:val="0"/>
              </w:rPr>
              <w:t>Health; mobility; maintenance; family; lifestyle; housing market</w:t>
            </w:r>
          </w:p>
        </w:tc>
        <w:tc>
          <w:tcPr>
            <w:tcW w:w="6478" w:type="dxa"/>
          </w:tcPr>
          <w:p w14:paraId="670B25F4" w14:textId="70CC5F24" w:rsidR="004C7C2A" w:rsidRPr="000D5A2E" w:rsidRDefault="004C7C2A" w:rsidP="005F6CF2">
            <w:pPr>
              <w:pStyle w:val="NoSpacing"/>
              <w:spacing w:after="80" w:line="240" w:lineRule="exact"/>
              <w:rPr>
                <w:b w:val="0"/>
                <w:bCs w:val="0"/>
              </w:rPr>
            </w:pPr>
            <w:r w:rsidRPr="000D5A2E">
              <w:rPr>
                <w:b w:val="0"/>
                <w:bCs w:val="0"/>
              </w:rPr>
              <w:t>The study showed that only a minority of later-life moves fit a classic downsizing model. Older adults’ moves were diverse and shaped by lifestyle, family, health, and future flexibility rather than simply size or cost.</w:t>
            </w:r>
          </w:p>
        </w:tc>
      </w:tr>
      <w:tr w:rsidR="004C7C2A" w:rsidRPr="004C6AF3" w14:paraId="2F1C6850" w14:textId="77777777" w:rsidTr="005F6CF2">
        <w:tc>
          <w:tcPr>
            <w:tcW w:w="1341" w:type="dxa"/>
          </w:tcPr>
          <w:p w14:paraId="138189F9" w14:textId="7FED9D6F" w:rsidR="004C7C2A" w:rsidRPr="000D5A2E" w:rsidRDefault="004C7C2A" w:rsidP="005F6CF2">
            <w:pPr>
              <w:pStyle w:val="NoSpacing"/>
              <w:spacing w:after="80" w:line="240" w:lineRule="exact"/>
              <w:rPr>
                <w:b w:val="0"/>
                <w:bCs w:val="0"/>
              </w:rPr>
            </w:pPr>
            <w:r w:rsidRPr="000D5A2E">
              <w:rPr>
                <w:rStyle w:val="Strong"/>
              </w:rPr>
              <w:t>Lewis &amp; Buffel (2020)</w:t>
            </w:r>
          </w:p>
        </w:tc>
        <w:tc>
          <w:tcPr>
            <w:tcW w:w="1224" w:type="dxa"/>
          </w:tcPr>
          <w:p w14:paraId="6B96DF69" w14:textId="00322992" w:rsidR="004C7C2A" w:rsidRPr="000D5A2E" w:rsidRDefault="004C7C2A" w:rsidP="005F6CF2">
            <w:pPr>
              <w:pStyle w:val="NoSpacing"/>
              <w:spacing w:after="80" w:line="240" w:lineRule="exact"/>
              <w:rPr>
                <w:b w:val="0"/>
                <w:bCs w:val="0"/>
              </w:rPr>
            </w:pPr>
            <w:r w:rsidRPr="000D5A2E">
              <w:rPr>
                <w:b w:val="0"/>
                <w:bCs w:val="0"/>
              </w:rPr>
              <w:t xml:space="preserve">United Kingdom </w:t>
            </w:r>
          </w:p>
        </w:tc>
        <w:tc>
          <w:tcPr>
            <w:tcW w:w="2159" w:type="dxa"/>
          </w:tcPr>
          <w:p w14:paraId="1605A3B4" w14:textId="17068273" w:rsidR="004C7C2A" w:rsidRPr="000D5A2E" w:rsidRDefault="004C7C2A" w:rsidP="005F6CF2">
            <w:pPr>
              <w:pStyle w:val="NoSpacing"/>
              <w:spacing w:after="80" w:line="240" w:lineRule="exact"/>
              <w:rPr>
                <w:b w:val="0"/>
                <w:bCs w:val="0"/>
              </w:rPr>
            </w:pPr>
            <w:r w:rsidRPr="000D5A2E">
              <w:rPr>
                <w:b w:val="0"/>
                <w:bCs w:val="0"/>
              </w:rPr>
              <w:t>Ageing in place / remaining in same home and neighbourhood</w:t>
            </w:r>
          </w:p>
        </w:tc>
        <w:tc>
          <w:tcPr>
            <w:tcW w:w="810" w:type="dxa"/>
          </w:tcPr>
          <w:p w14:paraId="7165DADF" w14:textId="5B66DC5E" w:rsidR="004C7C2A" w:rsidRPr="000D5A2E" w:rsidRDefault="004C7C2A" w:rsidP="005F6CF2">
            <w:pPr>
              <w:pStyle w:val="NoSpacing"/>
              <w:spacing w:after="80" w:line="240" w:lineRule="exact"/>
              <w:rPr>
                <w:b w:val="0"/>
                <w:bCs w:val="0"/>
              </w:rPr>
            </w:pPr>
            <w:r w:rsidRPr="000D5A2E">
              <w:rPr>
                <w:b w:val="0"/>
                <w:bCs w:val="0"/>
              </w:rPr>
              <w:t xml:space="preserve">24 </w:t>
            </w:r>
          </w:p>
        </w:tc>
        <w:tc>
          <w:tcPr>
            <w:tcW w:w="1531" w:type="dxa"/>
          </w:tcPr>
          <w:p w14:paraId="6B8A9CD6" w14:textId="6223DF48" w:rsidR="004C7C2A" w:rsidRPr="000D5A2E" w:rsidRDefault="004C7C2A" w:rsidP="005F6CF2">
            <w:pPr>
              <w:pStyle w:val="NoSpacing"/>
              <w:spacing w:after="80" w:line="240" w:lineRule="exact"/>
              <w:rPr>
                <w:b w:val="0"/>
                <w:bCs w:val="0"/>
              </w:rPr>
            </w:pPr>
            <w:r>
              <w:rPr>
                <w:b w:val="0"/>
                <w:bCs w:val="0"/>
              </w:rPr>
              <w:t xml:space="preserve">Range mid-50s - late 70s </w:t>
            </w:r>
          </w:p>
        </w:tc>
        <w:tc>
          <w:tcPr>
            <w:tcW w:w="2025" w:type="dxa"/>
          </w:tcPr>
          <w:p w14:paraId="3FAFB973" w14:textId="5D3649FE" w:rsidR="004C7C2A" w:rsidRPr="000D5A2E" w:rsidRDefault="004C7C2A" w:rsidP="005F6CF2">
            <w:pPr>
              <w:pStyle w:val="NoSpacing"/>
              <w:spacing w:after="80" w:line="240" w:lineRule="exact"/>
              <w:rPr>
                <w:b w:val="0"/>
                <w:bCs w:val="0"/>
              </w:rPr>
            </w:pPr>
            <w:r w:rsidRPr="000D5A2E">
              <w:rPr>
                <w:b w:val="0"/>
                <w:bCs w:val="0"/>
              </w:rPr>
              <w:t>Place attachment; social networks; neighbourhood change; health</w:t>
            </w:r>
          </w:p>
        </w:tc>
        <w:tc>
          <w:tcPr>
            <w:tcW w:w="6478" w:type="dxa"/>
          </w:tcPr>
          <w:p w14:paraId="536A466B" w14:textId="4A820726" w:rsidR="004C7C2A" w:rsidRPr="000D5A2E" w:rsidRDefault="004C7C2A" w:rsidP="005F6CF2">
            <w:pPr>
              <w:pStyle w:val="NoSpacing"/>
              <w:spacing w:after="80" w:line="240" w:lineRule="exact"/>
              <w:rPr>
                <w:b w:val="0"/>
                <w:bCs w:val="0"/>
              </w:rPr>
            </w:pPr>
            <w:r w:rsidRPr="000D5A2E">
              <w:rPr>
                <w:b w:val="0"/>
                <w:bCs w:val="0"/>
              </w:rPr>
              <w:t>Ageing in place was dynamic rather than static. Attachment to home could strengthen or weaken over time depending on health, social ties, and neighbourhood change.</w:t>
            </w:r>
          </w:p>
        </w:tc>
      </w:tr>
      <w:tr w:rsidR="004C7C2A" w:rsidRPr="004C6AF3" w14:paraId="0D26395A" w14:textId="77777777" w:rsidTr="005F6CF2">
        <w:tc>
          <w:tcPr>
            <w:tcW w:w="1341" w:type="dxa"/>
          </w:tcPr>
          <w:p w14:paraId="6FDA9F0C" w14:textId="6A4503EC" w:rsidR="004C7C2A" w:rsidRPr="000D5A2E" w:rsidRDefault="004C7C2A" w:rsidP="005F6CF2">
            <w:pPr>
              <w:pStyle w:val="NoSpacing"/>
              <w:spacing w:after="80" w:line="240" w:lineRule="exact"/>
              <w:rPr>
                <w:b w:val="0"/>
                <w:bCs w:val="0"/>
              </w:rPr>
            </w:pPr>
            <w:r w:rsidRPr="000D5A2E">
              <w:rPr>
                <w:rStyle w:val="Strong"/>
              </w:rPr>
              <w:t>Poyner, Innes &amp; Dekker (2017)</w:t>
            </w:r>
          </w:p>
        </w:tc>
        <w:tc>
          <w:tcPr>
            <w:tcW w:w="1224" w:type="dxa"/>
          </w:tcPr>
          <w:p w14:paraId="31149555" w14:textId="1F716E34" w:rsidR="004C7C2A" w:rsidRPr="000D5A2E" w:rsidRDefault="004C7C2A" w:rsidP="005F6CF2">
            <w:pPr>
              <w:pStyle w:val="NoSpacing"/>
              <w:spacing w:after="80" w:line="240" w:lineRule="exact"/>
              <w:rPr>
                <w:b w:val="0"/>
                <w:bCs w:val="0"/>
              </w:rPr>
            </w:pPr>
            <w:r w:rsidRPr="000D5A2E">
              <w:rPr>
                <w:b w:val="0"/>
                <w:bCs w:val="0"/>
              </w:rPr>
              <w:t xml:space="preserve">United Kingdom </w:t>
            </w:r>
          </w:p>
        </w:tc>
        <w:tc>
          <w:tcPr>
            <w:tcW w:w="2159" w:type="dxa"/>
          </w:tcPr>
          <w:p w14:paraId="7DB1AF06" w14:textId="62CEF7C9" w:rsidR="004C7C2A" w:rsidRPr="000D5A2E" w:rsidRDefault="004C7C2A" w:rsidP="005F6CF2">
            <w:pPr>
              <w:pStyle w:val="NoSpacing"/>
              <w:spacing w:after="80" w:line="240" w:lineRule="exact"/>
              <w:rPr>
                <w:b w:val="0"/>
                <w:bCs w:val="0"/>
              </w:rPr>
            </w:pPr>
            <w:r w:rsidRPr="000D5A2E">
              <w:rPr>
                <w:b w:val="0"/>
                <w:bCs w:val="0"/>
              </w:rPr>
              <w:t>Potential move from home to extra care/shared care for couples where one partner has dementia</w:t>
            </w:r>
          </w:p>
        </w:tc>
        <w:tc>
          <w:tcPr>
            <w:tcW w:w="810" w:type="dxa"/>
          </w:tcPr>
          <w:p w14:paraId="24946E85" w14:textId="09D2D2C8" w:rsidR="004C7C2A" w:rsidRPr="000D5A2E" w:rsidRDefault="004C7C2A" w:rsidP="005F6CF2">
            <w:pPr>
              <w:pStyle w:val="NoSpacing"/>
              <w:spacing w:after="80" w:line="240" w:lineRule="exact"/>
              <w:rPr>
                <w:b w:val="0"/>
                <w:bCs w:val="0"/>
              </w:rPr>
            </w:pPr>
            <w:r w:rsidRPr="000D5A2E">
              <w:rPr>
                <w:b w:val="0"/>
                <w:bCs w:val="0"/>
              </w:rPr>
              <w:t>17</w:t>
            </w:r>
          </w:p>
        </w:tc>
        <w:tc>
          <w:tcPr>
            <w:tcW w:w="1531" w:type="dxa"/>
          </w:tcPr>
          <w:p w14:paraId="6D60A92C" w14:textId="1F1CE41E" w:rsidR="004C7C2A" w:rsidRPr="000D5A2E" w:rsidRDefault="004C7C2A" w:rsidP="005F6CF2">
            <w:pPr>
              <w:pStyle w:val="NoSpacing"/>
              <w:spacing w:after="80" w:line="240" w:lineRule="exact"/>
              <w:rPr>
                <w:b w:val="0"/>
                <w:bCs w:val="0"/>
              </w:rPr>
            </w:pPr>
            <w:r>
              <w:rPr>
                <w:b w:val="0"/>
                <w:bCs w:val="0"/>
              </w:rPr>
              <w:t>65+</w:t>
            </w:r>
          </w:p>
        </w:tc>
        <w:tc>
          <w:tcPr>
            <w:tcW w:w="2025" w:type="dxa"/>
          </w:tcPr>
          <w:p w14:paraId="3046FA6A" w14:textId="654AB4B2" w:rsidR="004C7C2A" w:rsidRPr="000D5A2E" w:rsidRDefault="004C7C2A" w:rsidP="005F6CF2">
            <w:pPr>
              <w:pStyle w:val="NoSpacing"/>
              <w:spacing w:after="80" w:line="240" w:lineRule="exact"/>
              <w:rPr>
                <w:b w:val="0"/>
                <w:bCs w:val="0"/>
              </w:rPr>
            </w:pPr>
            <w:r w:rsidRPr="000D5A2E">
              <w:rPr>
                <w:b w:val="0"/>
                <w:bCs w:val="0"/>
              </w:rPr>
              <w:t>Emotional attachment; uncertainty; cost; desire to stay together</w:t>
            </w:r>
          </w:p>
        </w:tc>
        <w:tc>
          <w:tcPr>
            <w:tcW w:w="6478" w:type="dxa"/>
          </w:tcPr>
          <w:p w14:paraId="2E01910C" w14:textId="52B713D8" w:rsidR="004C7C2A" w:rsidRPr="000D5A2E" w:rsidRDefault="004C7C2A" w:rsidP="005F6CF2">
            <w:pPr>
              <w:pStyle w:val="NoSpacing"/>
              <w:spacing w:after="80" w:line="240" w:lineRule="exact"/>
              <w:rPr>
                <w:b w:val="0"/>
                <w:bCs w:val="0"/>
              </w:rPr>
            </w:pPr>
            <w:r w:rsidRPr="000D5A2E">
              <w:rPr>
                <w:b w:val="0"/>
                <w:bCs w:val="0"/>
              </w:rPr>
              <w:t>Couples generally preferred to remain at home and saw extra care as a last resort rather than a proactive lifestyle choice. Barriers included attachment to home, financial concerns, and uncertainty about timing and future outcomes.</w:t>
            </w:r>
          </w:p>
        </w:tc>
      </w:tr>
      <w:tr w:rsidR="004C7C2A" w:rsidRPr="0066078D" w14:paraId="4DE16F3F" w14:textId="77777777" w:rsidTr="005F6CF2">
        <w:tc>
          <w:tcPr>
            <w:tcW w:w="1341" w:type="dxa"/>
          </w:tcPr>
          <w:p w14:paraId="0E72E9D2" w14:textId="777B784D" w:rsidR="004C7C2A" w:rsidRPr="000D5A2E" w:rsidRDefault="004C7C2A" w:rsidP="005F6CF2">
            <w:pPr>
              <w:pStyle w:val="NoSpacing"/>
              <w:spacing w:after="80" w:line="240" w:lineRule="exact"/>
              <w:rPr>
                <w:b w:val="0"/>
                <w:bCs w:val="0"/>
              </w:rPr>
            </w:pPr>
            <w:r w:rsidRPr="000D5A2E">
              <w:rPr>
                <w:rStyle w:val="Strong"/>
              </w:rPr>
              <w:t>Robinson, Green &amp; Wilson (2020)</w:t>
            </w:r>
          </w:p>
        </w:tc>
        <w:tc>
          <w:tcPr>
            <w:tcW w:w="1224" w:type="dxa"/>
          </w:tcPr>
          <w:p w14:paraId="6980D2A3" w14:textId="5D9D8227" w:rsidR="004C7C2A" w:rsidRPr="000D5A2E" w:rsidRDefault="004C7C2A" w:rsidP="005F6CF2">
            <w:pPr>
              <w:pStyle w:val="NoSpacing"/>
              <w:spacing w:after="80" w:line="240" w:lineRule="exact"/>
              <w:rPr>
                <w:b w:val="0"/>
                <w:bCs w:val="0"/>
              </w:rPr>
            </w:pPr>
            <w:r w:rsidRPr="000D5A2E">
              <w:rPr>
                <w:b w:val="0"/>
                <w:bCs w:val="0"/>
              </w:rPr>
              <w:t xml:space="preserve">United Kingdom </w:t>
            </w:r>
          </w:p>
        </w:tc>
        <w:tc>
          <w:tcPr>
            <w:tcW w:w="2159" w:type="dxa"/>
          </w:tcPr>
          <w:p w14:paraId="0E1D9DA5" w14:textId="68EA3C63" w:rsidR="004C7C2A" w:rsidRPr="000D5A2E" w:rsidRDefault="004C7C2A" w:rsidP="005F6CF2">
            <w:pPr>
              <w:pStyle w:val="NoSpacing"/>
              <w:spacing w:after="80" w:line="240" w:lineRule="exact"/>
              <w:rPr>
                <w:b w:val="0"/>
                <w:bCs w:val="0"/>
              </w:rPr>
            </w:pPr>
            <w:r w:rsidRPr="000D5A2E">
              <w:rPr>
                <w:b w:val="0"/>
                <w:bCs w:val="0"/>
              </w:rPr>
              <w:t>Potential moves from general needs housing to more suitable general or specialist housing, or adaptations to stay put</w:t>
            </w:r>
          </w:p>
        </w:tc>
        <w:tc>
          <w:tcPr>
            <w:tcW w:w="810" w:type="dxa"/>
          </w:tcPr>
          <w:p w14:paraId="21358209" w14:textId="4ACE9DCD" w:rsidR="004C7C2A" w:rsidRPr="000D5A2E" w:rsidRDefault="004C7C2A" w:rsidP="005F6CF2">
            <w:pPr>
              <w:pStyle w:val="NoSpacing"/>
              <w:spacing w:after="80" w:line="240" w:lineRule="exact"/>
              <w:rPr>
                <w:b w:val="0"/>
                <w:bCs w:val="0"/>
              </w:rPr>
            </w:pPr>
            <w:r>
              <w:rPr>
                <w:b w:val="0"/>
                <w:bCs w:val="0"/>
              </w:rPr>
              <w:t xml:space="preserve">70 </w:t>
            </w:r>
          </w:p>
        </w:tc>
        <w:tc>
          <w:tcPr>
            <w:tcW w:w="1531" w:type="dxa"/>
          </w:tcPr>
          <w:p w14:paraId="1CCA4480" w14:textId="47CAF076" w:rsidR="004C7C2A" w:rsidRPr="000D5A2E" w:rsidRDefault="004C7C2A" w:rsidP="005F6CF2">
            <w:pPr>
              <w:pStyle w:val="NoSpacing"/>
              <w:spacing w:after="80" w:line="240" w:lineRule="exact"/>
              <w:rPr>
                <w:b w:val="0"/>
                <w:bCs w:val="0"/>
              </w:rPr>
            </w:pPr>
            <w:r>
              <w:rPr>
                <w:b w:val="0"/>
                <w:bCs w:val="0"/>
              </w:rPr>
              <w:t>55+</w:t>
            </w:r>
          </w:p>
        </w:tc>
        <w:tc>
          <w:tcPr>
            <w:tcW w:w="2025" w:type="dxa"/>
          </w:tcPr>
          <w:p w14:paraId="16B2A2F1" w14:textId="193F4C28" w:rsidR="004C7C2A" w:rsidRPr="000D5A2E" w:rsidRDefault="004C7C2A" w:rsidP="005F6CF2">
            <w:pPr>
              <w:pStyle w:val="NoSpacing"/>
              <w:spacing w:after="80" w:line="240" w:lineRule="exact"/>
              <w:rPr>
                <w:b w:val="0"/>
                <w:bCs w:val="0"/>
              </w:rPr>
            </w:pPr>
            <w:r w:rsidRPr="000D5A2E">
              <w:rPr>
                <w:b w:val="0"/>
                <w:bCs w:val="0"/>
              </w:rPr>
              <w:t>Housing supply; adaptation services; market failure; information gaps</w:t>
            </w:r>
          </w:p>
        </w:tc>
        <w:tc>
          <w:tcPr>
            <w:tcW w:w="6478" w:type="dxa"/>
          </w:tcPr>
          <w:p w14:paraId="5E21B31E" w14:textId="7B709D22" w:rsidR="004C7C2A" w:rsidRPr="000D5A2E" w:rsidRDefault="004C7C2A" w:rsidP="005F6CF2">
            <w:pPr>
              <w:pStyle w:val="NoSpacing"/>
              <w:spacing w:after="80" w:line="240" w:lineRule="exact"/>
              <w:rPr>
                <w:b w:val="0"/>
                <w:bCs w:val="0"/>
              </w:rPr>
            </w:pPr>
            <w:r w:rsidRPr="000D5A2E">
              <w:rPr>
                <w:b w:val="0"/>
                <w:bCs w:val="0"/>
              </w:rPr>
              <w:t>The study found a major gap between policy rhetoric about later-life housing choice and the reality of limited provision. Older adults often faced a narrow choice between staying put and making do, or seeking scarce specialist housing.</w:t>
            </w:r>
          </w:p>
        </w:tc>
      </w:tr>
      <w:tr w:rsidR="004C7C2A" w:rsidRPr="004C6AF3" w14:paraId="7062426F" w14:textId="77777777" w:rsidTr="005F6CF2">
        <w:tc>
          <w:tcPr>
            <w:tcW w:w="1341" w:type="dxa"/>
          </w:tcPr>
          <w:p w14:paraId="5C75AC8F" w14:textId="51C8AFBF" w:rsidR="004C7C2A" w:rsidRPr="000D5A2E" w:rsidRDefault="004C7C2A" w:rsidP="005F6CF2">
            <w:pPr>
              <w:pStyle w:val="NoSpacing"/>
              <w:spacing w:after="80" w:line="240" w:lineRule="exact"/>
              <w:rPr>
                <w:b w:val="0"/>
                <w:bCs w:val="0"/>
              </w:rPr>
            </w:pPr>
            <w:proofErr w:type="spellStart"/>
            <w:r w:rsidRPr="000D5A2E">
              <w:rPr>
                <w:rStyle w:val="Strong"/>
              </w:rPr>
              <w:t>Scheibl</w:t>
            </w:r>
            <w:proofErr w:type="spellEnd"/>
            <w:r w:rsidRPr="000D5A2E">
              <w:rPr>
                <w:rStyle w:val="Strong"/>
              </w:rPr>
              <w:t xml:space="preserve"> et al. (2019)</w:t>
            </w:r>
          </w:p>
        </w:tc>
        <w:tc>
          <w:tcPr>
            <w:tcW w:w="1224" w:type="dxa"/>
          </w:tcPr>
          <w:p w14:paraId="2969E0A3" w14:textId="7E970268" w:rsidR="004C7C2A" w:rsidRPr="000D5A2E" w:rsidRDefault="004C7C2A" w:rsidP="005F6CF2">
            <w:pPr>
              <w:pStyle w:val="NoSpacing"/>
              <w:spacing w:after="80" w:line="240" w:lineRule="exact"/>
              <w:rPr>
                <w:b w:val="0"/>
                <w:bCs w:val="0"/>
              </w:rPr>
            </w:pPr>
            <w:r w:rsidRPr="000D5A2E">
              <w:rPr>
                <w:b w:val="0"/>
                <w:bCs w:val="0"/>
              </w:rPr>
              <w:t xml:space="preserve">United Kingdom </w:t>
            </w:r>
          </w:p>
        </w:tc>
        <w:tc>
          <w:tcPr>
            <w:tcW w:w="2159" w:type="dxa"/>
          </w:tcPr>
          <w:p w14:paraId="5DDB9C43" w14:textId="1D339DCE" w:rsidR="004C7C2A" w:rsidRPr="000D5A2E" w:rsidRDefault="004C7C2A" w:rsidP="005F6CF2">
            <w:pPr>
              <w:pStyle w:val="NoSpacing"/>
              <w:spacing w:after="80" w:line="240" w:lineRule="exact"/>
              <w:rPr>
                <w:b w:val="0"/>
                <w:bCs w:val="0"/>
              </w:rPr>
            </w:pPr>
            <w:r w:rsidRPr="000D5A2E">
              <w:rPr>
                <w:b w:val="0"/>
                <w:bCs w:val="0"/>
              </w:rPr>
              <w:t>Moves from home to sheltered housing, family homes, residential or nursing care</w:t>
            </w:r>
          </w:p>
        </w:tc>
        <w:tc>
          <w:tcPr>
            <w:tcW w:w="810" w:type="dxa"/>
          </w:tcPr>
          <w:p w14:paraId="4D06A861" w14:textId="4CE6C29A" w:rsidR="004C7C2A" w:rsidRPr="000D5A2E" w:rsidRDefault="004C7C2A" w:rsidP="005F6CF2">
            <w:pPr>
              <w:pStyle w:val="NoSpacing"/>
              <w:spacing w:after="80" w:line="240" w:lineRule="exact"/>
              <w:rPr>
                <w:b w:val="0"/>
                <w:bCs w:val="0"/>
              </w:rPr>
            </w:pPr>
            <w:r>
              <w:rPr>
                <w:b w:val="0"/>
                <w:bCs w:val="0"/>
              </w:rPr>
              <w:t>49</w:t>
            </w:r>
          </w:p>
        </w:tc>
        <w:tc>
          <w:tcPr>
            <w:tcW w:w="1531" w:type="dxa"/>
          </w:tcPr>
          <w:p w14:paraId="13767C9D" w14:textId="4349FB61" w:rsidR="004C7C2A" w:rsidRPr="000D5A2E" w:rsidRDefault="004C7C2A" w:rsidP="005F6CF2">
            <w:pPr>
              <w:pStyle w:val="NoSpacing"/>
              <w:spacing w:after="80" w:line="240" w:lineRule="exact"/>
              <w:rPr>
                <w:b w:val="0"/>
                <w:bCs w:val="0"/>
              </w:rPr>
            </w:pPr>
            <w:r>
              <w:rPr>
                <w:b w:val="0"/>
                <w:bCs w:val="0"/>
              </w:rPr>
              <w:t>Range 95-101</w:t>
            </w:r>
          </w:p>
        </w:tc>
        <w:tc>
          <w:tcPr>
            <w:tcW w:w="2025" w:type="dxa"/>
          </w:tcPr>
          <w:p w14:paraId="439751AD" w14:textId="0E3AB4E2" w:rsidR="004C7C2A" w:rsidRPr="000D5A2E" w:rsidRDefault="004C7C2A" w:rsidP="005F6CF2">
            <w:pPr>
              <w:pStyle w:val="NoSpacing"/>
              <w:spacing w:after="80" w:line="240" w:lineRule="exact"/>
              <w:rPr>
                <w:b w:val="0"/>
                <w:bCs w:val="0"/>
              </w:rPr>
            </w:pPr>
            <w:r w:rsidRPr="000D5A2E">
              <w:rPr>
                <w:b w:val="0"/>
                <w:bCs w:val="0"/>
              </w:rPr>
              <w:t>Health crisis; frailty; family support; attachment to home</w:t>
            </w:r>
          </w:p>
        </w:tc>
        <w:tc>
          <w:tcPr>
            <w:tcW w:w="6478" w:type="dxa"/>
          </w:tcPr>
          <w:p w14:paraId="1F252DFF" w14:textId="372F76AB" w:rsidR="004C7C2A" w:rsidRPr="000D5A2E" w:rsidRDefault="004C7C2A" w:rsidP="005F6CF2">
            <w:pPr>
              <w:pStyle w:val="NoSpacing"/>
              <w:spacing w:after="80" w:line="240" w:lineRule="exact"/>
              <w:rPr>
                <w:b w:val="0"/>
                <w:bCs w:val="0"/>
              </w:rPr>
            </w:pPr>
            <w:r w:rsidRPr="000D5A2E">
              <w:rPr>
                <w:b w:val="0"/>
                <w:bCs w:val="0"/>
              </w:rPr>
              <w:t>Only a minority of very old participants made self-motivated moves. Most moves were crisis-driven and involved family or professionals, with safety often prioritised over autonomy.</w:t>
            </w:r>
          </w:p>
        </w:tc>
      </w:tr>
      <w:tr w:rsidR="004C7C2A" w:rsidRPr="004C6AF3" w14:paraId="7C5D1DA2" w14:textId="77777777" w:rsidTr="005F6CF2">
        <w:tc>
          <w:tcPr>
            <w:tcW w:w="1341" w:type="dxa"/>
          </w:tcPr>
          <w:p w14:paraId="049BA260" w14:textId="1272B8DC" w:rsidR="004C7C2A" w:rsidRPr="000D5A2E" w:rsidRDefault="004C7C2A" w:rsidP="005F6CF2">
            <w:pPr>
              <w:pStyle w:val="NoSpacing"/>
              <w:spacing w:after="80" w:line="240" w:lineRule="exact"/>
              <w:rPr>
                <w:b w:val="0"/>
                <w:bCs w:val="0"/>
              </w:rPr>
            </w:pPr>
            <w:r w:rsidRPr="000D5A2E">
              <w:rPr>
                <w:rStyle w:val="Strong"/>
              </w:rPr>
              <w:t>Sim et al. (2012)</w:t>
            </w:r>
          </w:p>
        </w:tc>
        <w:tc>
          <w:tcPr>
            <w:tcW w:w="1224" w:type="dxa"/>
          </w:tcPr>
          <w:p w14:paraId="61B0EEB3" w14:textId="024453BC" w:rsidR="004C7C2A" w:rsidRPr="000D5A2E" w:rsidRDefault="004C7C2A" w:rsidP="005F6CF2">
            <w:pPr>
              <w:pStyle w:val="NoSpacing"/>
              <w:spacing w:after="80" w:line="240" w:lineRule="exact"/>
              <w:rPr>
                <w:b w:val="0"/>
                <w:bCs w:val="0"/>
              </w:rPr>
            </w:pPr>
            <w:r w:rsidRPr="000D5A2E">
              <w:rPr>
                <w:b w:val="0"/>
                <w:bCs w:val="0"/>
              </w:rPr>
              <w:t xml:space="preserve">United Kingdom </w:t>
            </w:r>
          </w:p>
        </w:tc>
        <w:tc>
          <w:tcPr>
            <w:tcW w:w="2159" w:type="dxa"/>
          </w:tcPr>
          <w:p w14:paraId="5BC24136" w14:textId="7DA76F9D" w:rsidR="004C7C2A" w:rsidRPr="000D5A2E" w:rsidRDefault="004C7C2A" w:rsidP="005F6CF2">
            <w:pPr>
              <w:pStyle w:val="NoSpacing"/>
              <w:spacing w:after="80" w:line="240" w:lineRule="exact"/>
              <w:rPr>
                <w:b w:val="0"/>
                <w:bCs w:val="0"/>
              </w:rPr>
            </w:pPr>
            <w:r w:rsidRPr="000D5A2E">
              <w:rPr>
                <w:b w:val="0"/>
                <w:bCs w:val="0"/>
              </w:rPr>
              <w:t>Involuntary relocation within a village redevelopment</w:t>
            </w:r>
          </w:p>
        </w:tc>
        <w:tc>
          <w:tcPr>
            <w:tcW w:w="810" w:type="dxa"/>
          </w:tcPr>
          <w:p w14:paraId="464C9BF1" w14:textId="02DC2BC9" w:rsidR="004C7C2A" w:rsidRPr="000D5A2E" w:rsidRDefault="004C7C2A" w:rsidP="005F6CF2">
            <w:pPr>
              <w:pStyle w:val="NoSpacing"/>
              <w:spacing w:after="80" w:line="240" w:lineRule="exact"/>
              <w:rPr>
                <w:b w:val="0"/>
                <w:bCs w:val="0"/>
              </w:rPr>
            </w:pPr>
            <w:r w:rsidRPr="000D5A2E">
              <w:rPr>
                <w:b w:val="0"/>
                <w:bCs w:val="0"/>
              </w:rPr>
              <w:t xml:space="preserve">17 </w:t>
            </w:r>
          </w:p>
        </w:tc>
        <w:tc>
          <w:tcPr>
            <w:tcW w:w="1531" w:type="dxa"/>
          </w:tcPr>
          <w:p w14:paraId="040758E7" w14:textId="5D5CC684" w:rsidR="004C7C2A" w:rsidRPr="000D5A2E" w:rsidRDefault="004C7C2A" w:rsidP="005F6CF2">
            <w:pPr>
              <w:pStyle w:val="NoSpacing"/>
              <w:spacing w:after="80" w:line="240" w:lineRule="exact"/>
              <w:rPr>
                <w:b w:val="0"/>
                <w:bCs w:val="0"/>
              </w:rPr>
            </w:pPr>
            <w:r>
              <w:rPr>
                <w:b w:val="0"/>
                <w:bCs w:val="0"/>
              </w:rPr>
              <w:t>Mean 80.8 years</w:t>
            </w:r>
          </w:p>
        </w:tc>
        <w:tc>
          <w:tcPr>
            <w:tcW w:w="2025" w:type="dxa"/>
          </w:tcPr>
          <w:p w14:paraId="28EA3C0F" w14:textId="53019A34" w:rsidR="004C7C2A" w:rsidRPr="000D5A2E" w:rsidRDefault="004C7C2A" w:rsidP="005F6CF2">
            <w:pPr>
              <w:pStyle w:val="NoSpacing"/>
              <w:spacing w:after="80" w:line="240" w:lineRule="exact"/>
              <w:rPr>
                <w:b w:val="0"/>
                <w:bCs w:val="0"/>
              </w:rPr>
            </w:pPr>
            <w:r w:rsidRPr="000D5A2E">
              <w:rPr>
                <w:b w:val="0"/>
                <w:bCs w:val="0"/>
              </w:rPr>
              <w:t>Involuntary relocation; home attachment; uncertainty; adaptation</w:t>
            </w:r>
          </w:p>
        </w:tc>
        <w:tc>
          <w:tcPr>
            <w:tcW w:w="6478" w:type="dxa"/>
          </w:tcPr>
          <w:p w14:paraId="3D0ED062" w14:textId="450AFD8D" w:rsidR="004C7C2A" w:rsidRPr="000D5A2E" w:rsidRDefault="004C7C2A" w:rsidP="005F6CF2">
            <w:pPr>
              <w:pStyle w:val="NoSpacing"/>
              <w:spacing w:after="80" w:line="240" w:lineRule="exact"/>
              <w:rPr>
                <w:b w:val="0"/>
                <w:bCs w:val="0"/>
              </w:rPr>
            </w:pPr>
            <w:r w:rsidRPr="000D5A2E">
              <w:rPr>
                <w:b w:val="0"/>
                <w:bCs w:val="0"/>
              </w:rPr>
              <w:t>Participants described anxiety, reluctance, ambivalence, and sometimes acceptance in response to involuntary relocation. The study highlights the emotional disruption caused by losing a familiar home, even when outcomes later become more positive.</w:t>
            </w:r>
          </w:p>
        </w:tc>
      </w:tr>
      <w:tr w:rsidR="004C7C2A" w:rsidRPr="004C6AF3" w14:paraId="75669B92" w14:textId="77777777" w:rsidTr="005F6CF2">
        <w:tc>
          <w:tcPr>
            <w:tcW w:w="1341" w:type="dxa"/>
          </w:tcPr>
          <w:p w14:paraId="1B46CE7C" w14:textId="171E8AF8" w:rsidR="004C7C2A" w:rsidRPr="000D5A2E" w:rsidRDefault="004C7C2A" w:rsidP="005F6CF2">
            <w:pPr>
              <w:pStyle w:val="NoSpacing"/>
              <w:spacing w:after="80" w:line="240" w:lineRule="exact"/>
              <w:rPr>
                <w:b w:val="0"/>
                <w:bCs w:val="0"/>
              </w:rPr>
            </w:pPr>
            <w:r w:rsidRPr="000D5A2E">
              <w:rPr>
                <w:rStyle w:val="Strong"/>
              </w:rPr>
              <w:t>Visser (2018)</w:t>
            </w:r>
          </w:p>
        </w:tc>
        <w:tc>
          <w:tcPr>
            <w:tcW w:w="1224" w:type="dxa"/>
          </w:tcPr>
          <w:p w14:paraId="066C1DA1" w14:textId="124D01D5" w:rsidR="004C7C2A" w:rsidRPr="000D5A2E" w:rsidRDefault="004C7C2A" w:rsidP="005F6CF2">
            <w:pPr>
              <w:pStyle w:val="NoSpacing"/>
              <w:spacing w:after="80" w:line="240" w:lineRule="exact"/>
              <w:rPr>
                <w:b w:val="0"/>
                <w:bCs w:val="0"/>
              </w:rPr>
            </w:pPr>
            <w:r w:rsidRPr="000D5A2E">
              <w:rPr>
                <w:b w:val="0"/>
                <w:bCs w:val="0"/>
              </w:rPr>
              <w:t xml:space="preserve">United Kingdom </w:t>
            </w:r>
          </w:p>
        </w:tc>
        <w:tc>
          <w:tcPr>
            <w:tcW w:w="2159" w:type="dxa"/>
          </w:tcPr>
          <w:p w14:paraId="7CB94DE6" w14:textId="634CE371" w:rsidR="004C7C2A" w:rsidRPr="000D5A2E" w:rsidRDefault="004C7C2A" w:rsidP="005F6CF2">
            <w:pPr>
              <w:pStyle w:val="NoSpacing"/>
              <w:spacing w:after="80" w:line="240" w:lineRule="exact"/>
              <w:rPr>
                <w:b w:val="0"/>
                <w:bCs w:val="0"/>
              </w:rPr>
            </w:pPr>
            <w:r w:rsidRPr="000D5A2E">
              <w:rPr>
                <w:b w:val="0"/>
                <w:bCs w:val="0"/>
              </w:rPr>
              <w:t>No actual move; focus on preference to remain in place</w:t>
            </w:r>
          </w:p>
        </w:tc>
        <w:tc>
          <w:tcPr>
            <w:tcW w:w="810" w:type="dxa"/>
          </w:tcPr>
          <w:p w14:paraId="6BEE7B65" w14:textId="7AD38668" w:rsidR="004C7C2A" w:rsidRPr="000D5A2E" w:rsidRDefault="004C7C2A" w:rsidP="005F6CF2">
            <w:pPr>
              <w:pStyle w:val="NoSpacing"/>
              <w:spacing w:after="80" w:line="240" w:lineRule="exact"/>
              <w:rPr>
                <w:b w:val="0"/>
                <w:bCs w:val="0"/>
              </w:rPr>
            </w:pPr>
            <w:r w:rsidRPr="000D5A2E">
              <w:rPr>
                <w:b w:val="0"/>
                <w:bCs w:val="0"/>
              </w:rPr>
              <w:t>8</w:t>
            </w:r>
          </w:p>
        </w:tc>
        <w:tc>
          <w:tcPr>
            <w:tcW w:w="1531" w:type="dxa"/>
          </w:tcPr>
          <w:p w14:paraId="3700C1DC" w14:textId="2C49E670" w:rsidR="004C7C2A" w:rsidRPr="000D5A2E" w:rsidRDefault="004C7C2A" w:rsidP="005F6CF2">
            <w:pPr>
              <w:pStyle w:val="NoSpacing"/>
              <w:spacing w:after="80" w:line="240" w:lineRule="exact"/>
              <w:rPr>
                <w:b w:val="0"/>
                <w:bCs w:val="0"/>
              </w:rPr>
            </w:pPr>
            <w:r>
              <w:rPr>
                <w:b w:val="0"/>
                <w:bCs w:val="0"/>
              </w:rPr>
              <w:t xml:space="preserve">Range </w:t>
            </w:r>
            <w:r w:rsidRPr="000D5A2E">
              <w:rPr>
                <w:b w:val="0"/>
                <w:bCs w:val="0"/>
              </w:rPr>
              <w:t>85–98</w:t>
            </w:r>
          </w:p>
        </w:tc>
        <w:tc>
          <w:tcPr>
            <w:tcW w:w="2025" w:type="dxa"/>
          </w:tcPr>
          <w:p w14:paraId="3319EB9D" w14:textId="2C25A8D3" w:rsidR="004C7C2A" w:rsidRPr="000D5A2E" w:rsidRDefault="004C7C2A" w:rsidP="005F6CF2">
            <w:pPr>
              <w:pStyle w:val="NoSpacing"/>
              <w:spacing w:after="80" w:line="240" w:lineRule="exact"/>
              <w:rPr>
                <w:b w:val="0"/>
                <w:bCs w:val="0"/>
              </w:rPr>
            </w:pPr>
            <w:r w:rsidRPr="000D5A2E">
              <w:rPr>
                <w:b w:val="0"/>
                <w:bCs w:val="0"/>
              </w:rPr>
              <w:t>Homemaking; temporality; gardening; identity</w:t>
            </w:r>
          </w:p>
        </w:tc>
        <w:tc>
          <w:tcPr>
            <w:tcW w:w="6478" w:type="dxa"/>
          </w:tcPr>
          <w:p w14:paraId="0470C5F3" w14:textId="60C4A98F" w:rsidR="004C7C2A" w:rsidRPr="000D5A2E" w:rsidRDefault="004C7C2A" w:rsidP="005F6CF2">
            <w:pPr>
              <w:pStyle w:val="NoSpacing"/>
              <w:spacing w:after="80" w:line="240" w:lineRule="exact"/>
              <w:rPr>
                <w:b w:val="0"/>
                <w:bCs w:val="0"/>
              </w:rPr>
            </w:pPr>
            <w:r w:rsidRPr="000D5A2E">
              <w:rPr>
                <w:b w:val="0"/>
                <w:bCs w:val="0"/>
              </w:rPr>
              <w:t>Homemaking was described as an ongoing and dynamic process shaped by bodily change, biography, and everyday routines. Gardening in particular helped sustain identity and belonging in place.</w:t>
            </w:r>
          </w:p>
        </w:tc>
      </w:tr>
      <w:tr w:rsidR="004C7C2A" w:rsidRPr="004C6AF3" w14:paraId="68D47AC6" w14:textId="77777777" w:rsidTr="005F6CF2">
        <w:tc>
          <w:tcPr>
            <w:tcW w:w="1341" w:type="dxa"/>
          </w:tcPr>
          <w:p w14:paraId="7C6B14E4" w14:textId="51649B63" w:rsidR="004C7C2A" w:rsidRPr="000D5A2E" w:rsidRDefault="004C7C2A" w:rsidP="005F6CF2">
            <w:pPr>
              <w:pStyle w:val="NoSpacing"/>
              <w:spacing w:after="80" w:line="240" w:lineRule="exact"/>
              <w:rPr>
                <w:b w:val="0"/>
                <w:bCs w:val="0"/>
              </w:rPr>
            </w:pPr>
            <w:r w:rsidRPr="000D5A2E">
              <w:rPr>
                <w:rStyle w:val="Strong"/>
              </w:rPr>
              <w:t>Cameron, Johnson &amp; Evans (2020)</w:t>
            </w:r>
          </w:p>
        </w:tc>
        <w:tc>
          <w:tcPr>
            <w:tcW w:w="1224" w:type="dxa"/>
          </w:tcPr>
          <w:p w14:paraId="330D5B8D" w14:textId="2F4BF424" w:rsidR="004C7C2A" w:rsidRPr="000D5A2E" w:rsidRDefault="004C7C2A" w:rsidP="005F6CF2">
            <w:pPr>
              <w:pStyle w:val="NoSpacing"/>
              <w:spacing w:after="80" w:line="240" w:lineRule="exact"/>
              <w:rPr>
                <w:b w:val="0"/>
                <w:bCs w:val="0"/>
              </w:rPr>
            </w:pPr>
            <w:r w:rsidRPr="000D5A2E">
              <w:rPr>
                <w:b w:val="0"/>
                <w:bCs w:val="0"/>
              </w:rPr>
              <w:t xml:space="preserve">United Kingdom </w:t>
            </w:r>
          </w:p>
        </w:tc>
        <w:tc>
          <w:tcPr>
            <w:tcW w:w="2159" w:type="dxa"/>
          </w:tcPr>
          <w:p w14:paraId="227DF948" w14:textId="0C076819" w:rsidR="004C7C2A" w:rsidRPr="000D5A2E" w:rsidRDefault="004C7C2A" w:rsidP="005F6CF2">
            <w:pPr>
              <w:pStyle w:val="NoSpacing"/>
              <w:spacing w:after="80" w:line="240" w:lineRule="exact"/>
              <w:rPr>
                <w:b w:val="0"/>
                <w:bCs w:val="0"/>
              </w:rPr>
            </w:pPr>
            <w:r w:rsidRPr="000D5A2E">
              <w:rPr>
                <w:b w:val="0"/>
                <w:bCs w:val="0"/>
              </w:rPr>
              <w:t>Move into extra care housing</w:t>
            </w:r>
          </w:p>
        </w:tc>
        <w:tc>
          <w:tcPr>
            <w:tcW w:w="810" w:type="dxa"/>
          </w:tcPr>
          <w:p w14:paraId="55D0F674" w14:textId="62CE4F8D" w:rsidR="004C7C2A" w:rsidRPr="000D5A2E" w:rsidRDefault="004C7C2A" w:rsidP="005F6CF2">
            <w:pPr>
              <w:pStyle w:val="NoSpacing"/>
              <w:spacing w:after="80" w:line="240" w:lineRule="exact"/>
              <w:rPr>
                <w:b w:val="0"/>
                <w:bCs w:val="0"/>
              </w:rPr>
            </w:pPr>
            <w:r w:rsidRPr="000D5A2E">
              <w:rPr>
                <w:b w:val="0"/>
                <w:bCs w:val="0"/>
              </w:rPr>
              <w:t>51</w:t>
            </w:r>
          </w:p>
        </w:tc>
        <w:tc>
          <w:tcPr>
            <w:tcW w:w="1531" w:type="dxa"/>
          </w:tcPr>
          <w:p w14:paraId="4C8B9BED" w14:textId="7FE986DC" w:rsidR="004C7C2A" w:rsidRPr="000D5A2E" w:rsidRDefault="004C7C2A" w:rsidP="005F6CF2">
            <w:pPr>
              <w:pStyle w:val="NoSpacing"/>
              <w:spacing w:after="80" w:line="240" w:lineRule="exact"/>
              <w:rPr>
                <w:b w:val="0"/>
                <w:bCs w:val="0"/>
              </w:rPr>
            </w:pPr>
            <w:r>
              <w:rPr>
                <w:b w:val="0"/>
                <w:bCs w:val="0"/>
              </w:rPr>
              <w:t xml:space="preserve">Range </w:t>
            </w:r>
            <w:r w:rsidRPr="000D5A2E">
              <w:rPr>
                <w:b w:val="0"/>
                <w:bCs w:val="0"/>
              </w:rPr>
              <w:t>54–97</w:t>
            </w:r>
          </w:p>
        </w:tc>
        <w:tc>
          <w:tcPr>
            <w:tcW w:w="2025" w:type="dxa"/>
          </w:tcPr>
          <w:p w14:paraId="22E9C07F" w14:textId="6B865DE4" w:rsidR="004C7C2A" w:rsidRPr="000D5A2E" w:rsidRDefault="004C7C2A" w:rsidP="005F6CF2">
            <w:pPr>
              <w:pStyle w:val="NoSpacing"/>
              <w:spacing w:after="80" w:line="240" w:lineRule="exact"/>
              <w:rPr>
                <w:b w:val="0"/>
                <w:bCs w:val="0"/>
              </w:rPr>
            </w:pPr>
            <w:r w:rsidRPr="000D5A2E">
              <w:rPr>
                <w:b w:val="0"/>
                <w:bCs w:val="0"/>
              </w:rPr>
              <w:t>Housing flexibility; integrated care; independence</w:t>
            </w:r>
          </w:p>
        </w:tc>
        <w:tc>
          <w:tcPr>
            <w:tcW w:w="6478" w:type="dxa"/>
          </w:tcPr>
          <w:p w14:paraId="7C8A831A" w14:textId="7D86EAFA" w:rsidR="004C7C2A" w:rsidRPr="000D5A2E" w:rsidRDefault="004C7C2A" w:rsidP="005F6CF2">
            <w:pPr>
              <w:pStyle w:val="NoSpacing"/>
              <w:spacing w:after="80" w:line="240" w:lineRule="exact"/>
              <w:rPr>
                <w:b w:val="0"/>
                <w:bCs w:val="0"/>
              </w:rPr>
            </w:pPr>
            <w:r w:rsidRPr="000D5A2E">
              <w:rPr>
                <w:b w:val="0"/>
                <w:bCs w:val="0"/>
              </w:rPr>
              <w:t>Residents often valued extra care housing because it allowed care needs to increase without requiring another move. The model supported proactive management of care while helping maintain independence.</w:t>
            </w:r>
          </w:p>
        </w:tc>
      </w:tr>
      <w:tr w:rsidR="004C7C2A" w:rsidRPr="004C6AF3" w14:paraId="5389494B" w14:textId="77777777" w:rsidTr="005F6CF2">
        <w:tc>
          <w:tcPr>
            <w:tcW w:w="1341" w:type="dxa"/>
          </w:tcPr>
          <w:p w14:paraId="3A76E15C" w14:textId="3A5505FF" w:rsidR="004C7C2A" w:rsidRPr="000D5A2E" w:rsidRDefault="004C7C2A" w:rsidP="005F6CF2">
            <w:pPr>
              <w:pStyle w:val="NoSpacing"/>
              <w:spacing w:after="80" w:line="240" w:lineRule="exact"/>
              <w:rPr>
                <w:b w:val="0"/>
                <w:bCs w:val="0"/>
              </w:rPr>
            </w:pPr>
            <w:r w:rsidRPr="000D5A2E">
              <w:rPr>
                <w:rStyle w:val="Strong"/>
              </w:rPr>
              <w:lastRenderedPageBreak/>
              <w:t>Sixsmith et al. (2008)</w:t>
            </w:r>
          </w:p>
        </w:tc>
        <w:tc>
          <w:tcPr>
            <w:tcW w:w="1224" w:type="dxa"/>
          </w:tcPr>
          <w:p w14:paraId="7DB061AE" w14:textId="0FE1D68F" w:rsidR="004C7C2A" w:rsidRPr="000D5A2E" w:rsidRDefault="004C7C2A" w:rsidP="005F6CF2">
            <w:pPr>
              <w:pStyle w:val="NoSpacing"/>
              <w:spacing w:after="80" w:line="240" w:lineRule="exact"/>
              <w:rPr>
                <w:b w:val="0"/>
                <w:bCs w:val="0"/>
              </w:rPr>
            </w:pPr>
            <w:r w:rsidRPr="000D5A2E">
              <w:rPr>
                <w:b w:val="0"/>
                <w:bCs w:val="0"/>
              </w:rPr>
              <w:t xml:space="preserve">United Kingdom </w:t>
            </w:r>
          </w:p>
        </w:tc>
        <w:tc>
          <w:tcPr>
            <w:tcW w:w="2159" w:type="dxa"/>
          </w:tcPr>
          <w:p w14:paraId="72A0598D" w14:textId="760C2178" w:rsidR="004C7C2A" w:rsidRPr="000D5A2E" w:rsidRDefault="004C7C2A" w:rsidP="005F6CF2">
            <w:pPr>
              <w:pStyle w:val="NoSpacing"/>
              <w:spacing w:after="80" w:line="240" w:lineRule="exact"/>
              <w:rPr>
                <w:b w:val="0"/>
                <w:bCs w:val="0"/>
              </w:rPr>
            </w:pPr>
            <w:r w:rsidRPr="000D5A2E">
              <w:rPr>
                <w:b w:val="0"/>
                <w:bCs w:val="0"/>
              </w:rPr>
              <w:t>Ageing in place / remaining at home</w:t>
            </w:r>
          </w:p>
        </w:tc>
        <w:tc>
          <w:tcPr>
            <w:tcW w:w="810" w:type="dxa"/>
          </w:tcPr>
          <w:p w14:paraId="0C98747B" w14:textId="4FA31219" w:rsidR="004C7C2A" w:rsidRPr="000D5A2E" w:rsidRDefault="004C7C2A" w:rsidP="005F6CF2">
            <w:pPr>
              <w:pStyle w:val="NoSpacing"/>
              <w:spacing w:after="80" w:line="240" w:lineRule="exact"/>
              <w:rPr>
                <w:b w:val="0"/>
                <w:bCs w:val="0"/>
              </w:rPr>
            </w:pPr>
            <w:r w:rsidRPr="000D5A2E">
              <w:rPr>
                <w:b w:val="0"/>
                <w:bCs w:val="0"/>
              </w:rPr>
              <w:t>40</w:t>
            </w:r>
          </w:p>
        </w:tc>
        <w:tc>
          <w:tcPr>
            <w:tcW w:w="1531" w:type="dxa"/>
          </w:tcPr>
          <w:p w14:paraId="4FB948B5" w14:textId="2ED44C9F" w:rsidR="004C7C2A" w:rsidRPr="000D5A2E" w:rsidRDefault="004C7C2A" w:rsidP="005F6CF2">
            <w:pPr>
              <w:pStyle w:val="NoSpacing"/>
              <w:spacing w:after="80" w:line="240" w:lineRule="exact"/>
              <w:rPr>
                <w:b w:val="0"/>
                <w:bCs w:val="0"/>
              </w:rPr>
            </w:pPr>
            <w:r>
              <w:rPr>
                <w:b w:val="0"/>
                <w:bCs w:val="0"/>
              </w:rPr>
              <w:t xml:space="preserve">Range </w:t>
            </w:r>
            <w:r w:rsidRPr="000D5A2E">
              <w:rPr>
                <w:b w:val="0"/>
                <w:bCs w:val="0"/>
              </w:rPr>
              <w:t>80–89</w:t>
            </w:r>
          </w:p>
        </w:tc>
        <w:tc>
          <w:tcPr>
            <w:tcW w:w="2025" w:type="dxa"/>
          </w:tcPr>
          <w:p w14:paraId="1227202C" w14:textId="1387FD54" w:rsidR="004C7C2A" w:rsidRPr="000D5A2E" w:rsidRDefault="004C7C2A" w:rsidP="005F6CF2">
            <w:pPr>
              <w:pStyle w:val="NoSpacing"/>
              <w:spacing w:after="80" w:line="240" w:lineRule="exact"/>
              <w:rPr>
                <w:b w:val="0"/>
                <w:bCs w:val="0"/>
              </w:rPr>
            </w:pPr>
            <w:r w:rsidRPr="000D5A2E">
              <w:rPr>
                <w:b w:val="0"/>
                <w:bCs w:val="0"/>
              </w:rPr>
              <w:t>Home meaning; independence; support; place attachment</w:t>
            </w:r>
          </w:p>
        </w:tc>
        <w:tc>
          <w:tcPr>
            <w:tcW w:w="6478" w:type="dxa"/>
          </w:tcPr>
          <w:p w14:paraId="0209F85A" w14:textId="34341B86" w:rsidR="004C7C2A" w:rsidRPr="000D5A2E" w:rsidRDefault="004C7C2A" w:rsidP="005F6CF2">
            <w:pPr>
              <w:pStyle w:val="NoSpacing"/>
              <w:spacing w:after="80" w:line="240" w:lineRule="exact"/>
              <w:rPr>
                <w:b w:val="0"/>
                <w:bCs w:val="0"/>
              </w:rPr>
            </w:pPr>
            <w:r w:rsidRPr="000D5A2E">
              <w:rPr>
                <w:b w:val="0"/>
                <w:bCs w:val="0"/>
              </w:rPr>
              <w:t>Remaining at home was highly valued as a source of privacy, continuity, and identity. Participants strongly resisted residential care and associated home with independence and emotional security.</w:t>
            </w:r>
          </w:p>
        </w:tc>
      </w:tr>
      <w:tr w:rsidR="004C7C2A" w:rsidRPr="004C6AF3" w14:paraId="3A751E12" w14:textId="77777777" w:rsidTr="005F6CF2">
        <w:tc>
          <w:tcPr>
            <w:tcW w:w="1341" w:type="dxa"/>
          </w:tcPr>
          <w:p w14:paraId="547E8986" w14:textId="0601825E" w:rsidR="004C7C2A" w:rsidRPr="000D5A2E" w:rsidRDefault="004C7C2A" w:rsidP="005F6CF2">
            <w:pPr>
              <w:pStyle w:val="NoSpacing"/>
              <w:spacing w:after="80" w:line="240" w:lineRule="exact"/>
              <w:rPr>
                <w:rStyle w:val="Strong"/>
                <w:rFonts w:asciiTheme="minorHAnsi" w:eastAsiaTheme="minorEastAsia" w:hAnsiTheme="minorHAnsi" w:cstheme="minorBidi"/>
                <w:b/>
                <w:bCs/>
                <w:sz w:val="24"/>
                <w:szCs w:val="24"/>
              </w:rPr>
            </w:pPr>
            <w:r w:rsidRPr="000D5A2E">
              <w:rPr>
                <w:rStyle w:val="Strong"/>
              </w:rPr>
              <w:t>Zhang et al. (2025)</w:t>
            </w:r>
          </w:p>
        </w:tc>
        <w:tc>
          <w:tcPr>
            <w:tcW w:w="1224" w:type="dxa"/>
          </w:tcPr>
          <w:p w14:paraId="156EB279" w14:textId="65F0D861" w:rsidR="004C7C2A" w:rsidRPr="000D5A2E" w:rsidRDefault="004C7C2A" w:rsidP="005F6CF2">
            <w:pPr>
              <w:pStyle w:val="NoSpacing"/>
              <w:spacing w:after="80" w:line="240" w:lineRule="exact"/>
              <w:rPr>
                <w:b w:val="0"/>
                <w:bCs w:val="0"/>
              </w:rPr>
            </w:pPr>
            <w:r w:rsidRPr="000D5A2E">
              <w:rPr>
                <w:b w:val="0"/>
                <w:bCs w:val="0"/>
              </w:rPr>
              <w:t xml:space="preserve">United Kingdom </w:t>
            </w:r>
          </w:p>
        </w:tc>
        <w:tc>
          <w:tcPr>
            <w:tcW w:w="2159" w:type="dxa"/>
          </w:tcPr>
          <w:p w14:paraId="52C188CC" w14:textId="2D18BB58" w:rsidR="004C7C2A" w:rsidRPr="000D5A2E" w:rsidRDefault="004C7C2A" w:rsidP="005F6CF2">
            <w:pPr>
              <w:pStyle w:val="NoSpacing"/>
              <w:spacing w:after="80" w:line="240" w:lineRule="exact"/>
              <w:rPr>
                <w:b w:val="0"/>
                <w:bCs w:val="0"/>
              </w:rPr>
            </w:pPr>
            <w:r w:rsidRPr="000D5A2E">
              <w:rPr>
                <w:b w:val="0"/>
                <w:bCs w:val="0"/>
              </w:rPr>
              <w:t xml:space="preserve">Transitions into and between care settings </w:t>
            </w:r>
          </w:p>
        </w:tc>
        <w:tc>
          <w:tcPr>
            <w:tcW w:w="810" w:type="dxa"/>
          </w:tcPr>
          <w:p w14:paraId="65A9E6D4" w14:textId="61CFD5C7" w:rsidR="004C7C2A" w:rsidRPr="000D5A2E" w:rsidRDefault="004C7C2A" w:rsidP="005F6CF2">
            <w:pPr>
              <w:pStyle w:val="NoSpacing"/>
              <w:spacing w:after="80" w:line="240" w:lineRule="exact"/>
              <w:rPr>
                <w:b w:val="0"/>
                <w:bCs w:val="0"/>
              </w:rPr>
            </w:pPr>
            <w:r w:rsidRPr="000D5A2E">
              <w:rPr>
                <w:b w:val="0"/>
                <w:bCs w:val="0"/>
              </w:rPr>
              <w:t>27</w:t>
            </w:r>
          </w:p>
        </w:tc>
        <w:tc>
          <w:tcPr>
            <w:tcW w:w="1531" w:type="dxa"/>
          </w:tcPr>
          <w:p w14:paraId="4209425C" w14:textId="26C38CA9" w:rsidR="004C7C2A" w:rsidRPr="000D5A2E" w:rsidRDefault="004C7C2A" w:rsidP="005F6CF2">
            <w:pPr>
              <w:pStyle w:val="NoSpacing"/>
              <w:spacing w:after="80" w:line="240" w:lineRule="exact"/>
              <w:rPr>
                <w:b w:val="0"/>
                <w:bCs w:val="0"/>
              </w:rPr>
            </w:pPr>
            <w:r>
              <w:rPr>
                <w:b w:val="0"/>
                <w:bCs w:val="0"/>
              </w:rPr>
              <w:t>Range 60-70+</w:t>
            </w:r>
          </w:p>
        </w:tc>
        <w:tc>
          <w:tcPr>
            <w:tcW w:w="2025" w:type="dxa"/>
          </w:tcPr>
          <w:p w14:paraId="78439A1C" w14:textId="1D268E2F" w:rsidR="004C7C2A" w:rsidRPr="000D5A2E" w:rsidRDefault="004C7C2A" w:rsidP="005F6CF2">
            <w:pPr>
              <w:pStyle w:val="NoSpacing"/>
              <w:spacing w:after="80" w:line="240" w:lineRule="exact"/>
              <w:rPr>
                <w:b w:val="0"/>
                <w:bCs w:val="0"/>
              </w:rPr>
            </w:pPr>
            <w:r w:rsidRPr="000D5A2E">
              <w:rPr>
                <w:b w:val="0"/>
                <w:bCs w:val="0"/>
              </w:rPr>
              <w:t>Health-related; socio-cultural; economic; structural;</w:t>
            </w:r>
            <w:r w:rsidRPr="000D5A2E">
              <w:rPr>
                <w:rFonts w:eastAsiaTheme="minorEastAsia"/>
                <w:b w:val="0"/>
                <w:bCs w:val="0"/>
              </w:rPr>
              <w:t xml:space="preserve"> </w:t>
            </w:r>
            <w:r w:rsidRPr="000D5A2E">
              <w:rPr>
                <w:b w:val="0"/>
                <w:bCs w:val="0"/>
              </w:rPr>
              <w:t>environmental</w:t>
            </w:r>
          </w:p>
        </w:tc>
        <w:tc>
          <w:tcPr>
            <w:tcW w:w="6478" w:type="dxa"/>
          </w:tcPr>
          <w:p w14:paraId="547C2A71" w14:textId="03AE7494" w:rsidR="004C7C2A" w:rsidRPr="000D5A2E" w:rsidRDefault="004C7C2A" w:rsidP="005F6CF2">
            <w:pPr>
              <w:pStyle w:val="NoSpacing"/>
              <w:spacing w:after="80" w:line="240" w:lineRule="exact"/>
              <w:rPr>
                <w:b w:val="0"/>
                <w:bCs w:val="0"/>
              </w:rPr>
            </w:pPr>
            <w:r w:rsidRPr="000D5A2E">
              <w:rPr>
                <w:b w:val="0"/>
                <w:bCs w:val="0"/>
              </w:rPr>
              <w:t>Moves to extra care housing were often delayed by limited accessible information, uncertainty about funding, and the need to balance care needs, cost, and family proximity. Decisions were frequently crisis-driven, with fear of losing independence, carer guilt, lack of practical moving support, and concerns about discrimination further shaping whether and when a move occurred.</w:t>
            </w:r>
          </w:p>
        </w:tc>
      </w:tr>
      <w:tr w:rsidR="004C7C2A" w:rsidRPr="004C6AF3" w14:paraId="22716140" w14:textId="77777777" w:rsidTr="005F6CF2">
        <w:tc>
          <w:tcPr>
            <w:tcW w:w="1341" w:type="dxa"/>
          </w:tcPr>
          <w:p w14:paraId="289503D5" w14:textId="2594552C" w:rsidR="004C7C2A" w:rsidRPr="000D5A2E" w:rsidRDefault="004C7C2A" w:rsidP="005F6CF2">
            <w:pPr>
              <w:pStyle w:val="NoSpacing"/>
              <w:spacing w:after="80" w:line="240" w:lineRule="exact"/>
              <w:rPr>
                <w:b w:val="0"/>
                <w:bCs w:val="0"/>
              </w:rPr>
            </w:pPr>
            <w:r w:rsidRPr="000D5A2E">
              <w:rPr>
                <w:rStyle w:val="Strong"/>
              </w:rPr>
              <w:t>Bosch-</w:t>
            </w:r>
            <w:proofErr w:type="spellStart"/>
            <w:r w:rsidRPr="000D5A2E">
              <w:rPr>
                <w:rStyle w:val="Strong"/>
              </w:rPr>
              <w:t>Farré</w:t>
            </w:r>
            <w:proofErr w:type="spellEnd"/>
            <w:r w:rsidRPr="000D5A2E">
              <w:rPr>
                <w:rStyle w:val="Strong"/>
              </w:rPr>
              <w:t xml:space="preserve"> (2020)</w:t>
            </w:r>
          </w:p>
        </w:tc>
        <w:tc>
          <w:tcPr>
            <w:tcW w:w="1224" w:type="dxa"/>
          </w:tcPr>
          <w:p w14:paraId="77C0C895" w14:textId="3F3AE85D" w:rsidR="004C7C2A" w:rsidRPr="000D5A2E" w:rsidRDefault="004C7C2A" w:rsidP="005F6CF2">
            <w:pPr>
              <w:pStyle w:val="NoSpacing"/>
              <w:spacing w:after="80" w:line="240" w:lineRule="exact"/>
              <w:rPr>
                <w:b w:val="0"/>
                <w:bCs w:val="0"/>
              </w:rPr>
            </w:pPr>
            <w:r w:rsidRPr="000D5A2E">
              <w:rPr>
                <w:b w:val="0"/>
                <w:bCs w:val="0"/>
              </w:rPr>
              <w:t>Spain</w:t>
            </w:r>
          </w:p>
        </w:tc>
        <w:tc>
          <w:tcPr>
            <w:tcW w:w="2159" w:type="dxa"/>
          </w:tcPr>
          <w:p w14:paraId="39DC03E6" w14:textId="2991298A" w:rsidR="004C7C2A" w:rsidRPr="000D5A2E" w:rsidRDefault="004C7C2A" w:rsidP="005F6CF2">
            <w:pPr>
              <w:pStyle w:val="NoSpacing"/>
              <w:spacing w:after="80" w:line="240" w:lineRule="exact"/>
              <w:rPr>
                <w:b w:val="0"/>
                <w:bCs w:val="0"/>
              </w:rPr>
            </w:pPr>
            <w:r w:rsidRPr="000D5A2E">
              <w:rPr>
                <w:b w:val="0"/>
                <w:bCs w:val="0"/>
              </w:rPr>
              <w:t>Ageing in place and home adaptation</w:t>
            </w:r>
          </w:p>
        </w:tc>
        <w:tc>
          <w:tcPr>
            <w:tcW w:w="810" w:type="dxa"/>
          </w:tcPr>
          <w:p w14:paraId="488E6D7D" w14:textId="51B48BA7" w:rsidR="004C7C2A" w:rsidRPr="000D5A2E" w:rsidRDefault="004C7C2A" w:rsidP="005F6CF2">
            <w:pPr>
              <w:pStyle w:val="NoSpacing"/>
              <w:spacing w:after="80" w:line="240" w:lineRule="exact"/>
              <w:rPr>
                <w:b w:val="0"/>
                <w:bCs w:val="0"/>
              </w:rPr>
            </w:pPr>
            <w:r w:rsidRPr="000D5A2E">
              <w:rPr>
                <w:b w:val="0"/>
                <w:bCs w:val="0"/>
              </w:rPr>
              <w:t>71</w:t>
            </w:r>
          </w:p>
        </w:tc>
        <w:tc>
          <w:tcPr>
            <w:tcW w:w="1531" w:type="dxa"/>
          </w:tcPr>
          <w:p w14:paraId="1B0B3392" w14:textId="51EBA804" w:rsidR="004C7C2A" w:rsidRPr="000D5A2E" w:rsidRDefault="004C7C2A" w:rsidP="005F6CF2">
            <w:pPr>
              <w:pStyle w:val="NoSpacing"/>
              <w:spacing w:after="80" w:line="240" w:lineRule="exact"/>
              <w:rPr>
                <w:b w:val="0"/>
                <w:bCs w:val="0"/>
              </w:rPr>
            </w:pPr>
            <w:r>
              <w:rPr>
                <w:b w:val="0"/>
                <w:bCs w:val="0"/>
              </w:rPr>
              <w:t>Range 62-92</w:t>
            </w:r>
          </w:p>
        </w:tc>
        <w:tc>
          <w:tcPr>
            <w:tcW w:w="2025" w:type="dxa"/>
          </w:tcPr>
          <w:p w14:paraId="17C635BE" w14:textId="0060B476" w:rsidR="004C7C2A" w:rsidRPr="000D5A2E" w:rsidRDefault="004C7C2A" w:rsidP="005F6CF2">
            <w:pPr>
              <w:pStyle w:val="NoSpacing"/>
              <w:spacing w:after="80" w:line="240" w:lineRule="exact"/>
              <w:rPr>
                <w:b w:val="0"/>
                <w:bCs w:val="0"/>
              </w:rPr>
            </w:pPr>
            <w:r w:rsidRPr="000D5A2E">
              <w:rPr>
                <w:b w:val="0"/>
                <w:bCs w:val="0"/>
              </w:rPr>
              <w:t>Home adaptation; institutionalisation concerns; support</w:t>
            </w:r>
          </w:p>
        </w:tc>
        <w:tc>
          <w:tcPr>
            <w:tcW w:w="6478" w:type="dxa"/>
          </w:tcPr>
          <w:p w14:paraId="2A087B5D" w14:textId="7480EFA4" w:rsidR="004C7C2A" w:rsidRPr="000D5A2E" w:rsidRDefault="004C7C2A" w:rsidP="005F6CF2">
            <w:pPr>
              <w:pStyle w:val="NoSpacing"/>
              <w:spacing w:after="80" w:line="240" w:lineRule="exact"/>
              <w:rPr>
                <w:b w:val="0"/>
                <w:bCs w:val="0"/>
              </w:rPr>
            </w:pPr>
            <w:r w:rsidRPr="000D5A2E">
              <w:rPr>
                <w:b w:val="0"/>
                <w:bCs w:val="0"/>
              </w:rPr>
              <w:t>Participants generally wanted to remain in place as long as possible and viewed institutionalisation negatively. The findings emphasise the importance of home adaptations and support in enabling ageing in place.</w:t>
            </w:r>
          </w:p>
        </w:tc>
      </w:tr>
      <w:tr w:rsidR="004C7C2A" w:rsidRPr="004C6AF3" w14:paraId="3BFCD309" w14:textId="77777777" w:rsidTr="005F6CF2">
        <w:tc>
          <w:tcPr>
            <w:tcW w:w="1341" w:type="dxa"/>
          </w:tcPr>
          <w:p w14:paraId="72AC8C25" w14:textId="02A80A8B" w:rsidR="004C7C2A" w:rsidRPr="000D5A2E" w:rsidRDefault="004C7C2A" w:rsidP="005F6CF2">
            <w:pPr>
              <w:pStyle w:val="NoSpacing"/>
              <w:spacing w:after="80" w:line="240" w:lineRule="exact"/>
              <w:rPr>
                <w:b w:val="0"/>
                <w:bCs w:val="0"/>
              </w:rPr>
            </w:pPr>
            <w:proofErr w:type="spellStart"/>
            <w:r w:rsidRPr="000D5A2E">
              <w:rPr>
                <w:rStyle w:val="Strong"/>
              </w:rPr>
              <w:t>Fæø</w:t>
            </w:r>
            <w:proofErr w:type="spellEnd"/>
            <w:r w:rsidRPr="000D5A2E">
              <w:rPr>
                <w:rStyle w:val="Strong"/>
              </w:rPr>
              <w:t xml:space="preserve"> (2019)</w:t>
            </w:r>
          </w:p>
        </w:tc>
        <w:tc>
          <w:tcPr>
            <w:tcW w:w="1224" w:type="dxa"/>
          </w:tcPr>
          <w:p w14:paraId="6089549C" w14:textId="0C31E1D5" w:rsidR="004C7C2A" w:rsidRPr="000D5A2E" w:rsidRDefault="004C7C2A" w:rsidP="005F6CF2">
            <w:pPr>
              <w:pStyle w:val="NoSpacing"/>
              <w:spacing w:after="80" w:line="240" w:lineRule="exact"/>
              <w:rPr>
                <w:b w:val="0"/>
                <w:bCs w:val="0"/>
              </w:rPr>
            </w:pPr>
            <w:r w:rsidRPr="000D5A2E">
              <w:rPr>
                <w:b w:val="0"/>
                <w:bCs w:val="0"/>
              </w:rPr>
              <w:t>Norway</w:t>
            </w:r>
          </w:p>
        </w:tc>
        <w:tc>
          <w:tcPr>
            <w:tcW w:w="2159" w:type="dxa"/>
          </w:tcPr>
          <w:p w14:paraId="0F7FD78A" w14:textId="602B8A17" w:rsidR="004C7C2A" w:rsidRPr="000D5A2E" w:rsidRDefault="004C7C2A" w:rsidP="005F6CF2">
            <w:pPr>
              <w:pStyle w:val="NoSpacing"/>
              <w:spacing w:after="80" w:line="240" w:lineRule="exact"/>
              <w:rPr>
                <w:b w:val="0"/>
                <w:bCs w:val="0"/>
              </w:rPr>
            </w:pPr>
            <w:r w:rsidRPr="000D5A2E">
              <w:rPr>
                <w:b w:val="0"/>
                <w:bCs w:val="0"/>
              </w:rPr>
              <w:t>Staying at home / potential future move to nursing home</w:t>
            </w:r>
          </w:p>
        </w:tc>
        <w:tc>
          <w:tcPr>
            <w:tcW w:w="810" w:type="dxa"/>
          </w:tcPr>
          <w:p w14:paraId="367C8E11" w14:textId="788743C3" w:rsidR="004C7C2A" w:rsidRPr="000D5A2E" w:rsidRDefault="004C7C2A" w:rsidP="005F6CF2">
            <w:pPr>
              <w:pStyle w:val="NoSpacing"/>
              <w:spacing w:after="80" w:line="240" w:lineRule="exact"/>
              <w:rPr>
                <w:b w:val="0"/>
                <w:bCs w:val="0"/>
              </w:rPr>
            </w:pPr>
            <w:r w:rsidRPr="000D5A2E">
              <w:rPr>
                <w:b w:val="0"/>
                <w:bCs w:val="0"/>
              </w:rPr>
              <w:t>12</w:t>
            </w:r>
          </w:p>
        </w:tc>
        <w:tc>
          <w:tcPr>
            <w:tcW w:w="1531" w:type="dxa"/>
          </w:tcPr>
          <w:p w14:paraId="63630035" w14:textId="51845ECB" w:rsidR="004C7C2A" w:rsidRPr="000D5A2E" w:rsidRDefault="004C7C2A" w:rsidP="005F6CF2">
            <w:pPr>
              <w:pStyle w:val="NoSpacing"/>
              <w:spacing w:after="80" w:line="240" w:lineRule="exact"/>
              <w:rPr>
                <w:b w:val="0"/>
                <w:bCs w:val="0"/>
              </w:rPr>
            </w:pPr>
            <w:r>
              <w:rPr>
                <w:b w:val="0"/>
                <w:bCs w:val="0"/>
              </w:rPr>
              <w:t xml:space="preserve">65+ </w:t>
            </w:r>
          </w:p>
        </w:tc>
        <w:tc>
          <w:tcPr>
            <w:tcW w:w="2025" w:type="dxa"/>
          </w:tcPr>
          <w:p w14:paraId="680BEFE1" w14:textId="20CCDCB9" w:rsidR="004C7C2A" w:rsidRPr="000D5A2E" w:rsidRDefault="004C7C2A" w:rsidP="005F6CF2">
            <w:pPr>
              <w:pStyle w:val="NoSpacing"/>
              <w:spacing w:after="80" w:line="240" w:lineRule="exact"/>
              <w:rPr>
                <w:b w:val="0"/>
                <w:bCs w:val="0"/>
              </w:rPr>
            </w:pPr>
            <w:r w:rsidRPr="000D5A2E">
              <w:rPr>
                <w:b w:val="0"/>
                <w:bCs w:val="0"/>
              </w:rPr>
              <w:t>Autonomy; home meaning; biography; future dependence</w:t>
            </w:r>
          </w:p>
        </w:tc>
        <w:tc>
          <w:tcPr>
            <w:tcW w:w="6478" w:type="dxa"/>
          </w:tcPr>
          <w:p w14:paraId="2CFE89E5" w14:textId="1E452AAD" w:rsidR="004C7C2A" w:rsidRPr="000D5A2E" w:rsidRDefault="004C7C2A" w:rsidP="005F6CF2">
            <w:pPr>
              <w:pStyle w:val="NoSpacing"/>
              <w:spacing w:after="80" w:line="240" w:lineRule="exact"/>
              <w:rPr>
                <w:b w:val="0"/>
                <w:bCs w:val="0"/>
              </w:rPr>
            </w:pPr>
            <w:r w:rsidRPr="000D5A2E">
              <w:rPr>
                <w:b w:val="0"/>
                <w:bCs w:val="0"/>
              </w:rPr>
              <w:t>Home was strongly associated with autonomy and continuity of life with loved ones. Participants often viewed staying at home as preserving identity, even while acknowledging possible future dependency.</w:t>
            </w:r>
          </w:p>
        </w:tc>
      </w:tr>
      <w:tr w:rsidR="004C7C2A" w:rsidRPr="004C6AF3" w14:paraId="39C99B82" w14:textId="77777777" w:rsidTr="005F6CF2">
        <w:tc>
          <w:tcPr>
            <w:tcW w:w="1341" w:type="dxa"/>
          </w:tcPr>
          <w:p w14:paraId="6D38C6A0" w14:textId="6184358B" w:rsidR="004C7C2A" w:rsidRPr="000D5A2E" w:rsidRDefault="004C7C2A" w:rsidP="005F6CF2">
            <w:pPr>
              <w:pStyle w:val="NoSpacing"/>
              <w:spacing w:after="80" w:line="240" w:lineRule="exact"/>
              <w:rPr>
                <w:b w:val="0"/>
                <w:bCs w:val="0"/>
              </w:rPr>
            </w:pPr>
            <w:proofErr w:type="spellStart"/>
            <w:r w:rsidRPr="000D5A2E">
              <w:rPr>
                <w:rStyle w:val="Strong"/>
              </w:rPr>
              <w:t>Granbom</w:t>
            </w:r>
            <w:proofErr w:type="spellEnd"/>
            <w:r w:rsidRPr="000D5A2E">
              <w:rPr>
                <w:rStyle w:val="Strong"/>
              </w:rPr>
              <w:t xml:space="preserve"> (2013)</w:t>
            </w:r>
          </w:p>
        </w:tc>
        <w:tc>
          <w:tcPr>
            <w:tcW w:w="1224" w:type="dxa"/>
          </w:tcPr>
          <w:p w14:paraId="3628D778" w14:textId="2E323B3E" w:rsidR="004C7C2A" w:rsidRPr="000D5A2E" w:rsidRDefault="004C7C2A" w:rsidP="005F6CF2">
            <w:pPr>
              <w:pStyle w:val="NoSpacing"/>
              <w:spacing w:after="80" w:line="240" w:lineRule="exact"/>
              <w:rPr>
                <w:b w:val="0"/>
                <w:bCs w:val="0"/>
              </w:rPr>
            </w:pPr>
            <w:r w:rsidRPr="000D5A2E">
              <w:rPr>
                <w:b w:val="0"/>
                <w:bCs w:val="0"/>
              </w:rPr>
              <w:t>Germany and Sweden</w:t>
            </w:r>
          </w:p>
        </w:tc>
        <w:tc>
          <w:tcPr>
            <w:tcW w:w="2159" w:type="dxa"/>
          </w:tcPr>
          <w:p w14:paraId="57DEED6F" w14:textId="1863CC27" w:rsidR="004C7C2A" w:rsidRPr="000D5A2E" w:rsidRDefault="004C7C2A" w:rsidP="005F6CF2">
            <w:pPr>
              <w:pStyle w:val="NoSpacing"/>
              <w:spacing w:after="80" w:line="240" w:lineRule="exact"/>
              <w:rPr>
                <w:b w:val="0"/>
                <w:bCs w:val="0"/>
              </w:rPr>
            </w:pPr>
            <w:r w:rsidRPr="000D5A2E">
              <w:rPr>
                <w:b w:val="0"/>
                <w:bCs w:val="0"/>
              </w:rPr>
              <w:t>Remaining in ordinary housing vs moving to assisted living or skilled nursing facilities</w:t>
            </w:r>
          </w:p>
        </w:tc>
        <w:tc>
          <w:tcPr>
            <w:tcW w:w="810" w:type="dxa"/>
          </w:tcPr>
          <w:p w14:paraId="1E47A92C" w14:textId="604CF191" w:rsidR="004C7C2A" w:rsidRPr="000D5A2E" w:rsidRDefault="004C7C2A" w:rsidP="005F6CF2">
            <w:pPr>
              <w:pStyle w:val="NoSpacing"/>
              <w:spacing w:after="80" w:line="240" w:lineRule="exact"/>
              <w:rPr>
                <w:b w:val="0"/>
                <w:bCs w:val="0"/>
              </w:rPr>
            </w:pPr>
            <w:r>
              <w:rPr>
                <w:b w:val="0"/>
                <w:bCs w:val="0"/>
              </w:rPr>
              <w:t>37</w:t>
            </w:r>
          </w:p>
        </w:tc>
        <w:tc>
          <w:tcPr>
            <w:tcW w:w="1531" w:type="dxa"/>
          </w:tcPr>
          <w:p w14:paraId="3E31BB66" w14:textId="063885C9" w:rsidR="004C7C2A" w:rsidRPr="000D5A2E" w:rsidRDefault="004C7C2A" w:rsidP="005F6CF2">
            <w:pPr>
              <w:pStyle w:val="NoSpacing"/>
              <w:spacing w:after="80" w:line="240" w:lineRule="exact"/>
              <w:rPr>
                <w:b w:val="0"/>
                <w:bCs w:val="0"/>
              </w:rPr>
            </w:pPr>
            <w:r>
              <w:rPr>
                <w:b w:val="0"/>
                <w:bCs w:val="0"/>
              </w:rPr>
              <w:t>Range 80–89 first interview; 89–97 second interview</w:t>
            </w:r>
          </w:p>
        </w:tc>
        <w:tc>
          <w:tcPr>
            <w:tcW w:w="2025" w:type="dxa"/>
          </w:tcPr>
          <w:p w14:paraId="14EF1DA9" w14:textId="00F28856" w:rsidR="004C7C2A" w:rsidRPr="000D5A2E" w:rsidRDefault="004C7C2A" w:rsidP="005F6CF2">
            <w:pPr>
              <w:pStyle w:val="NoSpacing"/>
              <w:spacing w:after="80" w:line="240" w:lineRule="exact"/>
              <w:rPr>
                <w:b w:val="0"/>
                <w:bCs w:val="0"/>
              </w:rPr>
            </w:pPr>
            <w:r w:rsidRPr="000D5A2E">
              <w:rPr>
                <w:b w:val="0"/>
                <w:bCs w:val="0"/>
              </w:rPr>
              <w:t>Home meaning; future planning; functional fit</w:t>
            </w:r>
          </w:p>
        </w:tc>
        <w:tc>
          <w:tcPr>
            <w:tcW w:w="6478" w:type="dxa"/>
          </w:tcPr>
          <w:p w14:paraId="34519B8F" w14:textId="062D77C5" w:rsidR="004C7C2A" w:rsidRPr="000D5A2E" w:rsidRDefault="004C7C2A" w:rsidP="005F6CF2">
            <w:pPr>
              <w:pStyle w:val="NoSpacing"/>
              <w:spacing w:after="80" w:line="240" w:lineRule="exact"/>
              <w:rPr>
                <w:b w:val="0"/>
                <w:bCs w:val="0"/>
              </w:rPr>
            </w:pPr>
            <w:r w:rsidRPr="000D5A2E">
              <w:rPr>
                <w:b w:val="0"/>
                <w:bCs w:val="0"/>
              </w:rPr>
              <w:t>Most participants expressed a strong wish not to move, but also recognised that changing health might force future relocation. The study highlights ambivalence between attachment to home and later-life uncertainty.</w:t>
            </w:r>
          </w:p>
        </w:tc>
      </w:tr>
      <w:tr w:rsidR="004C7C2A" w:rsidRPr="004C6AF3" w14:paraId="3E23A51D" w14:textId="77777777" w:rsidTr="005F6CF2">
        <w:tc>
          <w:tcPr>
            <w:tcW w:w="1341" w:type="dxa"/>
          </w:tcPr>
          <w:p w14:paraId="065FACE9" w14:textId="6FC4EE8C" w:rsidR="004C7C2A" w:rsidRPr="000D5A2E" w:rsidRDefault="004C7C2A" w:rsidP="005F6CF2">
            <w:pPr>
              <w:pStyle w:val="NoSpacing"/>
              <w:spacing w:after="80" w:line="240" w:lineRule="exact"/>
              <w:rPr>
                <w:b w:val="0"/>
                <w:bCs w:val="0"/>
              </w:rPr>
            </w:pPr>
            <w:r w:rsidRPr="000D5A2E">
              <w:rPr>
                <w:rStyle w:val="Strong"/>
              </w:rPr>
              <w:t>Haak (2007)</w:t>
            </w:r>
          </w:p>
        </w:tc>
        <w:tc>
          <w:tcPr>
            <w:tcW w:w="1224" w:type="dxa"/>
          </w:tcPr>
          <w:p w14:paraId="1F792297" w14:textId="371B5A49" w:rsidR="004C7C2A" w:rsidRPr="000D5A2E" w:rsidRDefault="004C7C2A" w:rsidP="005F6CF2">
            <w:pPr>
              <w:pStyle w:val="NoSpacing"/>
              <w:spacing w:after="80" w:line="240" w:lineRule="exact"/>
              <w:rPr>
                <w:b w:val="0"/>
                <w:bCs w:val="0"/>
              </w:rPr>
            </w:pPr>
            <w:r w:rsidRPr="000D5A2E">
              <w:rPr>
                <w:b w:val="0"/>
                <w:bCs w:val="0"/>
              </w:rPr>
              <w:t>Sweden</w:t>
            </w:r>
          </w:p>
        </w:tc>
        <w:tc>
          <w:tcPr>
            <w:tcW w:w="2159" w:type="dxa"/>
          </w:tcPr>
          <w:p w14:paraId="0530BA53" w14:textId="17E8989D" w:rsidR="004C7C2A" w:rsidRPr="000D5A2E" w:rsidRDefault="004C7C2A" w:rsidP="005F6CF2">
            <w:pPr>
              <w:pStyle w:val="NoSpacing"/>
              <w:spacing w:after="80" w:line="240" w:lineRule="exact"/>
              <w:rPr>
                <w:b w:val="0"/>
                <w:bCs w:val="0"/>
              </w:rPr>
            </w:pPr>
            <w:r w:rsidRPr="000D5A2E">
              <w:rPr>
                <w:b w:val="0"/>
                <w:bCs w:val="0"/>
              </w:rPr>
              <w:t>Ageing at home in single-living households</w:t>
            </w:r>
          </w:p>
        </w:tc>
        <w:tc>
          <w:tcPr>
            <w:tcW w:w="810" w:type="dxa"/>
          </w:tcPr>
          <w:p w14:paraId="3968AFDC" w14:textId="3D7DA01B" w:rsidR="004C7C2A" w:rsidRPr="000D5A2E" w:rsidRDefault="004C7C2A" w:rsidP="005F6CF2">
            <w:pPr>
              <w:pStyle w:val="NoSpacing"/>
              <w:spacing w:after="80" w:line="240" w:lineRule="exact"/>
              <w:rPr>
                <w:b w:val="0"/>
                <w:bCs w:val="0"/>
              </w:rPr>
            </w:pPr>
            <w:r w:rsidRPr="000D5A2E">
              <w:rPr>
                <w:b w:val="0"/>
                <w:bCs w:val="0"/>
              </w:rPr>
              <w:t>40</w:t>
            </w:r>
          </w:p>
        </w:tc>
        <w:tc>
          <w:tcPr>
            <w:tcW w:w="1531" w:type="dxa"/>
          </w:tcPr>
          <w:p w14:paraId="002F5D1F" w14:textId="5DB95D2D" w:rsidR="004C7C2A" w:rsidRPr="000D5A2E" w:rsidRDefault="004C7C2A" w:rsidP="005F6CF2">
            <w:pPr>
              <w:pStyle w:val="NoSpacing"/>
              <w:spacing w:after="80" w:line="240" w:lineRule="exact"/>
              <w:rPr>
                <w:b w:val="0"/>
                <w:bCs w:val="0"/>
              </w:rPr>
            </w:pPr>
            <w:r>
              <w:rPr>
                <w:b w:val="0"/>
                <w:bCs w:val="0"/>
              </w:rPr>
              <w:t>Range 80 - 89</w:t>
            </w:r>
          </w:p>
        </w:tc>
        <w:tc>
          <w:tcPr>
            <w:tcW w:w="2025" w:type="dxa"/>
          </w:tcPr>
          <w:p w14:paraId="34142BB4" w14:textId="31556C57" w:rsidR="004C7C2A" w:rsidRPr="000D5A2E" w:rsidRDefault="004C7C2A" w:rsidP="005F6CF2">
            <w:pPr>
              <w:pStyle w:val="NoSpacing"/>
              <w:spacing w:after="80" w:line="240" w:lineRule="exact"/>
              <w:rPr>
                <w:b w:val="0"/>
                <w:bCs w:val="0"/>
              </w:rPr>
            </w:pPr>
            <w:r w:rsidRPr="000D5A2E">
              <w:rPr>
                <w:b w:val="0"/>
                <w:bCs w:val="0"/>
              </w:rPr>
              <w:t>Independence; occupational self; home usability</w:t>
            </w:r>
          </w:p>
        </w:tc>
        <w:tc>
          <w:tcPr>
            <w:tcW w:w="6478" w:type="dxa"/>
          </w:tcPr>
          <w:p w14:paraId="04DD7023" w14:textId="2CA622D8" w:rsidR="004C7C2A" w:rsidRPr="000D5A2E" w:rsidRDefault="004C7C2A" w:rsidP="005F6CF2">
            <w:pPr>
              <w:pStyle w:val="NoSpacing"/>
              <w:spacing w:after="80" w:line="240" w:lineRule="exact"/>
              <w:rPr>
                <w:b w:val="0"/>
                <w:bCs w:val="0"/>
              </w:rPr>
            </w:pPr>
            <w:r w:rsidRPr="000D5A2E">
              <w:rPr>
                <w:b w:val="0"/>
                <w:bCs w:val="0"/>
              </w:rPr>
              <w:t>Independence in daily life was closely linked to the home environment. The findings suggest that home supports not only practical function but also self-perception as an independent person.</w:t>
            </w:r>
          </w:p>
        </w:tc>
      </w:tr>
      <w:tr w:rsidR="004C7C2A" w:rsidRPr="004C6AF3" w14:paraId="1B7D1F5C" w14:textId="77777777" w:rsidTr="005F6CF2">
        <w:tc>
          <w:tcPr>
            <w:tcW w:w="1341" w:type="dxa"/>
          </w:tcPr>
          <w:p w14:paraId="78821E6D" w14:textId="4438742F" w:rsidR="004C7C2A" w:rsidRPr="000D5A2E" w:rsidRDefault="004C7C2A" w:rsidP="005F6CF2">
            <w:pPr>
              <w:pStyle w:val="NoSpacing"/>
              <w:spacing w:after="80" w:line="240" w:lineRule="exact"/>
              <w:rPr>
                <w:b w:val="0"/>
                <w:bCs w:val="0"/>
              </w:rPr>
            </w:pPr>
            <w:r w:rsidRPr="000D5A2E">
              <w:rPr>
                <w:rStyle w:val="Strong"/>
              </w:rPr>
              <w:t>Hvalvik (2011)</w:t>
            </w:r>
          </w:p>
        </w:tc>
        <w:tc>
          <w:tcPr>
            <w:tcW w:w="1224" w:type="dxa"/>
          </w:tcPr>
          <w:p w14:paraId="32D63415" w14:textId="2C4D6C4E" w:rsidR="004C7C2A" w:rsidRPr="000D5A2E" w:rsidRDefault="004C7C2A" w:rsidP="005F6CF2">
            <w:pPr>
              <w:pStyle w:val="NoSpacing"/>
              <w:spacing w:after="80" w:line="240" w:lineRule="exact"/>
              <w:rPr>
                <w:b w:val="0"/>
                <w:bCs w:val="0"/>
              </w:rPr>
            </w:pPr>
            <w:r w:rsidRPr="000D5A2E">
              <w:rPr>
                <w:b w:val="0"/>
                <w:bCs w:val="0"/>
              </w:rPr>
              <w:t>Norway</w:t>
            </w:r>
          </w:p>
        </w:tc>
        <w:tc>
          <w:tcPr>
            <w:tcW w:w="2159" w:type="dxa"/>
          </w:tcPr>
          <w:p w14:paraId="5E98E677" w14:textId="1C86C374" w:rsidR="004C7C2A" w:rsidRPr="000D5A2E" w:rsidRDefault="004C7C2A" w:rsidP="005F6CF2">
            <w:pPr>
              <w:pStyle w:val="NoSpacing"/>
              <w:spacing w:after="80" w:line="240" w:lineRule="exact"/>
              <w:rPr>
                <w:b w:val="0"/>
                <w:bCs w:val="0"/>
              </w:rPr>
            </w:pPr>
            <w:r w:rsidRPr="000D5A2E">
              <w:rPr>
                <w:b w:val="0"/>
                <w:bCs w:val="0"/>
              </w:rPr>
              <w:t>Transition from self-supported to supported living</w:t>
            </w:r>
          </w:p>
        </w:tc>
        <w:tc>
          <w:tcPr>
            <w:tcW w:w="810" w:type="dxa"/>
          </w:tcPr>
          <w:p w14:paraId="2ACE3F18" w14:textId="4FD619F6" w:rsidR="004C7C2A" w:rsidRPr="000D5A2E" w:rsidRDefault="004C7C2A" w:rsidP="005F6CF2">
            <w:pPr>
              <w:pStyle w:val="NoSpacing"/>
              <w:spacing w:after="80" w:line="240" w:lineRule="exact"/>
              <w:rPr>
                <w:b w:val="0"/>
                <w:bCs w:val="0"/>
              </w:rPr>
            </w:pPr>
            <w:r w:rsidRPr="000D5A2E">
              <w:rPr>
                <w:b w:val="0"/>
                <w:bCs w:val="0"/>
              </w:rPr>
              <w:t>10</w:t>
            </w:r>
          </w:p>
        </w:tc>
        <w:tc>
          <w:tcPr>
            <w:tcW w:w="1531" w:type="dxa"/>
          </w:tcPr>
          <w:p w14:paraId="455749B8" w14:textId="05749219" w:rsidR="004C7C2A" w:rsidRPr="000D5A2E" w:rsidRDefault="004C7C2A" w:rsidP="005F6CF2">
            <w:pPr>
              <w:pStyle w:val="NoSpacing"/>
              <w:spacing w:after="80" w:line="240" w:lineRule="exact"/>
              <w:rPr>
                <w:b w:val="0"/>
                <w:bCs w:val="0"/>
              </w:rPr>
            </w:pPr>
            <w:r>
              <w:rPr>
                <w:b w:val="0"/>
                <w:bCs w:val="0"/>
              </w:rPr>
              <w:t xml:space="preserve">Range </w:t>
            </w:r>
            <w:r w:rsidRPr="000D5A2E">
              <w:rPr>
                <w:b w:val="0"/>
                <w:bCs w:val="0"/>
              </w:rPr>
              <w:t>67–92</w:t>
            </w:r>
          </w:p>
        </w:tc>
        <w:tc>
          <w:tcPr>
            <w:tcW w:w="2025" w:type="dxa"/>
          </w:tcPr>
          <w:p w14:paraId="40B3F50E" w14:textId="62EE93BB" w:rsidR="004C7C2A" w:rsidRPr="000D5A2E" w:rsidRDefault="004C7C2A" w:rsidP="005F6CF2">
            <w:pPr>
              <w:pStyle w:val="NoSpacing"/>
              <w:spacing w:after="80" w:line="240" w:lineRule="exact"/>
              <w:rPr>
                <w:b w:val="0"/>
                <w:bCs w:val="0"/>
              </w:rPr>
            </w:pPr>
            <w:r w:rsidRPr="000D5A2E">
              <w:rPr>
                <w:b w:val="0"/>
                <w:bCs w:val="0"/>
              </w:rPr>
              <w:t>Acceptance; vulnerability; transition process</w:t>
            </w:r>
          </w:p>
        </w:tc>
        <w:tc>
          <w:tcPr>
            <w:tcW w:w="6478" w:type="dxa"/>
          </w:tcPr>
          <w:p w14:paraId="52CCF26D" w14:textId="09D5CA7F" w:rsidR="004C7C2A" w:rsidRPr="000D5A2E" w:rsidRDefault="004C7C2A" w:rsidP="005F6CF2">
            <w:pPr>
              <w:pStyle w:val="NoSpacing"/>
              <w:spacing w:after="80" w:line="240" w:lineRule="exact"/>
              <w:rPr>
                <w:b w:val="0"/>
                <w:bCs w:val="0"/>
              </w:rPr>
            </w:pPr>
            <w:r w:rsidRPr="000D5A2E">
              <w:rPr>
                <w:b w:val="0"/>
                <w:bCs w:val="0"/>
              </w:rPr>
              <w:t>Acceptance was described as central to the transition process. A positive attitude could support adjustment, although this acceptance also coexisted with vulnerability and loss.</w:t>
            </w:r>
          </w:p>
        </w:tc>
      </w:tr>
      <w:tr w:rsidR="004C7C2A" w:rsidRPr="004C6AF3" w14:paraId="386A0543" w14:textId="77777777" w:rsidTr="005F6CF2">
        <w:tc>
          <w:tcPr>
            <w:tcW w:w="1341" w:type="dxa"/>
          </w:tcPr>
          <w:p w14:paraId="2A28C525" w14:textId="733F411D" w:rsidR="004C7C2A" w:rsidRPr="000D5A2E" w:rsidRDefault="004C7C2A" w:rsidP="005F6CF2">
            <w:pPr>
              <w:pStyle w:val="NoSpacing"/>
              <w:spacing w:after="80" w:line="240" w:lineRule="exact"/>
              <w:rPr>
                <w:b w:val="0"/>
                <w:bCs w:val="0"/>
              </w:rPr>
            </w:pPr>
            <w:proofErr w:type="spellStart"/>
            <w:r w:rsidRPr="000D5A2E">
              <w:rPr>
                <w:rStyle w:val="Strong"/>
              </w:rPr>
              <w:t>Kvæl</w:t>
            </w:r>
            <w:proofErr w:type="spellEnd"/>
            <w:r w:rsidRPr="000D5A2E">
              <w:rPr>
                <w:rStyle w:val="Strong"/>
              </w:rPr>
              <w:t xml:space="preserve"> (2025)</w:t>
            </w:r>
          </w:p>
        </w:tc>
        <w:tc>
          <w:tcPr>
            <w:tcW w:w="1224" w:type="dxa"/>
          </w:tcPr>
          <w:p w14:paraId="791FE32C" w14:textId="31B46AD7" w:rsidR="004C7C2A" w:rsidRPr="000D5A2E" w:rsidRDefault="004C7C2A" w:rsidP="005F6CF2">
            <w:pPr>
              <w:pStyle w:val="NoSpacing"/>
              <w:spacing w:after="80" w:line="240" w:lineRule="exact"/>
              <w:rPr>
                <w:b w:val="0"/>
                <w:bCs w:val="0"/>
              </w:rPr>
            </w:pPr>
            <w:r w:rsidRPr="000D5A2E">
              <w:rPr>
                <w:b w:val="0"/>
                <w:bCs w:val="0"/>
              </w:rPr>
              <w:t>Norway</w:t>
            </w:r>
          </w:p>
        </w:tc>
        <w:tc>
          <w:tcPr>
            <w:tcW w:w="2159" w:type="dxa"/>
          </w:tcPr>
          <w:p w14:paraId="575AFACE" w14:textId="782AF1AA" w:rsidR="004C7C2A" w:rsidRPr="000D5A2E" w:rsidRDefault="004C7C2A" w:rsidP="005F6CF2">
            <w:pPr>
              <w:pStyle w:val="NoSpacing"/>
              <w:spacing w:after="80" w:line="240" w:lineRule="exact"/>
              <w:rPr>
                <w:b w:val="0"/>
                <w:bCs w:val="0"/>
              </w:rPr>
            </w:pPr>
            <w:r w:rsidRPr="000D5A2E">
              <w:rPr>
                <w:b w:val="0"/>
                <w:bCs w:val="0"/>
              </w:rPr>
              <w:t>Ageing in place with/without support and transitional housing</w:t>
            </w:r>
          </w:p>
        </w:tc>
        <w:tc>
          <w:tcPr>
            <w:tcW w:w="810" w:type="dxa"/>
          </w:tcPr>
          <w:p w14:paraId="5854995C" w14:textId="5D04F197" w:rsidR="004C7C2A" w:rsidRPr="000D5A2E" w:rsidRDefault="004C7C2A" w:rsidP="005F6CF2">
            <w:pPr>
              <w:pStyle w:val="NoSpacing"/>
              <w:spacing w:after="80" w:line="240" w:lineRule="exact"/>
              <w:rPr>
                <w:b w:val="0"/>
                <w:bCs w:val="0"/>
              </w:rPr>
            </w:pPr>
            <w:r>
              <w:rPr>
                <w:b w:val="0"/>
                <w:bCs w:val="0"/>
              </w:rPr>
              <w:t>71</w:t>
            </w:r>
          </w:p>
        </w:tc>
        <w:tc>
          <w:tcPr>
            <w:tcW w:w="1531" w:type="dxa"/>
          </w:tcPr>
          <w:p w14:paraId="408C472C" w14:textId="7D28F09D" w:rsidR="004C7C2A" w:rsidRPr="000D5A2E" w:rsidRDefault="004C7C2A" w:rsidP="005F6CF2">
            <w:pPr>
              <w:pStyle w:val="NoSpacing"/>
              <w:spacing w:after="80" w:line="240" w:lineRule="exact"/>
              <w:rPr>
                <w:b w:val="0"/>
                <w:bCs w:val="0"/>
              </w:rPr>
            </w:pPr>
            <w:r>
              <w:rPr>
                <w:b w:val="0"/>
                <w:bCs w:val="0"/>
              </w:rPr>
              <w:t>Mean 84 years</w:t>
            </w:r>
          </w:p>
        </w:tc>
        <w:tc>
          <w:tcPr>
            <w:tcW w:w="2025" w:type="dxa"/>
          </w:tcPr>
          <w:p w14:paraId="60933A46" w14:textId="121EFE12" w:rsidR="004C7C2A" w:rsidRPr="000D5A2E" w:rsidRDefault="004C7C2A" w:rsidP="005F6CF2">
            <w:pPr>
              <w:pStyle w:val="NoSpacing"/>
              <w:spacing w:after="80" w:line="240" w:lineRule="exact"/>
              <w:rPr>
                <w:b w:val="0"/>
                <w:bCs w:val="0"/>
              </w:rPr>
            </w:pPr>
            <w:r w:rsidRPr="000D5A2E">
              <w:rPr>
                <w:b w:val="0"/>
                <w:bCs w:val="0"/>
              </w:rPr>
              <w:t>Shared responsibility; planning; independence literacy</w:t>
            </w:r>
          </w:p>
        </w:tc>
        <w:tc>
          <w:tcPr>
            <w:tcW w:w="6478" w:type="dxa"/>
          </w:tcPr>
          <w:p w14:paraId="0B2F80BA" w14:textId="577C7D6D" w:rsidR="004C7C2A" w:rsidRPr="000D5A2E" w:rsidRDefault="004C7C2A" w:rsidP="005F6CF2">
            <w:pPr>
              <w:pStyle w:val="NoSpacing"/>
              <w:spacing w:after="80" w:line="240" w:lineRule="exact"/>
              <w:rPr>
                <w:b w:val="0"/>
                <w:bCs w:val="0"/>
              </w:rPr>
            </w:pPr>
            <w:r w:rsidRPr="000D5A2E">
              <w:rPr>
                <w:b w:val="0"/>
                <w:bCs w:val="0"/>
              </w:rPr>
              <w:t>Preparation for ageing in place or transition was presented as a shared responsibility between older people, families, and municipalities. The study stresses the importance of improving “independence literacy” and early planning.</w:t>
            </w:r>
          </w:p>
        </w:tc>
      </w:tr>
      <w:tr w:rsidR="004C7C2A" w:rsidRPr="004C6AF3" w14:paraId="793C940A" w14:textId="77777777" w:rsidTr="005F6CF2">
        <w:tc>
          <w:tcPr>
            <w:tcW w:w="1341" w:type="dxa"/>
          </w:tcPr>
          <w:p w14:paraId="56589CD3" w14:textId="255436E3" w:rsidR="004C7C2A" w:rsidRPr="000D5A2E" w:rsidRDefault="004C7C2A" w:rsidP="005F6CF2">
            <w:pPr>
              <w:pStyle w:val="NoSpacing"/>
              <w:spacing w:after="80" w:line="240" w:lineRule="exact"/>
              <w:rPr>
                <w:b w:val="0"/>
                <w:bCs w:val="0"/>
              </w:rPr>
            </w:pPr>
            <w:proofErr w:type="spellStart"/>
            <w:r w:rsidRPr="000D5A2E">
              <w:rPr>
                <w:rStyle w:val="Strong"/>
              </w:rPr>
              <w:t>Kylén</w:t>
            </w:r>
            <w:proofErr w:type="spellEnd"/>
            <w:r w:rsidRPr="000D5A2E">
              <w:rPr>
                <w:rStyle w:val="Strong"/>
              </w:rPr>
              <w:t xml:space="preserve"> (2019)</w:t>
            </w:r>
          </w:p>
        </w:tc>
        <w:tc>
          <w:tcPr>
            <w:tcW w:w="1224" w:type="dxa"/>
          </w:tcPr>
          <w:p w14:paraId="2085416A" w14:textId="339CBEB1" w:rsidR="004C7C2A" w:rsidRPr="000D5A2E" w:rsidRDefault="004C7C2A" w:rsidP="005F6CF2">
            <w:pPr>
              <w:pStyle w:val="NoSpacing"/>
              <w:spacing w:after="80" w:line="240" w:lineRule="exact"/>
              <w:rPr>
                <w:b w:val="0"/>
                <w:bCs w:val="0"/>
              </w:rPr>
            </w:pPr>
            <w:r w:rsidRPr="000D5A2E">
              <w:rPr>
                <w:b w:val="0"/>
                <w:bCs w:val="0"/>
              </w:rPr>
              <w:t>Sweden</w:t>
            </w:r>
          </w:p>
        </w:tc>
        <w:tc>
          <w:tcPr>
            <w:tcW w:w="2159" w:type="dxa"/>
          </w:tcPr>
          <w:p w14:paraId="332B5587" w14:textId="50142EF7" w:rsidR="004C7C2A" w:rsidRPr="000D5A2E" w:rsidRDefault="004C7C2A" w:rsidP="005F6CF2">
            <w:pPr>
              <w:pStyle w:val="NoSpacing"/>
              <w:spacing w:after="80" w:line="240" w:lineRule="exact"/>
              <w:rPr>
                <w:b w:val="0"/>
                <w:bCs w:val="0"/>
              </w:rPr>
            </w:pPr>
            <w:r w:rsidRPr="000D5A2E">
              <w:rPr>
                <w:b w:val="0"/>
                <w:bCs w:val="0"/>
              </w:rPr>
              <w:t>Ordinary housing / meaning of home in later life</w:t>
            </w:r>
          </w:p>
        </w:tc>
        <w:tc>
          <w:tcPr>
            <w:tcW w:w="810" w:type="dxa"/>
          </w:tcPr>
          <w:p w14:paraId="207CE39A" w14:textId="7D969A48" w:rsidR="004C7C2A" w:rsidRPr="000D5A2E" w:rsidRDefault="004C7C2A" w:rsidP="005F6CF2">
            <w:pPr>
              <w:pStyle w:val="NoSpacing"/>
              <w:spacing w:after="80" w:line="240" w:lineRule="exact"/>
              <w:rPr>
                <w:b w:val="0"/>
                <w:bCs w:val="0"/>
              </w:rPr>
            </w:pPr>
            <w:r w:rsidRPr="000D5A2E">
              <w:rPr>
                <w:b w:val="0"/>
                <w:bCs w:val="0"/>
              </w:rPr>
              <w:t>13</w:t>
            </w:r>
          </w:p>
        </w:tc>
        <w:tc>
          <w:tcPr>
            <w:tcW w:w="1531" w:type="dxa"/>
          </w:tcPr>
          <w:p w14:paraId="72345054" w14:textId="6E032073" w:rsidR="004C7C2A" w:rsidRPr="000D5A2E" w:rsidRDefault="004C7C2A" w:rsidP="005F6CF2">
            <w:pPr>
              <w:pStyle w:val="NoSpacing"/>
              <w:spacing w:after="80" w:line="240" w:lineRule="exact"/>
              <w:rPr>
                <w:b w:val="0"/>
                <w:bCs w:val="0"/>
              </w:rPr>
            </w:pPr>
            <w:r>
              <w:rPr>
                <w:b w:val="0"/>
                <w:bCs w:val="0"/>
              </w:rPr>
              <w:t>67-70</w:t>
            </w:r>
          </w:p>
        </w:tc>
        <w:tc>
          <w:tcPr>
            <w:tcW w:w="2025" w:type="dxa"/>
          </w:tcPr>
          <w:p w14:paraId="5BFA87FF" w14:textId="2AE34D6F" w:rsidR="004C7C2A" w:rsidRPr="000D5A2E" w:rsidRDefault="004C7C2A" w:rsidP="005F6CF2">
            <w:pPr>
              <w:pStyle w:val="NoSpacing"/>
              <w:spacing w:after="80" w:line="240" w:lineRule="exact"/>
              <w:rPr>
                <w:b w:val="0"/>
                <w:bCs w:val="0"/>
              </w:rPr>
            </w:pPr>
            <w:r w:rsidRPr="000D5A2E">
              <w:rPr>
                <w:b w:val="0"/>
                <w:bCs w:val="0"/>
              </w:rPr>
              <w:t>Meaning of home; retirement; neighbourhood</w:t>
            </w:r>
          </w:p>
        </w:tc>
        <w:tc>
          <w:tcPr>
            <w:tcW w:w="6478" w:type="dxa"/>
          </w:tcPr>
          <w:p w14:paraId="3540279D" w14:textId="44C97AB2" w:rsidR="004C7C2A" w:rsidRPr="000D5A2E" w:rsidRDefault="004C7C2A" w:rsidP="005F6CF2">
            <w:pPr>
              <w:pStyle w:val="NoSpacing"/>
              <w:spacing w:after="80" w:line="240" w:lineRule="exact"/>
              <w:rPr>
                <w:b w:val="0"/>
                <w:bCs w:val="0"/>
              </w:rPr>
            </w:pPr>
            <w:r w:rsidRPr="000D5A2E">
              <w:rPr>
                <w:b w:val="0"/>
                <w:bCs w:val="0"/>
              </w:rPr>
              <w:t>The meaning of home became increasingly important after retirement and was shaped by both dwelling and neighbourhood. Home was linked to emotional attachment, continuity, and everyday security.</w:t>
            </w:r>
          </w:p>
        </w:tc>
      </w:tr>
      <w:tr w:rsidR="004C7C2A" w:rsidRPr="004C6AF3" w14:paraId="5EA6546A" w14:textId="77777777" w:rsidTr="005F6CF2">
        <w:tc>
          <w:tcPr>
            <w:tcW w:w="1341" w:type="dxa"/>
          </w:tcPr>
          <w:p w14:paraId="240833F4" w14:textId="1F630A5D" w:rsidR="004C7C2A" w:rsidRPr="000D5A2E" w:rsidRDefault="004C7C2A" w:rsidP="005F6CF2">
            <w:pPr>
              <w:pStyle w:val="NoSpacing"/>
              <w:spacing w:after="80" w:line="240" w:lineRule="exact"/>
              <w:rPr>
                <w:b w:val="0"/>
                <w:bCs w:val="0"/>
              </w:rPr>
            </w:pPr>
            <w:proofErr w:type="spellStart"/>
            <w:r w:rsidRPr="000D5A2E">
              <w:rPr>
                <w:rStyle w:val="Strong"/>
              </w:rPr>
              <w:lastRenderedPageBreak/>
              <w:t>Löfqvist</w:t>
            </w:r>
            <w:proofErr w:type="spellEnd"/>
            <w:r w:rsidRPr="000D5A2E">
              <w:rPr>
                <w:rStyle w:val="Strong"/>
              </w:rPr>
              <w:t xml:space="preserve"> (2013)</w:t>
            </w:r>
          </w:p>
        </w:tc>
        <w:tc>
          <w:tcPr>
            <w:tcW w:w="1224" w:type="dxa"/>
          </w:tcPr>
          <w:p w14:paraId="69BDD5E7" w14:textId="226E2941" w:rsidR="004C7C2A" w:rsidRPr="000D5A2E" w:rsidRDefault="004C7C2A" w:rsidP="005F6CF2">
            <w:pPr>
              <w:pStyle w:val="NoSpacing"/>
              <w:spacing w:after="80" w:line="240" w:lineRule="exact"/>
              <w:rPr>
                <w:b w:val="0"/>
                <w:bCs w:val="0"/>
              </w:rPr>
            </w:pPr>
            <w:r w:rsidRPr="000D5A2E">
              <w:rPr>
                <w:b w:val="0"/>
                <w:bCs w:val="0"/>
              </w:rPr>
              <w:t>Sweden and Germany</w:t>
            </w:r>
          </w:p>
        </w:tc>
        <w:tc>
          <w:tcPr>
            <w:tcW w:w="2159" w:type="dxa"/>
          </w:tcPr>
          <w:p w14:paraId="32C3FCF3" w14:textId="3EBCF41E" w:rsidR="004C7C2A" w:rsidRPr="000D5A2E" w:rsidRDefault="004C7C2A" w:rsidP="005F6CF2">
            <w:pPr>
              <w:pStyle w:val="NoSpacing"/>
              <w:spacing w:after="80" w:line="240" w:lineRule="exact"/>
              <w:rPr>
                <w:b w:val="0"/>
                <w:bCs w:val="0"/>
              </w:rPr>
            </w:pPr>
            <w:r w:rsidRPr="000D5A2E">
              <w:rPr>
                <w:b w:val="0"/>
                <w:bCs w:val="0"/>
              </w:rPr>
              <w:t>Decision-making about ageing in place or relocating while living in ordinary housing</w:t>
            </w:r>
          </w:p>
        </w:tc>
        <w:tc>
          <w:tcPr>
            <w:tcW w:w="810" w:type="dxa"/>
          </w:tcPr>
          <w:p w14:paraId="23CBBDB0" w14:textId="5130F9E7" w:rsidR="004C7C2A" w:rsidRPr="000D5A2E" w:rsidRDefault="004C7C2A" w:rsidP="005F6CF2">
            <w:pPr>
              <w:pStyle w:val="NoSpacing"/>
              <w:spacing w:after="80" w:line="240" w:lineRule="exact"/>
              <w:rPr>
                <w:b w:val="0"/>
                <w:bCs w:val="0"/>
              </w:rPr>
            </w:pPr>
            <w:r w:rsidRPr="000D5A2E">
              <w:rPr>
                <w:b w:val="0"/>
                <w:bCs w:val="0"/>
              </w:rPr>
              <w:t>80</w:t>
            </w:r>
          </w:p>
        </w:tc>
        <w:tc>
          <w:tcPr>
            <w:tcW w:w="1531" w:type="dxa"/>
          </w:tcPr>
          <w:p w14:paraId="5A38C062" w14:textId="0A59BE40" w:rsidR="004C7C2A" w:rsidRPr="000D5A2E" w:rsidRDefault="004C7C2A" w:rsidP="005F6CF2">
            <w:pPr>
              <w:pStyle w:val="NoSpacing"/>
              <w:spacing w:after="80" w:line="240" w:lineRule="exact"/>
              <w:rPr>
                <w:b w:val="0"/>
                <w:bCs w:val="0"/>
              </w:rPr>
            </w:pPr>
            <w:r>
              <w:rPr>
                <w:b w:val="0"/>
                <w:bCs w:val="0"/>
              </w:rPr>
              <w:t>80-89</w:t>
            </w:r>
          </w:p>
        </w:tc>
        <w:tc>
          <w:tcPr>
            <w:tcW w:w="2025" w:type="dxa"/>
          </w:tcPr>
          <w:p w14:paraId="4E395953" w14:textId="743064E6" w:rsidR="004C7C2A" w:rsidRPr="000D5A2E" w:rsidRDefault="004C7C2A" w:rsidP="005F6CF2">
            <w:pPr>
              <w:pStyle w:val="NoSpacing"/>
              <w:spacing w:after="80" w:line="240" w:lineRule="exact"/>
              <w:rPr>
                <w:b w:val="0"/>
                <w:bCs w:val="0"/>
              </w:rPr>
            </w:pPr>
            <w:r w:rsidRPr="000D5A2E">
              <w:rPr>
                <w:b w:val="0"/>
                <w:bCs w:val="0"/>
              </w:rPr>
              <w:t>Ambivalence; loneliness; accessibility; future needs</w:t>
            </w:r>
          </w:p>
        </w:tc>
        <w:tc>
          <w:tcPr>
            <w:tcW w:w="6478" w:type="dxa"/>
          </w:tcPr>
          <w:p w14:paraId="0924AA4F" w14:textId="146C3FAE" w:rsidR="004C7C2A" w:rsidRPr="000D5A2E" w:rsidRDefault="004C7C2A" w:rsidP="005F6CF2">
            <w:pPr>
              <w:pStyle w:val="NoSpacing"/>
              <w:spacing w:after="80" w:line="240" w:lineRule="exact"/>
              <w:rPr>
                <w:b w:val="0"/>
                <w:bCs w:val="0"/>
              </w:rPr>
            </w:pPr>
            <w:r w:rsidRPr="000D5A2E">
              <w:rPr>
                <w:b w:val="0"/>
                <w:bCs w:val="0"/>
              </w:rPr>
              <w:t>Participants often expressed ambivalence about moving. Loneliness and future care concerns could push relocation, but fear of losing familiarity and not feeling at home elsewhere acted as strong barriers.</w:t>
            </w:r>
          </w:p>
        </w:tc>
      </w:tr>
      <w:tr w:rsidR="004C7C2A" w:rsidRPr="004C6AF3" w14:paraId="1D0BFC74" w14:textId="77777777" w:rsidTr="005F6CF2">
        <w:tc>
          <w:tcPr>
            <w:tcW w:w="1341" w:type="dxa"/>
          </w:tcPr>
          <w:p w14:paraId="2E015DCC" w14:textId="2D02238B" w:rsidR="004C7C2A" w:rsidRPr="000D5A2E" w:rsidRDefault="004C7C2A" w:rsidP="005F6CF2">
            <w:pPr>
              <w:pStyle w:val="NoSpacing"/>
              <w:spacing w:after="80" w:line="240" w:lineRule="exact"/>
              <w:rPr>
                <w:b w:val="0"/>
                <w:bCs w:val="0"/>
              </w:rPr>
            </w:pPr>
            <w:r w:rsidRPr="000D5A2E">
              <w:rPr>
                <w:rStyle w:val="Strong"/>
              </w:rPr>
              <w:t>Rantanen (2024)</w:t>
            </w:r>
          </w:p>
        </w:tc>
        <w:tc>
          <w:tcPr>
            <w:tcW w:w="1224" w:type="dxa"/>
          </w:tcPr>
          <w:p w14:paraId="0578152F" w14:textId="7C21B7C2" w:rsidR="004C7C2A" w:rsidRPr="000D5A2E" w:rsidRDefault="004C7C2A" w:rsidP="005F6CF2">
            <w:pPr>
              <w:pStyle w:val="NoSpacing"/>
              <w:spacing w:after="80" w:line="240" w:lineRule="exact"/>
              <w:rPr>
                <w:b w:val="0"/>
                <w:bCs w:val="0"/>
              </w:rPr>
            </w:pPr>
            <w:r w:rsidRPr="000D5A2E">
              <w:rPr>
                <w:b w:val="0"/>
                <w:bCs w:val="0"/>
              </w:rPr>
              <w:t>Finland</w:t>
            </w:r>
          </w:p>
        </w:tc>
        <w:tc>
          <w:tcPr>
            <w:tcW w:w="2159" w:type="dxa"/>
          </w:tcPr>
          <w:p w14:paraId="6AD156C8" w14:textId="1A9B2A60" w:rsidR="004C7C2A" w:rsidRPr="000D5A2E" w:rsidRDefault="004C7C2A" w:rsidP="005F6CF2">
            <w:pPr>
              <w:pStyle w:val="NoSpacing"/>
              <w:spacing w:after="80" w:line="240" w:lineRule="exact"/>
              <w:rPr>
                <w:b w:val="0"/>
                <w:bCs w:val="0"/>
              </w:rPr>
            </w:pPr>
            <w:r w:rsidRPr="000D5A2E">
              <w:rPr>
                <w:b w:val="0"/>
                <w:bCs w:val="0"/>
              </w:rPr>
              <w:t>Home adaptations</w:t>
            </w:r>
          </w:p>
        </w:tc>
        <w:tc>
          <w:tcPr>
            <w:tcW w:w="810" w:type="dxa"/>
          </w:tcPr>
          <w:p w14:paraId="7BFB2506" w14:textId="43D1466C" w:rsidR="004C7C2A" w:rsidRPr="000D5A2E" w:rsidRDefault="004C7C2A" w:rsidP="005F6CF2">
            <w:pPr>
              <w:pStyle w:val="NoSpacing"/>
              <w:spacing w:after="80" w:line="240" w:lineRule="exact"/>
              <w:rPr>
                <w:b w:val="0"/>
                <w:bCs w:val="0"/>
              </w:rPr>
            </w:pPr>
            <w:r w:rsidRPr="000D5A2E">
              <w:rPr>
                <w:b w:val="0"/>
                <w:bCs w:val="0"/>
              </w:rPr>
              <w:t>32</w:t>
            </w:r>
          </w:p>
        </w:tc>
        <w:tc>
          <w:tcPr>
            <w:tcW w:w="1531" w:type="dxa"/>
          </w:tcPr>
          <w:p w14:paraId="6CC84672" w14:textId="5494E2DE" w:rsidR="004C7C2A" w:rsidRPr="000D5A2E" w:rsidRDefault="004C7C2A" w:rsidP="005F6CF2">
            <w:pPr>
              <w:pStyle w:val="NoSpacing"/>
              <w:spacing w:after="80" w:line="240" w:lineRule="exact"/>
              <w:rPr>
                <w:b w:val="0"/>
                <w:bCs w:val="0"/>
              </w:rPr>
            </w:pPr>
          </w:p>
        </w:tc>
        <w:tc>
          <w:tcPr>
            <w:tcW w:w="2025" w:type="dxa"/>
          </w:tcPr>
          <w:p w14:paraId="5A437993" w14:textId="3CF76637" w:rsidR="004C7C2A" w:rsidRPr="000D5A2E" w:rsidRDefault="004C7C2A" w:rsidP="005F6CF2">
            <w:pPr>
              <w:pStyle w:val="NoSpacing"/>
              <w:spacing w:after="80" w:line="240" w:lineRule="exact"/>
              <w:rPr>
                <w:b w:val="0"/>
                <w:bCs w:val="0"/>
              </w:rPr>
            </w:pPr>
            <w:r w:rsidRPr="000D5A2E">
              <w:rPr>
                <w:b w:val="0"/>
                <w:bCs w:val="0"/>
              </w:rPr>
              <w:t>Perspective-taking; proxy illness narratives; planning</w:t>
            </w:r>
          </w:p>
        </w:tc>
        <w:tc>
          <w:tcPr>
            <w:tcW w:w="6478" w:type="dxa"/>
          </w:tcPr>
          <w:p w14:paraId="699BE779" w14:textId="33340ACC" w:rsidR="004C7C2A" w:rsidRPr="000D5A2E" w:rsidRDefault="004C7C2A" w:rsidP="005F6CF2">
            <w:pPr>
              <w:pStyle w:val="NoSpacing"/>
              <w:spacing w:after="80" w:line="240" w:lineRule="exact"/>
              <w:rPr>
                <w:b w:val="0"/>
                <w:bCs w:val="0"/>
              </w:rPr>
            </w:pPr>
            <w:r w:rsidRPr="000D5A2E">
              <w:rPr>
                <w:b w:val="0"/>
                <w:bCs w:val="0"/>
              </w:rPr>
              <w:t>Participants imagined future housing needs by “putting themselves in another person’s shoes.” This helped them think ahead about risks, adaptations, and future agency.</w:t>
            </w:r>
          </w:p>
        </w:tc>
      </w:tr>
      <w:tr w:rsidR="004C7C2A" w:rsidRPr="004C6AF3" w14:paraId="2E216600" w14:textId="77777777" w:rsidTr="005F6CF2">
        <w:tc>
          <w:tcPr>
            <w:tcW w:w="1341" w:type="dxa"/>
          </w:tcPr>
          <w:p w14:paraId="6FE0AC67" w14:textId="7E9311EA" w:rsidR="004C7C2A" w:rsidRPr="000D5A2E" w:rsidRDefault="004C7C2A" w:rsidP="005F6CF2">
            <w:pPr>
              <w:pStyle w:val="NoSpacing"/>
              <w:spacing w:after="80" w:line="240" w:lineRule="exact"/>
              <w:rPr>
                <w:b w:val="0"/>
                <w:bCs w:val="0"/>
              </w:rPr>
            </w:pPr>
            <w:proofErr w:type="spellStart"/>
            <w:r w:rsidRPr="000D5A2E">
              <w:rPr>
                <w:rStyle w:val="Strong"/>
              </w:rPr>
              <w:t>Riccò</w:t>
            </w:r>
            <w:proofErr w:type="spellEnd"/>
            <w:r w:rsidRPr="000D5A2E">
              <w:rPr>
                <w:rStyle w:val="Strong"/>
              </w:rPr>
              <w:t xml:space="preserve"> (2025)</w:t>
            </w:r>
          </w:p>
        </w:tc>
        <w:tc>
          <w:tcPr>
            <w:tcW w:w="1224" w:type="dxa"/>
          </w:tcPr>
          <w:p w14:paraId="1942E973" w14:textId="4266EBBE" w:rsidR="004C7C2A" w:rsidRPr="000D5A2E" w:rsidRDefault="004C7C2A" w:rsidP="005F6CF2">
            <w:pPr>
              <w:pStyle w:val="NoSpacing"/>
              <w:spacing w:after="80" w:line="240" w:lineRule="exact"/>
              <w:rPr>
                <w:b w:val="0"/>
                <w:bCs w:val="0"/>
              </w:rPr>
            </w:pPr>
            <w:r w:rsidRPr="000D5A2E">
              <w:rPr>
                <w:b w:val="0"/>
                <w:bCs w:val="0"/>
              </w:rPr>
              <w:t>Italy</w:t>
            </w:r>
          </w:p>
        </w:tc>
        <w:tc>
          <w:tcPr>
            <w:tcW w:w="2159" w:type="dxa"/>
          </w:tcPr>
          <w:p w14:paraId="3702A856" w14:textId="0F9BB219" w:rsidR="004C7C2A" w:rsidRPr="000D5A2E" w:rsidRDefault="004C7C2A" w:rsidP="005F6CF2">
            <w:pPr>
              <w:pStyle w:val="NoSpacing"/>
              <w:spacing w:after="80" w:line="240" w:lineRule="exact"/>
              <w:rPr>
                <w:b w:val="0"/>
                <w:bCs w:val="0"/>
              </w:rPr>
            </w:pPr>
            <w:r w:rsidRPr="000D5A2E">
              <w:rPr>
                <w:b w:val="0"/>
                <w:bCs w:val="0"/>
              </w:rPr>
              <w:t>Transition to co-housing project and nursing home</w:t>
            </w:r>
          </w:p>
        </w:tc>
        <w:tc>
          <w:tcPr>
            <w:tcW w:w="810" w:type="dxa"/>
          </w:tcPr>
          <w:p w14:paraId="7C00B09F" w14:textId="627CB973" w:rsidR="004C7C2A" w:rsidRPr="000D5A2E" w:rsidRDefault="004C7C2A" w:rsidP="005F6CF2">
            <w:pPr>
              <w:pStyle w:val="NoSpacing"/>
              <w:spacing w:after="80" w:line="240" w:lineRule="exact"/>
              <w:rPr>
                <w:b w:val="0"/>
                <w:bCs w:val="0"/>
              </w:rPr>
            </w:pPr>
            <w:r w:rsidRPr="000D5A2E">
              <w:rPr>
                <w:b w:val="0"/>
                <w:bCs w:val="0"/>
              </w:rPr>
              <w:t>11</w:t>
            </w:r>
          </w:p>
        </w:tc>
        <w:tc>
          <w:tcPr>
            <w:tcW w:w="1531" w:type="dxa"/>
          </w:tcPr>
          <w:p w14:paraId="4184CB9B" w14:textId="5D6FED06" w:rsidR="004C7C2A" w:rsidRPr="000D5A2E" w:rsidRDefault="004C7C2A" w:rsidP="005F6CF2">
            <w:pPr>
              <w:pStyle w:val="NoSpacing"/>
              <w:spacing w:after="80" w:line="240" w:lineRule="exact"/>
              <w:rPr>
                <w:b w:val="0"/>
                <w:bCs w:val="0"/>
              </w:rPr>
            </w:pPr>
            <w:r w:rsidRPr="000D5A2E">
              <w:rPr>
                <w:b w:val="0"/>
                <w:bCs w:val="0"/>
              </w:rPr>
              <w:t>75+</w:t>
            </w:r>
          </w:p>
        </w:tc>
        <w:tc>
          <w:tcPr>
            <w:tcW w:w="2025" w:type="dxa"/>
          </w:tcPr>
          <w:p w14:paraId="1E83DF4A" w14:textId="4D57B01D" w:rsidR="004C7C2A" w:rsidRPr="000D5A2E" w:rsidRDefault="004C7C2A" w:rsidP="005F6CF2">
            <w:pPr>
              <w:pStyle w:val="NoSpacing"/>
              <w:spacing w:after="80" w:line="240" w:lineRule="exact"/>
              <w:rPr>
                <w:b w:val="0"/>
                <w:bCs w:val="0"/>
              </w:rPr>
            </w:pPr>
            <w:r w:rsidRPr="000D5A2E">
              <w:rPr>
                <w:b w:val="0"/>
                <w:bCs w:val="0"/>
              </w:rPr>
              <w:t>Gender; safety; care; socio-economic and emotional conditions</w:t>
            </w:r>
          </w:p>
        </w:tc>
        <w:tc>
          <w:tcPr>
            <w:tcW w:w="6478" w:type="dxa"/>
          </w:tcPr>
          <w:p w14:paraId="4419D587" w14:textId="46E293C7" w:rsidR="004C7C2A" w:rsidRPr="000D5A2E" w:rsidRDefault="004C7C2A" w:rsidP="005F6CF2">
            <w:pPr>
              <w:pStyle w:val="NoSpacing"/>
              <w:spacing w:after="80" w:line="240" w:lineRule="exact"/>
              <w:rPr>
                <w:b w:val="0"/>
                <w:bCs w:val="0"/>
              </w:rPr>
            </w:pPr>
            <w:r w:rsidRPr="000D5A2E">
              <w:rPr>
                <w:b w:val="0"/>
                <w:bCs w:val="0"/>
              </w:rPr>
              <w:t>From a gender perspective, relocation decisions were shaped by women’s socio-economic position, emotional histories, and search for safety and support. The study shows that relocation is closely tied to later-life vulnerability and care expectations.</w:t>
            </w:r>
          </w:p>
        </w:tc>
      </w:tr>
      <w:tr w:rsidR="004C7C2A" w:rsidRPr="004C6AF3" w14:paraId="59304A6B" w14:textId="77777777" w:rsidTr="005F6CF2">
        <w:tc>
          <w:tcPr>
            <w:tcW w:w="1341" w:type="dxa"/>
          </w:tcPr>
          <w:p w14:paraId="5252CC31" w14:textId="6919C172" w:rsidR="004C7C2A" w:rsidRPr="000D5A2E" w:rsidRDefault="004C7C2A" w:rsidP="005F6CF2">
            <w:pPr>
              <w:pStyle w:val="NoSpacing"/>
              <w:spacing w:after="80" w:line="240" w:lineRule="exact"/>
              <w:rPr>
                <w:b w:val="0"/>
                <w:bCs w:val="0"/>
              </w:rPr>
            </w:pPr>
            <w:proofErr w:type="spellStart"/>
            <w:r w:rsidRPr="000D5A2E">
              <w:rPr>
                <w:rStyle w:val="Strong"/>
              </w:rPr>
              <w:t>Svidén</w:t>
            </w:r>
            <w:proofErr w:type="spellEnd"/>
            <w:r w:rsidRPr="000D5A2E">
              <w:rPr>
                <w:rStyle w:val="Strong"/>
              </w:rPr>
              <w:t xml:space="preserve"> (2002)</w:t>
            </w:r>
          </w:p>
        </w:tc>
        <w:tc>
          <w:tcPr>
            <w:tcW w:w="1224" w:type="dxa"/>
          </w:tcPr>
          <w:p w14:paraId="4D704480" w14:textId="71C94161" w:rsidR="004C7C2A" w:rsidRPr="000D5A2E" w:rsidRDefault="004C7C2A" w:rsidP="005F6CF2">
            <w:pPr>
              <w:pStyle w:val="NoSpacing"/>
              <w:spacing w:after="80" w:line="240" w:lineRule="exact"/>
              <w:rPr>
                <w:b w:val="0"/>
                <w:bCs w:val="0"/>
              </w:rPr>
            </w:pPr>
            <w:r w:rsidRPr="000D5A2E">
              <w:rPr>
                <w:b w:val="0"/>
                <w:bCs w:val="0"/>
              </w:rPr>
              <w:t>Sweden</w:t>
            </w:r>
          </w:p>
        </w:tc>
        <w:tc>
          <w:tcPr>
            <w:tcW w:w="2159" w:type="dxa"/>
          </w:tcPr>
          <w:p w14:paraId="6700AE07" w14:textId="7683C2A3" w:rsidR="004C7C2A" w:rsidRPr="000D5A2E" w:rsidRDefault="004C7C2A" w:rsidP="005F6CF2">
            <w:pPr>
              <w:pStyle w:val="NoSpacing"/>
              <w:spacing w:after="80" w:line="240" w:lineRule="exact"/>
              <w:rPr>
                <w:b w:val="0"/>
                <w:bCs w:val="0"/>
              </w:rPr>
            </w:pPr>
            <w:r w:rsidRPr="000D5A2E">
              <w:rPr>
                <w:b w:val="0"/>
                <w:bCs w:val="0"/>
              </w:rPr>
              <w:t>Transition to sheltered housing</w:t>
            </w:r>
          </w:p>
        </w:tc>
        <w:tc>
          <w:tcPr>
            <w:tcW w:w="810" w:type="dxa"/>
          </w:tcPr>
          <w:p w14:paraId="20211FFB" w14:textId="17FB20C3" w:rsidR="004C7C2A" w:rsidRPr="000D5A2E" w:rsidRDefault="004C7C2A" w:rsidP="005F6CF2">
            <w:pPr>
              <w:pStyle w:val="NoSpacing"/>
              <w:spacing w:after="80" w:line="240" w:lineRule="exact"/>
              <w:rPr>
                <w:b w:val="0"/>
                <w:bCs w:val="0"/>
              </w:rPr>
            </w:pPr>
            <w:r w:rsidRPr="000D5A2E">
              <w:rPr>
                <w:b w:val="0"/>
                <w:bCs w:val="0"/>
              </w:rPr>
              <w:t>59</w:t>
            </w:r>
          </w:p>
        </w:tc>
        <w:tc>
          <w:tcPr>
            <w:tcW w:w="1531" w:type="dxa"/>
          </w:tcPr>
          <w:p w14:paraId="31D4A711" w14:textId="29665F7A" w:rsidR="004C7C2A" w:rsidRPr="000D5A2E" w:rsidRDefault="004C7C2A" w:rsidP="005F6CF2">
            <w:pPr>
              <w:pStyle w:val="NoSpacing"/>
              <w:spacing w:after="80" w:line="240" w:lineRule="exact"/>
              <w:rPr>
                <w:b w:val="0"/>
                <w:bCs w:val="0"/>
              </w:rPr>
            </w:pPr>
            <w:r w:rsidRPr="37D4BDDB">
              <w:t xml:space="preserve">NR </w:t>
            </w:r>
          </w:p>
        </w:tc>
        <w:tc>
          <w:tcPr>
            <w:tcW w:w="2025" w:type="dxa"/>
          </w:tcPr>
          <w:p w14:paraId="461A0A92" w14:textId="665C7299" w:rsidR="004C7C2A" w:rsidRPr="000D5A2E" w:rsidRDefault="004C7C2A" w:rsidP="005F6CF2">
            <w:pPr>
              <w:pStyle w:val="NoSpacing"/>
              <w:spacing w:after="80" w:line="240" w:lineRule="exact"/>
              <w:rPr>
                <w:b w:val="0"/>
                <w:bCs w:val="0"/>
              </w:rPr>
            </w:pPr>
            <w:r w:rsidRPr="000D5A2E">
              <w:rPr>
                <w:b w:val="0"/>
                <w:bCs w:val="0"/>
              </w:rPr>
              <w:t>Security; self-image; dependency; adaptation</w:t>
            </w:r>
          </w:p>
        </w:tc>
        <w:tc>
          <w:tcPr>
            <w:tcW w:w="6478" w:type="dxa"/>
          </w:tcPr>
          <w:p w14:paraId="7014633F" w14:textId="79172C56" w:rsidR="004C7C2A" w:rsidRPr="000D5A2E" w:rsidRDefault="004C7C2A" w:rsidP="005F6CF2">
            <w:pPr>
              <w:pStyle w:val="NoSpacing"/>
              <w:spacing w:after="80" w:line="240" w:lineRule="exact"/>
              <w:rPr>
                <w:b w:val="0"/>
                <w:bCs w:val="0"/>
              </w:rPr>
            </w:pPr>
            <w:r w:rsidRPr="000D5A2E">
              <w:rPr>
                <w:b w:val="0"/>
                <w:bCs w:val="0"/>
              </w:rPr>
              <w:t>Moving to sheltered housing often altered participants’ self-image from independent to dependent. At the same time, sheltered housing also provided safety and practical support, creating both losses and gains.</w:t>
            </w:r>
          </w:p>
        </w:tc>
      </w:tr>
      <w:tr w:rsidR="004C7C2A" w:rsidRPr="004C6AF3" w14:paraId="71AAD7DF" w14:textId="77777777" w:rsidTr="005F6CF2">
        <w:tc>
          <w:tcPr>
            <w:tcW w:w="1341" w:type="dxa"/>
          </w:tcPr>
          <w:p w14:paraId="2CA3BF51" w14:textId="4B2A6983" w:rsidR="004C7C2A" w:rsidRPr="000D5A2E" w:rsidRDefault="004C7C2A" w:rsidP="005F6CF2">
            <w:pPr>
              <w:pStyle w:val="NoSpacing"/>
              <w:spacing w:after="80" w:line="240" w:lineRule="exact"/>
              <w:rPr>
                <w:b w:val="0"/>
                <w:bCs w:val="0"/>
              </w:rPr>
            </w:pPr>
            <w:proofErr w:type="spellStart"/>
            <w:r w:rsidRPr="000D5A2E">
              <w:rPr>
                <w:rStyle w:val="Strong"/>
              </w:rPr>
              <w:t>Temelová</w:t>
            </w:r>
            <w:proofErr w:type="spellEnd"/>
            <w:r w:rsidRPr="000D5A2E">
              <w:rPr>
                <w:rStyle w:val="Strong"/>
              </w:rPr>
              <w:t xml:space="preserve"> (2014)</w:t>
            </w:r>
          </w:p>
        </w:tc>
        <w:tc>
          <w:tcPr>
            <w:tcW w:w="1224" w:type="dxa"/>
          </w:tcPr>
          <w:p w14:paraId="20EF551A" w14:textId="7384878D" w:rsidR="004C7C2A" w:rsidRPr="000D5A2E" w:rsidRDefault="004C7C2A" w:rsidP="005F6CF2">
            <w:pPr>
              <w:pStyle w:val="NoSpacing"/>
              <w:spacing w:after="80" w:line="240" w:lineRule="exact"/>
              <w:rPr>
                <w:b w:val="0"/>
                <w:bCs w:val="0"/>
              </w:rPr>
            </w:pPr>
            <w:r w:rsidRPr="000D5A2E">
              <w:rPr>
                <w:b w:val="0"/>
                <w:bCs w:val="0"/>
              </w:rPr>
              <w:t>Czech Republic</w:t>
            </w:r>
          </w:p>
        </w:tc>
        <w:tc>
          <w:tcPr>
            <w:tcW w:w="2159" w:type="dxa"/>
          </w:tcPr>
          <w:p w14:paraId="18A095A6" w14:textId="4AC90747" w:rsidR="004C7C2A" w:rsidRPr="000D5A2E" w:rsidRDefault="004C7C2A" w:rsidP="005F6CF2">
            <w:pPr>
              <w:pStyle w:val="NoSpacing"/>
              <w:spacing w:after="80" w:line="240" w:lineRule="exact"/>
              <w:rPr>
                <w:b w:val="0"/>
                <w:bCs w:val="0"/>
              </w:rPr>
            </w:pPr>
            <w:r w:rsidRPr="000D5A2E">
              <w:rPr>
                <w:b w:val="0"/>
                <w:bCs w:val="0"/>
              </w:rPr>
              <w:t>Moving to, and ageing in place within, high-rise panel housing estates</w:t>
            </w:r>
          </w:p>
        </w:tc>
        <w:tc>
          <w:tcPr>
            <w:tcW w:w="810" w:type="dxa"/>
          </w:tcPr>
          <w:p w14:paraId="6399B48E" w14:textId="4C118B71" w:rsidR="004C7C2A" w:rsidRPr="000D5A2E" w:rsidRDefault="004C7C2A" w:rsidP="005F6CF2">
            <w:pPr>
              <w:pStyle w:val="NoSpacing"/>
              <w:spacing w:after="80" w:line="240" w:lineRule="exact"/>
              <w:rPr>
                <w:b w:val="0"/>
                <w:bCs w:val="0"/>
              </w:rPr>
            </w:pPr>
            <w:r w:rsidRPr="000D5A2E">
              <w:rPr>
                <w:b w:val="0"/>
                <w:bCs w:val="0"/>
              </w:rPr>
              <w:t>45</w:t>
            </w:r>
          </w:p>
        </w:tc>
        <w:tc>
          <w:tcPr>
            <w:tcW w:w="1531" w:type="dxa"/>
          </w:tcPr>
          <w:p w14:paraId="1AB08EB8" w14:textId="45D607D1" w:rsidR="004C7C2A" w:rsidRPr="000D5A2E" w:rsidRDefault="004C7C2A" w:rsidP="005F6CF2">
            <w:pPr>
              <w:pStyle w:val="NoSpacing"/>
              <w:spacing w:after="80" w:line="240" w:lineRule="exact"/>
              <w:rPr>
                <w:b w:val="0"/>
                <w:bCs w:val="0"/>
              </w:rPr>
            </w:pPr>
            <w:r w:rsidRPr="000D5A2E">
              <w:rPr>
                <w:b w:val="0"/>
                <w:bCs w:val="0"/>
              </w:rPr>
              <w:t>65+</w:t>
            </w:r>
          </w:p>
        </w:tc>
        <w:tc>
          <w:tcPr>
            <w:tcW w:w="2025" w:type="dxa"/>
          </w:tcPr>
          <w:p w14:paraId="025FE83D" w14:textId="17E884BC" w:rsidR="004C7C2A" w:rsidRPr="000D5A2E" w:rsidRDefault="004C7C2A" w:rsidP="005F6CF2">
            <w:pPr>
              <w:pStyle w:val="NoSpacing"/>
              <w:spacing w:after="80" w:line="240" w:lineRule="exact"/>
              <w:rPr>
                <w:b w:val="0"/>
                <w:bCs w:val="0"/>
              </w:rPr>
            </w:pPr>
            <w:r w:rsidRPr="000D5A2E">
              <w:rPr>
                <w:b w:val="0"/>
                <w:bCs w:val="0"/>
              </w:rPr>
              <w:t>Neighbourhood ageing; long-term residence; local services</w:t>
            </w:r>
          </w:p>
        </w:tc>
        <w:tc>
          <w:tcPr>
            <w:tcW w:w="6478" w:type="dxa"/>
          </w:tcPr>
          <w:p w14:paraId="345D12E6" w14:textId="75F2FB28" w:rsidR="004C7C2A" w:rsidRPr="000D5A2E" w:rsidRDefault="004C7C2A" w:rsidP="005F6CF2">
            <w:pPr>
              <w:pStyle w:val="NoSpacing"/>
              <w:spacing w:after="80" w:line="240" w:lineRule="exact"/>
              <w:rPr>
                <w:b w:val="0"/>
                <w:bCs w:val="0"/>
              </w:rPr>
            </w:pPr>
            <w:r w:rsidRPr="000D5A2E">
              <w:rPr>
                <w:b w:val="0"/>
                <w:bCs w:val="0"/>
              </w:rPr>
              <w:t>Most participants were long-term residents and had aged in place within the estates. Although some had moved earlier to improve housing conditions, later-life decisions were strongly shaped by neighbourhood ageing and local service change.</w:t>
            </w:r>
          </w:p>
        </w:tc>
      </w:tr>
      <w:tr w:rsidR="004C7C2A" w:rsidRPr="004C6AF3" w14:paraId="15A0A627" w14:textId="77777777" w:rsidTr="005F6CF2">
        <w:tc>
          <w:tcPr>
            <w:tcW w:w="1341" w:type="dxa"/>
          </w:tcPr>
          <w:p w14:paraId="42288072" w14:textId="07B0ED6C" w:rsidR="004C7C2A" w:rsidRPr="000D5A2E" w:rsidRDefault="004C7C2A" w:rsidP="005F6CF2">
            <w:pPr>
              <w:pStyle w:val="NoSpacing"/>
              <w:spacing w:after="80" w:line="240" w:lineRule="exact"/>
              <w:rPr>
                <w:b w:val="0"/>
                <w:bCs w:val="0"/>
              </w:rPr>
            </w:pPr>
            <w:r w:rsidRPr="000D5A2E">
              <w:rPr>
                <w:rStyle w:val="Strong"/>
              </w:rPr>
              <w:t>Yadav et al. (2025)</w:t>
            </w:r>
          </w:p>
        </w:tc>
        <w:tc>
          <w:tcPr>
            <w:tcW w:w="1224" w:type="dxa"/>
          </w:tcPr>
          <w:p w14:paraId="26D467C3" w14:textId="3BC75343" w:rsidR="004C7C2A" w:rsidRPr="000D5A2E" w:rsidRDefault="004C7C2A" w:rsidP="005F6CF2">
            <w:pPr>
              <w:pStyle w:val="NoSpacing"/>
              <w:spacing w:after="80" w:line="240" w:lineRule="exact"/>
              <w:rPr>
                <w:b w:val="0"/>
                <w:bCs w:val="0"/>
              </w:rPr>
            </w:pPr>
            <w:r w:rsidRPr="000D5A2E">
              <w:rPr>
                <w:b w:val="0"/>
                <w:bCs w:val="0"/>
              </w:rPr>
              <w:t>Sweden</w:t>
            </w:r>
          </w:p>
        </w:tc>
        <w:tc>
          <w:tcPr>
            <w:tcW w:w="2159" w:type="dxa"/>
          </w:tcPr>
          <w:p w14:paraId="3D9D6F38" w14:textId="5BADA4C5" w:rsidR="004C7C2A" w:rsidRPr="000D5A2E" w:rsidRDefault="004C7C2A" w:rsidP="005F6CF2">
            <w:pPr>
              <w:pStyle w:val="NoSpacing"/>
              <w:spacing w:after="80" w:line="240" w:lineRule="exact"/>
              <w:rPr>
                <w:b w:val="0"/>
                <w:bCs w:val="0"/>
              </w:rPr>
            </w:pPr>
            <w:r w:rsidRPr="000D5A2E">
              <w:rPr>
                <w:b w:val="0"/>
                <w:bCs w:val="0"/>
              </w:rPr>
              <w:t>Considering staying vs moving in disadvantaged urban and rural areas</w:t>
            </w:r>
          </w:p>
        </w:tc>
        <w:tc>
          <w:tcPr>
            <w:tcW w:w="810" w:type="dxa"/>
          </w:tcPr>
          <w:p w14:paraId="5BC086D7" w14:textId="4BC45AF9" w:rsidR="004C7C2A" w:rsidRPr="000D5A2E" w:rsidRDefault="004C7C2A" w:rsidP="005F6CF2">
            <w:pPr>
              <w:pStyle w:val="NoSpacing"/>
              <w:spacing w:after="80" w:line="240" w:lineRule="exact"/>
              <w:rPr>
                <w:b w:val="0"/>
                <w:bCs w:val="0"/>
              </w:rPr>
            </w:pPr>
            <w:r w:rsidRPr="000D5A2E">
              <w:rPr>
                <w:b w:val="0"/>
                <w:bCs w:val="0"/>
              </w:rPr>
              <w:t xml:space="preserve">41 </w:t>
            </w:r>
          </w:p>
        </w:tc>
        <w:tc>
          <w:tcPr>
            <w:tcW w:w="1531" w:type="dxa"/>
          </w:tcPr>
          <w:p w14:paraId="0401DB99" w14:textId="575227D4" w:rsidR="004C7C2A" w:rsidRPr="000D5A2E" w:rsidRDefault="004C7C2A" w:rsidP="005F6CF2">
            <w:pPr>
              <w:pStyle w:val="NoSpacing"/>
              <w:spacing w:after="80" w:line="240" w:lineRule="exact"/>
              <w:rPr>
                <w:b w:val="0"/>
                <w:bCs w:val="0"/>
              </w:rPr>
            </w:pPr>
          </w:p>
        </w:tc>
        <w:tc>
          <w:tcPr>
            <w:tcW w:w="2025" w:type="dxa"/>
          </w:tcPr>
          <w:p w14:paraId="565228DD" w14:textId="5557C833" w:rsidR="004C7C2A" w:rsidRPr="000D5A2E" w:rsidRDefault="004C7C2A" w:rsidP="005F6CF2">
            <w:pPr>
              <w:pStyle w:val="NoSpacing"/>
              <w:spacing w:after="80" w:line="240" w:lineRule="exact"/>
              <w:rPr>
                <w:b w:val="0"/>
                <w:bCs w:val="0"/>
              </w:rPr>
            </w:pPr>
            <w:r w:rsidRPr="000D5A2E">
              <w:rPr>
                <w:b w:val="0"/>
                <w:bCs w:val="0"/>
              </w:rPr>
              <w:t>Place attachment; safety; services; social ties</w:t>
            </w:r>
          </w:p>
        </w:tc>
        <w:tc>
          <w:tcPr>
            <w:tcW w:w="6478" w:type="dxa"/>
          </w:tcPr>
          <w:p w14:paraId="28F68D8A" w14:textId="06EB5DC5" w:rsidR="004C7C2A" w:rsidRPr="000D5A2E" w:rsidRDefault="004C7C2A" w:rsidP="005F6CF2">
            <w:pPr>
              <w:pStyle w:val="NoSpacing"/>
              <w:spacing w:after="80" w:line="240" w:lineRule="exact"/>
              <w:rPr>
                <w:b w:val="0"/>
                <w:bCs w:val="0"/>
              </w:rPr>
            </w:pPr>
            <w:r w:rsidRPr="000D5A2E">
              <w:rPr>
                <w:b w:val="0"/>
                <w:bCs w:val="0"/>
              </w:rPr>
              <w:t>Participants described a complex mix of push and pull factors rather than one trigger. Rural residents often expressed strong attachment and plans to stay, while urban residents more often raised safety and neighbourhood disorder as reasons to consider moving.</w:t>
            </w:r>
          </w:p>
        </w:tc>
      </w:tr>
      <w:tr w:rsidR="004C7C2A" w:rsidRPr="004C6AF3" w14:paraId="59EA2DAD" w14:textId="77777777" w:rsidTr="005F6CF2">
        <w:tc>
          <w:tcPr>
            <w:tcW w:w="1341" w:type="dxa"/>
          </w:tcPr>
          <w:p w14:paraId="4F12D06D" w14:textId="535BB126" w:rsidR="004C7C2A" w:rsidRPr="000D5A2E" w:rsidRDefault="004C7C2A" w:rsidP="005F6CF2">
            <w:pPr>
              <w:pStyle w:val="NoSpacing"/>
              <w:spacing w:after="80" w:line="240" w:lineRule="exact"/>
              <w:rPr>
                <w:b w:val="0"/>
                <w:bCs w:val="0"/>
              </w:rPr>
            </w:pPr>
            <w:r w:rsidRPr="000D5A2E">
              <w:rPr>
                <w:rStyle w:val="Strong"/>
              </w:rPr>
              <w:t>Vasara (2015)</w:t>
            </w:r>
          </w:p>
        </w:tc>
        <w:tc>
          <w:tcPr>
            <w:tcW w:w="1224" w:type="dxa"/>
          </w:tcPr>
          <w:p w14:paraId="1FD2D086" w14:textId="68651EA0" w:rsidR="004C7C2A" w:rsidRPr="000D5A2E" w:rsidRDefault="004C7C2A" w:rsidP="005F6CF2">
            <w:pPr>
              <w:pStyle w:val="NoSpacing"/>
              <w:spacing w:after="80" w:line="240" w:lineRule="exact"/>
              <w:rPr>
                <w:b w:val="0"/>
                <w:bCs w:val="0"/>
              </w:rPr>
            </w:pPr>
            <w:r w:rsidRPr="000D5A2E">
              <w:rPr>
                <w:b w:val="0"/>
                <w:bCs w:val="0"/>
              </w:rPr>
              <w:t>Finland</w:t>
            </w:r>
          </w:p>
        </w:tc>
        <w:tc>
          <w:tcPr>
            <w:tcW w:w="2159" w:type="dxa"/>
          </w:tcPr>
          <w:p w14:paraId="75965FDF" w14:textId="70F5F8D0" w:rsidR="004C7C2A" w:rsidRPr="000D5A2E" w:rsidRDefault="004C7C2A" w:rsidP="005F6CF2">
            <w:pPr>
              <w:pStyle w:val="NoSpacing"/>
              <w:spacing w:after="80" w:line="240" w:lineRule="exact"/>
              <w:rPr>
                <w:b w:val="0"/>
                <w:bCs w:val="0"/>
              </w:rPr>
            </w:pPr>
            <w:r w:rsidRPr="000D5A2E">
              <w:rPr>
                <w:b w:val="0"/>
                <w:bCs w:val="0"/>
              </w:rPr>
              <w:t>Move from ordinary homes to age-related housing</w:t>
            </w:r>
          </w:p>
        </w:tc>
        <w:tc>
          <w:tcPr>
            <w:tcW w:w="810" w:type="dxa"/>
          </w:tcPr>
          <w:p w14:paraId="24E8DAE2" w14:textId="563D7113" w:rsidR="004C7C2A" w:rsidRPr="000D5A2E" w:rsidRDefault="004C7C2A" w:rsidP="005F6CF2">
            <w:pPr>
              <w:pStyle w:val="NoSpacing"/>
              <w:spacing w:after="80" w:line="240" w:lineRule="exact"/>
              <w:rPr>
                <w:b w:val="0"/>
                <w:bCs w:val="0"/>
              </w:rPr>
            </w:pPr>
            <w:r w:rsidRPr="000D5A2E">
              <w:rPr>
                <w:b w:val="0"/>
                <w:bCs w:val="0"/>
              </w:rPr>
              <w:t>11</w:t>
            </w:r>
          </w:p>
        </w:tc>
        <w:tc>
          <w:tcPr>
            <w:tcW w:w="1531" w:type="dxa"/>
          </w:tcPr>
          <w:p w14:paraId="1421E719" w14:textId="27D977D7" w:rsidR="004C7C2A" w:rsidRPr="000D5A2E" w:rsidRDefault="004C7C2A" w:rsidP="005F6CF2">
            <w:pPr>
              <w:pStyle w:val="NoSpacing"/>
              <w:spacing w:after="80" w:line="240" w:lineRule="exact"/>
              <w:rPr>
                <w:b w:val="0"/>
                <w:bCs w:val="0"/>
              </w:rPr>
            </w:pPr>
            <w:r w:rsidRPr="000D5A2E">
              <w:rPr>
                <w:b w:val="0"/>
                <w:bCs w:val="0"/>
              </w:rPr>
              <w:t>Approx. 78–88</w:t>
            </w:r>
          </w:p>
        </w:tc>
        <w:tc>
          <w:tcPr>
            <w:tcW w:w="2025" w:type="dxa"/>
          </w:tcPr>
          <w:p w14:paraId="73AB5922" w14:textId="49BB5C94" w:rsidR="004C7C2A" w:rsidRPr="000D5A2E" w:rsidRDefault="004C7C2A" w:rsidP="005F6CF2">
            <w:pPr>
              <w:pStyle w:val="NoSpacing"/>
              <w:spacing w:after="80" w:line="240" w:lineRule="exact"/>
              <w:rPr>
                <w:b w:val="0"/>
                <w:bCs w:val="0"/>
              </w:rPr>
            </w:pPr>
            <w:r w:rsidRPr="000D5A2E">
              <w:rPr>
                <w:b w:val="0"/>
                <w:bCs w:val="0"/>
              </w:rPr>
              <w:t>Health; security; legitimacy of moving</w:t>
            </w:r>
          </w:p>
        </w:tc>
        <w:tc>
          <w:tcPr>
            <w:tcW w:w="6478" w:type="dxa"/>
          </w:tcPr>
          <w:p w14:paraId="0F877041" w14:textId="059E2B18" w:rsidR="004C7C2A" w:rsidRPr="000D5A2E" w:rsidRDefault="004C7C2A" w:rsidP="005F6CF2">
            <w:pPr>
              <w:pStyle w:val="NoSpacing"/>
              <w:spacing w:after="80" w:line="240" w:lineRule="exact"/>
              <w:rPr>
                <w:b w:val="0"/>
                <w:bCs w:val="0"/>
              </w:rPr>
            </w:pPr>
            <w:r w:rsidRPr="000D5A2E">
              <w:rPr>
                <w:b w:val="0"/>
                <w:bCs w:val="0"/>
              </w:rPr>
              <w:t>Participants framed relocation as a justified response to health, safety, or practical needs. They also constructed positive narratives that presented moving as a way to preserve autonomy and wellbeing.</w:t>
            </w:r>
          </w:p>
        </w:tc>
      </w:tr>
      <w:tr w:rsidR="004C7C2A" w:rsidRPr="004C6AF3" w14:paraId="29B79DDB" w14:textId="77777777" w:rsidTr="005F6CF2">
        <w:tc>
          <w:tcPr>
            <w:tcW w:w="1341" w:type="dxa"/>
          </w:tcPr>
          <w:p w14:paraId="07E72B4E" w14:textId="21B7B200" w:rsidR="004C7C2A" w:rsidRPr="000D5A2E" w:rsidRDefault="004C7C2A" w:rsidP="005F6CF2">
            <w:pPr>
              <w:pStyle w:val="NoSpacing"/>
              <w:spacing w:after="80" w:line="240" w:lineRule="exact"/>
              <w:rPr>
                <w:b w:val="0"/>
                <w:bCs w:val="0"/>
              </w:rPr>
            </w:pPr>
            <w:r w:rsidRPr="000D5A2E">
              <w:rPr>
                <w:rStyle w:val="Strong"/>
              </w:rPr>
              <w:t>Wanka (2024)</w:t>
            </w:r>
          </w:p>
        </w:tc>
        <w:tc>
          <w:tcPr>
            <w:tcW w:w="1224" w:type="dxa"/>
          </w:tcPr>
          <w:p w14:paraId="4A750090" w14:textId="3723C0CB" w:rsidR="004C7C2A" w:rsidRPr="000D5A2E" w:rsidRDefault="004C7C2A" w:rsidP="005F6CF2">
            <w:pPr>
              <w:pStyle w:val="NoSpacing"/>
              <w:spacing w:after="80" w:line="240" w:lineRule="exact"/>
              <w:rPr>
                <w:b w:val="0"/>
                <w:bCs w:val="0"/>
              </w:rPr>
            </w:pPr>
            <w:r w:rsidRPr="000D5A2E">
              <w:rPr>
                <w:b w:val="0"/>
                <w:bCs w:val="0"/>
              </w:rPr>
              <w:t>Germany and Sweden</w:t>
            </w:r>
          </w:p>
        </w:tc>
        <w:tc>
          <w:tcPr>
            <w:tcW w:w="2159" w:type="dxa"/>
          </w:tcPr>
          <w:p w14:paraId="05A37B1E" w14:textId="56D9B26E" w:rsidR="004C7C2A" w:rsidRPr="000D5A2E" w:rsidRDefault="004C7C2A" w:rsidP="005F6CF2">
            <w:pPr>
              <w:pStyle w:val="NoSpacing"/>
              <w:spacing w:after="80" w:line="240" w:lineRule="exact"/>
              <w:rPr>
                <w:b w:val="0"/>
                <w:bCs w:val="0"/>
              </w:rPr>
            </w:pPr>
            <w:r w:rsidRPr="000D5A2E">
              <w:rPr>
                <w:b w:val="0"/>
                <w:bCs w:val="0"/>
              </w:rPr>
              <w:t>Relocation for cohabitation in retirement</w:t>
            </w:r>
          </w:p>
        </w:tc>
        <w:tc>
          <w:tcPr>
            <w:tcW w:w="810" w:type="dxa"/>
          </w:tcPr>
          <w:p w14:paraId="6BB6E977" w14:textId="0735683C" w:rsidR="004C7C2A" w:rsidRPr="000D5A2E" w:rsidRDefault="004C7C2A" w:rsidP="005F6CF2">
            <w:pPr>
              <w:pStyle w:val="NoSpacing"/>
              <w:spacing w:after="80" w:line="240" w:lineRule="exact"/>
              <w:rPr>
                <w:b w:val="0"/>
                <w:bCs w:val="0"/>
              </w:rPr>
            </w:pPr>
            <w:r w:rsidRPr="000D5A2E">
              <w:rPr>
                <w:b w:val="0"/>
                <w:bCs w:val="0"/>
              </w:rPr>
              <w:t>9</w:t>
            </w:r>
          </w:p>
        </w:tc>
        <w:tc>
          <w:tcPr>
            <w:tcW w:w="1531" w:type="dxa"/>
          </w:tcPr>
          <w:p w14:paraId="63276394" w14:textId="586B4A4F" w:rsidR="004C7C2A" w:rsidRPr="000D5A2E" w:rsidRDefault="004C7C2A" w:rsidP="005F6CF2">
            <w:pPr>
              <w:pStyle w:val="NoSpacing"/>
              <w:spacing w:after="80" w:line="240" w:lineRule="exact"/>
              <w:rPr>
                <w:b w:val="0"/>
                <w:bCs w:val="0"/>
              </w:rPr>
            </w:pPr>
            <w:r w:rsidRPr="000D5A2E">
              <w:rPr>
                <w:b w:val="0"/>
                <w:bCs w:val="0"/>
              </w:rPr>
              <w:t>60–75</w:t>
            </w:r>
          </w:p>
        </w:tc>
        <w:tc>
          <w:tcPr>
            <w:tcW w:w="2025" w:type="dxa"/>
          </w:tcPr>
          <w:p w14:paraId="79240D96" w14:textId="75ED403B" w:rsidR="004C7C2A" w:rsidRPr="000D5A2E" w:rsidRDefault="004C7C2A" w:rsidP="005F6CF2">
            <w:pPr>
              <w:pStyle w:val="NoSpacing"/>
              <w:spacing w:after="80" w:line="240" w:lineRule="exact"/>
              <w:rPr>
                <w:b w:val="0"/>
                <w:bCs w:val="0"/>
              </w:rPr>
            </w:pPr>
            <w:r w:rsidRPr="000D5A2E">
              <w:rPr>
                <w:b w:val="0"/>
                <w:bCs w:val="0"/>
              </w:rPr>
              <w:t>Relationship transition; placemaking; attachment</w:t>
            </w:r>
          </w:p>
        </w:tc>
        <w:tc>
          <w:tcPr>
            <w:tcW w:w="6478" w:type="dxa"/>
          </w:tcPr>
          <w:p w14:paraId="772A381D" w14:textId="2FBF1760" w:rsidR="004C7C2A" w:rsidRPr="000D5A2E" w:rsidRDefault="004C7C2A" w:rsidP="005F6CF2">
            <w:pPr>
              <w:pStyle w:val="NoSpacing"/>
              <w:spacing w:after="80" w:line="240" w:lineRule="exact"/>
              <w:rPr>
                <w:b w:val="0"/>
                <w:bCs w:val="0"/>
              </w:rPr>
            </w:pPr>
            <w:r w:rsidRPr="000D5A2E">
              <w:rPr>
                <w:b w:val="0"/>
                <w:bCs w:val="0"/>
              </w:rPr>
              <w:t>Moving in together later in life was described as a joint process of negotiating space, routines, and belonging. Moves to a new shared home were often easier to integrate than moving into a partner’s existing home.</w:t>
            </w:r>
          </w:p>
        </w:tc>
      </w:tr>
      <w:tr w:rsidR="004C7C2A" w:rsidRPr="004C6AF3" w14:paraId="4C02DB28" w14:textId="77777777" w:rsidTr="005F6CF2">
        <w:tc>
          <w:tcPr>
            <w:tcW w:w="1341" w:type="dxa"/>
          </w:tcPr>
          <w:p w14:paraId="042FB500" w14:textId="3918B7BB" w:rsidR="004C7C2A" w:rsidRPr="000D5A2E" w:rsidRDefault="004C7C2A" w:rsidP="005F6CF2">
            <w:pPr>
              <w:pStyle w:val="NoSpacing"/>
              <w:spacing w:after="80" w:line="240" w:lineRule="exact"/>
              <w:rPr>
                <w:b w:val="0"/>
                <w:bCs w:val="0"/>
              </w:rPr>
            </w:pPr>
            <w:proofErr w:type="spellStart"/>
            <w:r w:rsidRPr="000D5A2E">
              <w:rPr>
                <w:rStyle w:val="Strong"/>
              </w:rPr>
              <w:t>Tyvimaa</w:t>
            </w:r>
            <w:proofErr w:type="spellEnd"/>
            <w:r w:rsidRPr="000D5A2E">
              <w:rPr>
                <w:rStyle w:val="Strong"/>
              </w:rPr>
              <w:t xml:space="preserve"> (2011)</w:t>
            </w:r>
          </w:p>
        </w:tc>
        <w:tc>
          <w:tcPr>
            <w:tcW w:w="1224" w:type="dxa"/>
          </w:tcPr>
          <w:p w14:paraId="353F7DB1" w14:textId="25839C68" w:rsidR="004C7C2A" w:rsidRPr="000D5A2E" w:rsidRDefault="004C7C2A" w:rsidP="005F6CF2">
            <w:pPr>
              <w:pStyle w:val="NoSpacing"/>
              <w:spacing w:after="80" w:line="240" w:lineRule="exact"/>
              <w:rPr>
                <w:b w:val="0"/>
                <w:bCs w:val="0"/>
              </w:rPr>
            </w:pPr>
            <w:r w:rsidRPr="000D5A2E">
              <w:rPr>
                <w:b w:val="0"/>
                <w:bCs w:val="0"/>
              </w:rPr>
              <w:t>Finland</w:t>
            </w:r>
          </w:p>
        </w:tc>
        <w:tc>
          <w:tcPr>
            <w:tcW w:w="2159" w:type="dxa"/>
          </w:tcPr>
          <w:p w14:paraId="5FC5CE15" w14:textId="2D49AD65" w:rsidR="004C7C2A" w:rsidRPr="000D5A2E" w:rsidRDefault="004C7C2A" w:rsidP="005F6CF2">
            <w:pPr>
              <w:pStyle w:val="NoSpacing"/>
              <w:spacing w:after="80" w:line="240" w:lineRule="exact"/>
              <w:rPr>
                <w:b w:val="0"/>
                <w:bCs w:val="0"/>
              </w:rPr>
            </w:pPr>
            <w:r w:rsidRPr="000D5A2E">
              <w:rPr>
                <w:b w:val="0"/>
                <w:bCs w:val="0"/>
              </w:rPr>
              <w:t>Move to independent-living senior housing</w:t>
            </w:r>
          </w:p>
        </w:tc>
        <w:tc>
          <w:tcPr>
            <w:tcW w:w="810" w:type="dxa"/>
          </w:tcPr>
          <w:p w14:paraId="427FF337" w14:textId="20AA8693" w:rsidR="004C7C2A" w:rsidRPr="000D5A2E" w:rsidRDefault="004C7C2A" w:rsidP="005F6CF2">
            <w:pPr>
              <w:pStyle w:val="NoSpacing"/>
              <w:spacing w:after="80" w:line="240" w:lineRule="exact"/>
              <w:rPr>
                <w:b w:val="0"/>
                <w:bCs w:val="0"/>
              </w:rPr>
            </w:pPr>
            <w:r w:rsidRPr="000D5A2E">
              <w:rPr>
                <w:b w:val="0"/>
                <w:bCs w:val="0"/>
              </w:rPr>
              <w:t>37</w:t>
            </w:r>
          </w:p>
        </w:tc>
        <w:tc>
          <w:tcPr>
            <w:tcW w:w="1531" w:type="dxa"/>
          </w:tcPr>
          <w:p w14:paraId="41A25AEC" w14:textId="5F08E4C6" w:rsidR="004C7C2A" w:rsidRPr="000D5A2E" w:rsidRDefault="004C7C2A" w:rsidP="005F6CF2">
            <w:pPr>
              <w:pStyle w:val="NoSpacing"/>
              <w:spacing w:after="80" w:line="240" w:lineRule="exact"/>
              <w:rPr>
                <w:b w:val="0"/>
                <w:bCs w:val="0"/>
              </w:rPr>
            </w:pPr>
            <w:r>
              <w:rPr>
                <w:b w:val="0"/>
                <w:bCs w:val="0"/>
              </w:rPr>
              <w:t>55+</w:t>
            </w:r>
          </w:p>
        </w:tc>
        <w:tc>
          <w:tcPr>
            <w:tcW w:w="2025" w:type="dxa"/>
          </w:tcPr>
          <w:p w14:paraId="0C86F6B0" w14:textId="6C17747E" w:rsidR="004C7C2A" w:rsidRPr="000D5A2E" w:rsidRDefault="004C7C2A" w:rsidP="005F6CF2">
            <w:pPr>
              <w:pStyle w:val="NoSpacing"/>
              <w:spacing w:after="80" w:line="240" w:lineRule="exact"/>
              <w:rPr>
                <w:b w:val="0"/>
                <w:bCs w:val="0"/>
              </w:rPr>
            </w:pPr>
            <w:r w:rsidRPr="000D5A2E">
              <w:rPr>
                <w:b w:val="0"/>
                <w:bCs w:val="0"/>
              </w:rPr>
              <w:t>Push-pull factors; maintenance; accessibility; safety</w:t>
            </w:r>
          </w:p>
        </w:tc>
        <w:tc>
          <w:tcPr>
            <w:tcW w:w="6478" w:type="dxa"/>
          </w:tcPr>
          <w:p w14:paraId="30B28772" w14:textId="671C548A" w:rsidR="004C7C2A" w:rsidRPr="000D5A2E" w:rsidRDefault="004C7C2A" w:rsidP="005F6CF2">
            <w:pPr>
              <w:pStyle w:val="NoSpacing"/>
              <w:spacing w:after="80" w:line="240" w:lineRule="exact"/>
              <w:rPr>
                <w:b w:val="0"/>
                <w:bCs w:val="0"/>
              </w:rPr>
            </w:pPr>
            <w:r w:rsidRPr="000D5A2E">
              <w:rPr>
                <w:b w:val="0"/>
                <w:bCs w:val="0"/>
              </w:rPr>
              <w:t>Participants emphasised independence and safety as key motivations. Maintenance burden, inaccessible housing, and loneliness pushed people to move, while services, design, and opportunities for social life pulled them into senior housing.</w:t>
            </w:r>
          </w:p>
        </w:tc>
      </w:tr>
    </w:tbl>
    <w:p w14:paraId="3E847C87" w14:textId="77777777" w:rsidR="009F727E" w:rsidRPr="00424658" w:rsidRDefault="009F727E">
      <w:pPr>
        <w:rPr>
          <w:lang w:val="en-US"/>
        </w:rPr>
      </w:pPr>
    </w:p>
    <w:sectPr w:rsidR="009F727E" w:rsidRPr="00424658" w:rsidSect="00653F82">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FA6CA" w14:textId="77777777" w:rsidR="00A76872" w:rsidRDefault="00A76872" w:rsidP="00FD27A5">
      <w:pPr>
        <w:spacing w:after="0" w:line="240" w:lineRule="auto"/>
      </w:pPr>
      <w:r>
        <w:separator/>
      </w:r>
    </w:p>
  </w:endnote>
  <w:endnote w:type="continuationSeparator" w:id="0">
    <w:p w14:paraId="032623F1" w14:textId="77777777" w:rsidR="00A76872" w:rsidRDefault="00A76872" w:rsidP="00FD2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074733"/>
      <w:docPartObj>
        <w:docPartGallery w:val="Page Numbers (Bottom of Page)"/>
        <w:docPartUnique/>
      </w:docPartObj>
    </w:sdtPr>
    <w:sdtEndPr>
      <w:rPr>
        <w:noProof/>
      </w:rPr>
    </w:sdtEndPr>
    <w:sdtContent>
      <w:p w14:paraId="0CE2CF3F" w14:textId="3F14890F" w:rsidR="00C1501E" w:rsidRDefault="00C150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1B84AA" w14:textId="77777777" w:rsidR="00C1501E" w:rsidRDefault="00C15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78127" w14:textId="77777777" w:rsidR="00A76872" w:rsidRDefault="00A76872" w:rsidP="00FD27A5">
      <w:pPr>
        <w:spacing w:after="0" w:line="240" w:lineRule="auto"/>
      </w:pPr>
      <w:r>
        <w:separator/>
      </w:r>
    </w:p>
  </w:footnote>
  <w:footnote w:type="continuationSeparator" w:id="0">
    <w:p w14:paraId="34DEAFEC" w14:textId="77777777" w:rsidR="00A76872" w:rsidRDefault="00A76872" w:rsidP="00FD27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658"/>
    <w:rsid w:val="00010426"/>
    <w:rsid w:val="000832CB"/>
    <w:rsid w:val="000D5A2E"/>
    <w:rsid w:val="000E6EA4"/>
    <w:rsid w:val="000E7F8C"/>
    <w:rsid w:val="00113D4A"/>
    <w:rsid w:val="001201A2"/>
    <w:rsid w:val="00123882"/>
    <w:rsid w:val="00186094"/>
    <w:rsid w:val="001A551D"/>
    <w:rsid w:val="001C0832"/>
    <w:rsid w:val="001F6A3F"/>
    <w:rsid w:val="00213154"/>
    <w:rsid w:val="002502F9"/>
    <w:rsid w:val="002739E5"/>
    <w:rsid w:val="002F06DE"/>
    <w:rsid w:val="00331CA3"/>
    <w:rsid w:val="00336C5A"/>
    <w:rsid w:val="0037390F"/>
    <w:rsid w:val="0038090A"/>
    <w:rsid w:val="003E4D4C"/>
    <w:rsid w:val="00403A52"/>
    <w:rsid w:val="00424658"/>
    <w:rsid w:val="004440A8"/>
    <w:rsid w:val="004619A2"/>
    <w:rsid w:val="004C54D8"/>
    <w:rsid w:val="004C7C2A"/>
    <w:rsid w:val="00500322"/>
    <w:rsid w:val="005B1153"/>
    <w:rsid w:val="005F6CF2"/>
    <w:rsid w:val="00607C33"/>
    <w:rsid w:val="0062438C"/>
    <w:rsid w:val="00625CB8"/>
    <w:rsid w:val="00653F82"/>
    <w:rsid w:val="0066078D"/>
    <w:rsid w:val="006720EA"/>
    <w:rsid w:val="006D0AEB"/>
    <w:rsid w:val="006E1C80"/>
    <w:rsid w:val="00721CCC"/>
    <w:rsid w:val="007564D8"/>
    <w:rsid w:val="007654C3"/>
    <w:rsid w:val="007F0CB2"/>
    <w:rsid w:val="0081364A"/>
    <w:rsid w:val="008657C4"/>
    <w:rsid w:val="00866DB4"/>
    <w:rsid w:val="008D0BAA"/>
    <w:rsid w:val="00955E5B"/>
    <w:rsid w:val="00987376"/>
    <w:rsid w:val="009F727E"/>
    <w:rsid w:val="00A72682"/>
    <w:rsid w:val="00A76872"/>
    <w:rsid w:val="00A96F43"/>
    <w:rsid w:val="00AB6C1B"/>
    <w:rsid w:val="00AC6ADA"/>
    <w:rsid w:val="00AD0193"/>
    <w:rsid w:val="00AF52BB"/>
    <w:rsid w:val="00B15372"/>
    <w:rsid w:val="00B50D38"/>
    <w:rsid w:val="00BD2848"/>
    <w:rsid w:val="00BF1572"/>
    <w:rsid w:val="00C1501E"/>
    <w:rsid w:val="00C7406E"/>
    <w:rsid w:val="00CC54B0"/>
    <w:rsid w:val="00CC5A21"/>
    <w:rsid w:val="00CC782C"/>
    <w:rsid w:val="00CF6099"/>
    <w:rsid w:val="00D82D53"/>
    <w:rsid w:val="00D86B54"/>
    <w:rsid w:val="00DA27FE"/>
    <w:rsid w:val="00DB7CFC"/>
    <w:rsid w:val="00DE367B"/>
    <w:rsid w:val="00E023A1"/>
    <w:rsid w:val="00E3635D"/>
    <w:rsid w:val="00E51D7C"/>
    <w:rsid w:val="00E52D67"/>
    <w:rsid w:val="00EA06E3"/>
    <w:rsid w:val="00EE245F"/>
    <w:rsid w:val="00EE4528"/>
    <w:rsid w:val="00F4154C"/>
    <w:rsid w:val="00FD27A5"/>
    <w:rsid w:val="00FD6A2A"/>
    <w:rsid w:val="0183414A"/>
    <w:rsid w:val="02BD6647"/>
    <w:rsid w:val="04044FCC"/>
    <w:rsid w:val="042598E2"/>
    <w:rsid w:val="05C25E22"/>
    <w:rsid w:val="06447522"/>
    <w:rsid w:val="088F106C"/>
    <w:rsid w:val="0A456D83"/>
    <w:rsid w:val="0A6DCFE2"/>
    <w:rsid w:val="10C0A868"/>
    <w:rsid w:val="1295C600"/>
    <w:rsid w:val="16E4341E"/>
    <w:rsid w:val="19CACD5B"/>
    <w:rsid w:val="1AB86DB0"/>
    <w:rsid w:val="1DB43084"/>
    <w:rsid w:val="1FEB930B"/>
    <w:rsid w:val="21F27E3B"/>
    <w:rsid w:val="263EF0E6"/>
    <w:rsid w:val="34DDC445"/>
    <w:rsid w:val="37D4BDDB"/>
    <w:rsid w:val="3945EA70"/>
    <w:rsid w:val="3DCC0C3C"/>
    <w:rsid w:val="41038B77"/>
    <w:rsid w:val="41D04A88"/>
    <w:rsid w:val="44220EEC"/>
    <w:rsid w:val="45A4A04A"/>
    <w:rsid w:val="45F56E06"/>
    <w:rsid w:val="49D4E1F2"/>
    <w:rsid w:val="49F5E338"/>
    <w:rsid w:val="4DF76274"/>
    <w:rsid w:val="4E12D6A3"/>
    <w:rsid w:val="4F2131AB"/>
    <w:rsid w:val="5185464D"/>
    <w:rsid w:val="5329CDE6"/>
    <w:rsid w:val="5400F4A9"/>
    <w:rsid w:val="56537DB4"/>
    <w:rsid w:val="5B1EC44A"/>
    <w:rsid w:val="5C9EE06B"/>
    <w:rsid w:val="5F26DF0E"/>
    <w:rsid w:val="5FB2826A"/>
    <w:rsid w:val="600299A0"/>
    <w:rsid w:val="60F356F3"/>
    <w:rsid w:val="6167959A"/>
    <w:rsid w:val="61888E0E"/>
    <w:rsid w:val="62C53067"/>
    <w:rsid w:val="63EE92AB"/>
    <w:rsid w:val="64CB76A9"/>
    <w:rsid w:val="6565660D"/>
    <w:rsid w:val="66960DA9"/>
    <w:rsid w:val="68845165"/>
    <w:rsid w:val="6AA3E007"/>
    <w:rsid w:val="73B4E4DF"/>
    <w:rsid w:val="764F99B5"/>
    <w:rsid w:val="77BCBC86"/>
    <w:rsid w:val="78F7334C"/>
    <w:rsid w:val="7B5D83BD"/>
    <w:rsid w:val="7D8217FE"/>
    <w:rsid w:val="7E065108"/>
    <w:rsid w:val="7ECFDCA6"/>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BE425"/>
  <w15:chartTrackingRefBased/>
  <w15:docId w15:val="{CC781A01-020B-4BE3-B599-258FE5CAB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zh-TW"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658"/>
    <w:pPr>
      <w:spacing w:line="279" w:lineRule="auto"/>
    </w:pPr>
    <w:rPr>
      <w:kern w:val="0"/>
      <w:szCs w:val="24"/>
      <w:lang w:val="en-GB" w:eastAsia="ja-JP" w:bidi="ar-SA"/>
      <w14:ligatures w14:val="none"/>
    </w:rPr>
  </w:style>
  <w:style w:type="paragraph" w:styleId="Heading1">
    <w:name w:val="heading 1"/>
    <w:basedOn w:val="Normal"/>
    <w:next w:val="Normal"/>
    <w:link w:val="Heading1Char"/>
    <w:uiPriority w:val="9"/>
    <w:qFormat/>
    <w:rsid w:val="00424658"/>
    <w:pPr>
      <w:keepNext/>
      <w:keepLines/>
      <w:widowControl w:val="0"/>
      <w:spacing w:before="480" w:after="80" w:line="278" w:lineRule="auto"/>
      <w:outlineLvl w:val="0"/>
    </w:pPr>
    <w:rPr>
      <w:rFonts w:asciiTheme="majorHAnsi" w:eastAsiaTheme="majorEastAsia" w:hAnsiTheme="majorHAnsi" w:cstheme="majorBidi"/>
      <w:color w:val="0F4761" w:themeColor="accent1" w:themeShade="BF"/>
      <w:kern w:val="2"/>
      <w:sz w:val="48"/>
      <w:szCs w:val="61"/>
      <w:lang w:eastAsia="zh-TW" w:bidi="th-TH"/>
      <w14:ligatures w14:val="standardContextual"/>
    </w:rPr>
  </w:style>
  <w:style w:type="paragraph" w:styleId="Heading2">
    <w:name w:val="heading 2"/>
    <w:basedOn w:val="Normal"/>
    <w:next w:val="Normal"/>
    <w:link w:val="Heading2Char"/>
    <w:uiPriority w:val="9"/>
    <w:semiHidden/>
    <w:unhideWhenUsed/>
    <w:qFormat/>
    <w:rsid w:val="00424658"/>
    <w:pPr>
      <w:keepNext/>
      <w:keepLines/>
      <w:widowControl w:val="0"/>
      <w:spacing w:before="160" w:after="80" w:line="278" w:lineRule="auto"/>
      <w:outlineLvl w:val="1"/>
    </w:pPr>
    <w:rPr>
      <w:rFonts w:asciiTheme="majorHAnsi" w:eastAsiaTheme="majorEastAsia" w:hAnsiTheme="majorHAnsi" w:cstheme="majorBidi"/>
      <w:color w:val="0F4761" w:themeColor="accent1" w:themeShade="BF"/>
      <w:kern w:val="2"/>
      <w:sz w:val="40"/>
      <w:szCs w:val="50"/>
      <w:lang w:eastAsia="zh-TW" w:bidi="th-TH"/>
      <w14:ligatures w14:val="standardContextual"/>
    </w:rPr>
  </w:style>
  <w:style w:type="paragraph" w:styleId="Heading3">
    <w:name w:val="heading 3"/>
    <w:basedOn w:val="Normal"/>
    <w:next w:val="Normal"/>
    <w:link w:val="Heading3Char"/>
    <w:uiPriority w:val="9"/>
    <w:semiHidden/>
    <w:unhideWhenUsed/>
    <w:qFormat/>
    <w:rsid w:val="00424658"/>
    <w:pPr>
      <w:keepNext/>
      <w:keepLines/>
      <w:widowControl w:val="0"/>
      <w:spacing w:before="160" w:after="40" w:line="278" w:lineRule="auto"/>
      <w:outlineLvl w:val="2"/>
    </w:pPr>
    <w:rPr>
      <w:rFonts w:eastAsiaTheme="majorEastAsia" w:cstheme="majorBidi"/>
      <w:color w:val="0F4761" w:themeColor="accent1" w:themeShade="BF"/>
      <w:kern w:val="2"/>
      <w:sz w:val="32"/>
      <w:szCs w:val="40"/>
      <w:lang w:eastAsia="zh-TW" w:bidi="th-TH"/>
      <w14:ligatures w14:val="standardContextual"/>
    </w:rPr>
  </w:style>
  <w:style w:type="paragraph" w:styleId="Heading4">
    <w:name w:val="heading 4"/>
    <w:basedOn w:val="Normal"/>
    <w:next w:val="Normal"/>
    <w:link w:val="Heading4Char"/>
    <w:uiPriority w:val="9"/>
    <w:semiHidden/>
    <w:unhideWhenUsed/>
    <w:qFormat/>
    <w:rsid w:val="00424658"/>
    <w:pPr>
      <w:keepNext/>
      <w:keepLines/>
      <w:widowControl w:val="0"/>
      <w:spacing w:before="160" w:after="40" w:line="278" w:lineRule="auto"/>
      <w:outlineLvl w:val="3"/>
    </w:pPr>
    <w:rPr>
      <w:rFonts w:eastAsiaTheme="majorEastAsia" w:cstheme="majorBidi"/>
      <w:color w:val="0F4761" w:themeColor="accent1" w:themeShade="BF"/>
      <w:kern w:val="2"/>
      <w:sz w:val="28"/>
      <w:szCs w:val="35"/>
      <w:lang w:eastAsia="zh-TW" w:bidi="th-TH"/>
      <w14:ligatures w14:val="standardContextual"/>
    </w:rPr>
  </w:style>
  <w:style w:type="paragraph" w:styleId="Heading5">
    <w:name w:val="heading 5"/>
    <w:basedOn w:val="Normal"/>
    <w:next w:val="Normal"/>
    <w:link w:val="Heading5Char"/>
    <w:uiPriority w:val="9"/>
    <w:semiHidden/>
    <w:unhideWhenUsed/>
    <w:qFormat/>
    <w:rsid w:val="00424658"/>
    <w:pPr>
      <w:keepNext/>
      <w:keepLines/>
      <w:widowControl w:val="0"/>
      <w:spacing w:before="80" w:after="40" w:line="278" w:lineRule="auto"/>
      <w:outlineLvl w:val="4"/>
    </w:pPr>
    <w:rPr>
      <w:rFonts w:eastAsiaTheme="majorEastAsia" w:cstheme="majorBidi"/>
      <w:color w:val="0F4761" w:themeColor="accent1" w:themeShade="BF"/>
      <w:kern w:val="2"/>
      <w:szCs w:val="30"/>
      <w:lang w:eastAsia="zh-TW" w:bidi="th-TH"/>
      <w14:ligatures w14:val="standardContextual"/>
    </w:rPr>
  </w:style>
  <w:style w:type="paragraph" w:styleId="Heading6">
    <w:name w:val="heading 6"/>
    <w:basedOn w:val="Normal"/>
    <w:next w:val="Normal"/>
    <w:link w:val="Heading6Char"/>
    <w:uiPriority w:val="9"/>
    <w:semiHidden/>
    <w:unhideWhenUsed/>
    <w:qFormat/>
    <w:rsid w:val="00424658"/>
    <w:pPr>
      <w:keepNext/>
      <w:keepLines/>
      <w:widowControl w:val="0"/>
      <w:spacing w:before="40" w:after="0" w:line="278" w:lineRule="auto"/>
      <w:outlineLvl w:val="5"/>
    </w:pPr>
    <w:rPr>
      <w:rFonts w:eastAsiaTheme="majorEastAsia" w:cstheme="majorBidi"/>
      <w:color w:val="595959" w:themeColor="text1" w:themeTint="A6"/>
      <w:kern w:val="2"/>
      <w:szCs w:val="30"/>
      <w:lang w:eastAsia="zh-TW" w:bidi="th-TH"/>
      <w14:ligatures w14:val="standardContextual"/>
    </w:rPr>
  </w:style>
  <w:style w:type="paragraph" w:styleId="Heading7">
    <w:name w:val="heading 7"/>
    <w:basedOn w:val="Normal"/>
    <w:next w:val="Normal"/>
    <w:link w:val="Heading7Char"/>
    <w:uiPriority w:val="9"/>
    <w:semiHidden/>
    <w:unhideWhenUsed/>
    <w:qFormat/>
    <w:rsid w:val="00424658"/>
    <w:pPr>
      <w:keepNext/>
      <w:keepLines/>
      <w:widowControl w:val="0"/>
      <w:spacing w:before="40" w:after="0" w:line="278" w:lineRule="auto"/>
      <w:ind w:leftChars="100" w:left="100"/>
      <w:outlineLvl w:val="6"/>
    </w:pPr>
    <w:rPr>
      <w:rFonts w:eastAsiaTheme="majorEastAsia" w:cstheme="majorBidi"/>
      <w:color w:val="595959" w:themeColor="text1" w:themeTint="A6"/>
      <w:kern w:val="2"/>
      <w:szCs w:val="30"/>
      <w:lang w:eastAsia="zh-TW" w:bidi="th-TH"/>
      <w14:ligatures w14:val="standardContextual"/>
    </w:rPr>
  </w:style>
  <w:style w:type="paragraph" w:styleId="Heading8">
    <w:name w:val="heading 8"/>
    <w:basedOn w:val="Normal"/>
    <w:next w:val="Normal"/>
    <w:link w:val="Heading8Char"/>
    <w:uiPriority w:val="9"/>
    <w:semiHidden/>
    <w:unhideWhenUsed/>
    <w:qFormat/>
    <w:rsid w:val="00424658"/>
    <w:pPr>
      <w:keepNext/>
      <w:keepLines/>
      <w:widowControl w:val="0"/>
      <w:spacing w:before="40" w:after="0" w:line="278" w:lineRule="auto"/>
      <w:ind w:leftChars="200" w:left="200"/>
      <w:outlineLvl w:val="7"/>
    </w:pPr>
    <w:rPr>
      <w:rFonts w:eastAsiaTheme="majorEastAsia" w:cstheme="majorBidi"/>
      <w:color w:val="272727" w:themeColor="text1" w:themeTint="D8"/>
      <w:kern w:val="2"/>
      <w:szCs w:val="30"/>
      <w:lang w:eastAsia="zh-TW" w:bidi="th-TH"/>
      <w14:ligatures w14:val="standardContextual"/>
    </w:rPr>
  </w:style>
  <w:style w:type="paragraph" w:styleId="Heading9">
    <w:name w:val="heading 9"/>
    <w:basedOn w:val="Normal"/>
    <w:next w:val="Normal"/>
    <w:link w:val="Heading9Char"/>
    <w:uiPriority w:val="9"/>
    <w:semiHidden/>
    <w:unhideWhenUsed/>
    <w:qFormat/>
    <w:rsid w:val="00424658"/>
    <w:pPr>
      <w:keepNext/>
      <w:keepLines/>
      <w:widowControl w:val="0"/>
      <w:spacing w:before="40" w:after="0" w:line="278" w:lineRule="auto"/>
      <w:ind w:leftChars="300" w:left="300"/>
      <w:outlineLvl w:val="8"/>
    </w:pPr>
    <w:rPr>
      <w:rFonts w:eastAsiaTheme="majorEastAsia" w:cstheme="majorBidi"/>
      <w:color w:val="272727" w:themeColor="text1" w:themeTint="D8"/>
      <w:kern w:val="2"/>
      <w:szCs w:val="30"/>
      <w:lang w:eastAsia="zh-TW" w:bidi="th-T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658"/>
    <w:rPr>
      <w:rFonts w:asciiTheme="majorHAnsi" w:eastAsiaTheme="majorEastAsia" w:hAnsiTheme="majorHAnsi" w:cstheme="majorBidi"/>
      <w:color w:val="0F4761" w:themeColor="accent1" w:themeShade="BF"/>
      <w:sz w:val="48"/>
      <w:szCs w:val="61"/>
      <w:lang w:val="en-GB"/>
    </w:rPr>
  </w:style>
  <w:style w:type="character" w:customStyle="1" w:styleId="Heading2Char">
    <w:name w:val="Heading 2 Char"/>
    <w:basedOn w:val="DefaultParagraphFont"/>
    <w:link w:val="Heading2"/>
    <w:uiPriority w:val="9"/>
    <w:semiHidden/>
    <w:rsid w:val="00424658"/>
    <w:rPr>
      <w:rFonts w:asciiTheme="majorHAnsi" w:eastAsiaTheme="majorEastAsia" w:hAnsiTheme="majorHAnsi" w:cstheme="majorBidi"/>
      <w:color w:val="0F4761" w:themeColor="accent1" w:themeShade="BF"/>
      <w:sz w:val="40"/>
      <w:szCs w:val="50"/>
      <w:lang w:val="en-GB"/>
    </w:rPr>
  </w:style>
  <w:style w:type="character" w:customStyle="1" w:styleId="Heading3Char">
    <w:name w:val="Heading 3 Char"/>
    <w:basedOn w:val="DefaultParagraphFont"/>
    <w:link w:val="Heading3"/>
    <w:uiPriority w:val="9"/>
    <w:semiHidden/>
    <w:rsid w:val="00424658"/>
    <w:rPr>
      <w:rFonts w:eastAsiaTheme="majorEastAsia" w:cstheme="majorBidi"/>
      <w:color w:val="0F4761" w:themeColor="accent1" w:themeShade="BF"/>
      <w:sz w:val="32"/>
      <w:szCs w:val="40"/>
      <w:lang w:val="en-GB"/>
    </w:rPr>
  </w:style>
  <w:style w:type="character" w:customStyle="1" w:styleId="Heading4Char">
    <w:name w:val="Heading 4 Char"/>
    <w:basedOn w:val="DefaultParagraphFont"/>
    <w:link w:val="Heading4"/>
    <w:uiPriority w:val="9"/>
    <w:semiHidden/>
    <w:rsid w:val="00424658"/>
    <w:rPr>
      <w:rFonts w:eastAsiaTheme="majorEastAsia" w:cstheme="majorBidi"/>
      <w:color w:val="0F4761" w:themeColor="accent1" w:themeShade="BF"/>
      <w:sz w:val="28"/>
      <w:szCs w:val="35"/>
      <w:lang w:val="en-GB"/>
    </w:rPr>
  </w:style>
  <w:style w:type="character" w:customStyle="1" w:styleId="Heading5Char">
    <w:name w:val="Heading 5 Char"/>
    <w:basedOn w:val="DefaultParagraphFont"/>
    <w:link w:val="Heading5"/>
    <w:uiPriority w:val="9"/>
    <w:semiHidden/>
    <w:rsid w:val="00424658"/>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424658"/>
    <w:rPr>
      <w:rFonts w:eastAsiaTheme="majorEastAsia" w:cstheme="majorBidi"/>
      <w:color w:val="595959" w:themeColor="text1" w:themeTint="A6"/>
      <w:lang w:val="en-GB"/>
    </w:rPr>
  </w:style>
  <w:style w:type="character" w:customStyle="1" w:styleId="Heading7Char">
    <w:name w:val="Heading 7 Char"/>
    <w:basedOn w:val="DefaultParagraphFont"/>
    <w:link w:val="Heading7"/>
    <w:uiPriority w:val="9"/>
    <w:semiHidden/>
    <w:rsid w:val="00424658"/>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424658"/>
    <w:rPr>
      <w:rFonts w:eastAsiaTheme="majorEastAsia" w:cstheme="majorBidi"/>
      <w:color w:val="272727" w:themeColor="text1" w:themeTint="D8"/>
      <w:lang w:val="en-GB"/>
    </w:rPr>
  </w:style>
  <w:style w:type="character" w:customStyle="1" w:styleId="Heading9Char">
    <w:name w:val="Heading 9 Char"/>
    <w:basedOn w:val="DefaultParagraphFont"/>
    <w:link w:val="Heading9"/>
    <w:uiPriority w:val="9"/>
    <w:semiHidden/>
    <w:rsid w:val="00424658"/>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424658"/>
    <w:pPr>
      <w:widowControl w:val="0"/>
      <w:spacing w:after="80" w:line="240" w:lineRule="auto"/>
      <w:contextualSpacing/>
      <w:jc w:val="center"/>
    </w:pPr>
    <w:rPr>
      <w:rFonts w:asciiTheme="majorHAnsi" w:eastAsiaTheme="majorEastAsia" w:hAnsiTheme="majorHAnsi" w:cstheme="majorBidi"/>
      <w:spacing w:val="-10"/>
      <w:kern w:val="28"/>
      <w:sz w:val="56"/>
      <w:szCs w:val="71"/>
      <w:lang w:eastAsia="zh-TW" w:bidi="th-TH"/>
      <w14:ligatures w14:val="standardContextual"/>
    </w:rPr>
  </w:style>
  <w:style w:type="character" w:customStyle="1" w:styleId="TitleChar">
    <w:name w:val="Title Char"/>
    <w:basedOn w:val="DefaultParagraphFont"/>
    <w:link w:val="Title"/>
    <w:uiPriority w:val="10"/>
    <w:rsid w:val="00424658"/>
    <w:rPr>
      <w:rFonts w:asciiTheme="majorHAnsi" w:eastAsiaTheme="majorEastAsia" w:hAnsiTheme="majorHAnsi" w:cstheme="majorBidi"/>
      <w:spacing w:val="-10"/>
      <w:kern w:val="28"/>
      <w:sz w:val="56"/>
      <w:szCs w:val="71"/>
      <w:lang w:val="en-GB"/>
    </w:rPr>
  </w:style>
  <w:style w:type="paragraph" w:styleId="Subtitle">
    <w:name w:val="Subtitle"/>
    <w:basedOn w:val="Normal"/>
    <w:next w:val="Normal"/>
    <w:link w:val="SubtitleChar"/>
    <w:uiPriority w:val="11"/>
    <w:qFormat/>
    <w:rsid w:val="00424658"/>
    <w:pPr>
      <w:widowControl w:val="0"/>
      <w:numPr>
        <w:ilvl w:val="1"/>
      </w:numPr>
      <w:spacing w:line="278" w:lineRule="auto"/>
      <w:jc w:val="center"/>
    </w:pPr>
    <w:rPr>
      <w:rFonts w:asciiTheme="majorHAnsi" w:eastAsiaTheme="majorEastAsia" w:hAnsiTheme="majorHAnsi" w:cstheme="majorBidi"/>
      <w:color w:val="595959" w:themeColor="text1" w:themeTint="A6"/>
      <w:spacing w:val="15"/>
      <w:kern w:val="2"/>
      <w:sz w:val="28"/>
      <w:szCs w:val="35"/>
      <w:lang w:eastAsia="zh-TW" w:bidi="th-TH"/>
      <w14:ligatures w14:val="standardContextual"/>
    </w:rPr>
  </w:style>
  <w:style w:type="character" w:customStyle="1" w:styleId="SubtitleChar">
    <w:name w:val="Subtitle Char"/>
    <w:basedOn w:val="DefaultParagraphFont"/>
    <w:link w:val="Subtitle"/>
    <w:uiPriority w:val="11"/>
    <w:rsid w:val="00424658"/>
    <w:rPr>
      <w:rFonts w:asciiTheme="majorHAnsi" w:eastAsiaTheme="majorEastAsia" w:hAnsiTheme="majorHAnsi" w:cstheme="majorBidi"/>
      <w:color w:val="595959" w:themeColor="text1" w:themeTint="A6"/>
      <w:spacing w:val="15"/>
      <w:sz w:val="28"/>
      <w:szCs w:val="35"/>
      <w:lang w:val="en-GB"/>
    </w:rPr>
  </w:style>
  <w:style w:type="paragraph" w:styleId="Quote">
    <w:name w:val="Quote"/>
    <w:basedOn w:val="Normal"/>
    <w:next w:val="Normal"/>
    <w:link w:val="QuoteChar"/>
    <w:uiPriority w:val="29"/>
    <w:qFormat/>
    <w:rsid w:val="00424658"/>
    <w:pPr>
      <w:widowControl w:val="0"/>
      <w:spacing w:before="160" w:line="278" w:lineRule="auto"/>
      <w:jc w:val="center"/>
    </w:pPr>
    <w:rPr>
      <w:i/>
      <w:iCs/>
      <w:color w:val="404040" w:themeColor="text1" w:themeTint="BF"/>
      <w:kern w:val="2"/>
      <w:szCs w:val="30"/>
      <w:lang w:eastAsia="zh-TW" w:bidi="th-TH"/>
      <w14:ligatures w14:val="standardContextual"/>
    </w:rPr>
  </w:style>
  <w:style w:type="character" w:customStyle="1" w:styleId="QuoteChar">
    <w:name w:val="Quote Char"/>
    <w:basedOn w:val="DefaultParagraphFont"/>
    <w:link w:val="Quote"/>
    <w:uiPriority w:val="29"/>
    <w:rsid w:val="00424658"/>
    <w:rPr>
      <w:i/>
      <w:iCs/>
      <w:color w:val="404040" w:themeColor="text1" w:themeTint="BF"/>
      <w:lang w:val="en-GB"/>
    </w:rPr>
  </w:style>
  <w:style w:type="paragraph" w:styleId="ListParagraph">
    <w:name w:val="List Paragraph"/>
    <w:basedOn w:val="Normal"/>
    <w:uiPriority w:val="34"/>
    <w:qFormat/>
    <w:rsid w:val="00424658"/>
    <w:pPr>
      <w:widowControl w:val="0"/>
      <w:spacing w:line="278" w:lineRule="auto"/>
      <w:ind w:left="720"/>
      <w:contextualSpacing/>
    </w:pPr>
    <w:rPr>
      <w:kern w:val="2"/>
      <w:szCs w:val="30"/>
      <w:lang w:eastAsia="zh-TW" w:bidi="th-TH"/>
      <w14:ligatures w14:val="standardContextual"/>
    </w:rPr>
  </w:style>
  <w:style w:type="character" w:styleId="IntenseEmphasis">
    <w:name w:val="Intense Emphasis"/>
    <w:basedOn w:val="DefaultParagraphFont"/>
    <w:uiPriority w:val="21"/>
    <w:qFormat/>
    <w:rsid w:val="00424658"/>
    <w:rPr>
      <w:i/>
      <w:iCs/>
      <w:color w:val="0F4761" w:themeColor="accent1" w:themeShade="BF"/>
    </w:rPr>
  </w:style>
  <w:style w:type="paragraph" w:styleId="IntenseQuote">
    <w:name w:val="Intense Quote"/>
    <w:basedOn w:val="Normal"/>
    <w:next w:val="Normal"/>
    <w:link w:val="IntenseQuoteChar"/>
    <w:uiPriority w:val="30"/>
    <w:qFormat/>
    <w:rsid w:val="00424658"/>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Cs w:val="30"/>
      <w:lang w:eastAsia="zh-TW" w:bidi="th-TH"/>
      <w14:ligatures w14:val="standardContextual"/>
    </w:rPr>
  </w:style>
  <w:style w:type="character" w:customStyle="1" w:styleId="IntenseQuoteChar">
    <w:name w:val="Intense Quote Char"/>
    <w:basedOn w:val="DefaultParagraphFont"/>
    <w:link w:val="IntenseQuote"/>
    <w:uiPriority w:val="30"/>
    <w:rsid w:val="00424658"/>
    <w:rPr>
      <w:i/>
      <w:iCs/>
      <w:color w:val="0F4761" w:themeColor="accent1" w:themeShade="BF"/>
      <w:lang w:val="en-GB"/>
    </w:rPr>
  </w:style>
  <w:style w:type="character" w:styleId="IntenseReference">
    <w:name w:val="Intense Reference"/>
    <w:basedOn w:val="DefaultParagraphFont"/>
    <w:uiPriority w:val="32"/>
    <w:qFormat/>
    <w:rsid w:val="00424658"/>
    <w:rPr>
      <w:b/>
      <w:bCs/>
      <w:smallCaps/>
      <w:color w:val="0F4761" w:themeColor="accent1" w:themeShade="BF"/>
      <w:spacing w:val="5"/>
    </w:rPr>
  </w:style>
  <w:style w:type="table" w:styleId="TableGrid">
    <w:name w:val="Table Grid"/>
    <w:basedOn w:val="TableNormal"/>
    <w:uiPriority w:val="59"/>
    <w:rsid w:val="00424658"/>
    <w:pPr>
      <w:spacing w:after="0" w:line="240" w:lineRule="auto"/>
    </w:pPr>
    <w:rPr>
      <w:kern w:val="0"/>
      <w:szCs w:val="24"/>
      <w:lang w:val="en-GB" w:eastAsia="ja-JP" w:bidi="ar-SA"/>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24658"/>
    <w:rPr>
      <w:sz w:val="16"/>
      <w:szCs w:val="16"/>
    </w:rPr>
  </w:style>
  <w:style w:type="paragraph" w:styleId="CommentText">
    <w:name w:val="annotation text"/>
    <w:basedOn w:val="Normal"/>
    <w:link w:val="CommentTextChar"/>
    <w:uiPriority w:val="99"/>
    <w:semiHidden/>
    <w:unhideWhenUsed/>
    <w:rsid w:val="00424658"/>
    <w:pPr>
      <w:spacing w:line="240" w:lineRule="auto"/>
    </w:pPr>
    <w:rPr>
      <w:sz w:val="20"/>
      <w:szCs w:val="20"/>
    </w:rPr>
  </w:style>
  <w:style w:type="character" w:customStyle="1" w:styleId="CommentTextChar">
    <w:name w:val="Comment Text Char"/>
    <w:basedOn w:val="DefaultParagraphFont"/>
    <w:link w:val="CommentText"/>
    <w:uiPriority w:val="99"/>
    <w:semiHidden/>
    <w:rsid w:val="00424658"/>
    <w:rPr>
      <w:kern w:val="0"/>
      <w:sz w:val="20"/>
      <w:szCs w:val="20"/>
      <w:lang w:val="en-GB" w:eastAsia="ja-JP" w:bidi="ar-SA"/>
      <w14:ligatures w14:val="none"/>
    </w:rPr>
  </w:style>
  <w:style w:type="paragraph" w:styleId="NoSpacing">
    <w:name w:val="No Spacing"/>
    <w:basedOn w:val="Normal"/>
    <w:uiPriority w:val="1"/>
    <w:qFormat/>
    <w:rsid w:val="00424658"/>
    <w:pPr>
      <w:spacing w:after="0" w:line="240" w:lineRule="auto"/>
    </w:pPr>
    <w:rPr>
      <w:rFonts w:ascii="Calibri" w:eastAsia="Calibri" w:hAnsi="Calibri" w:cs="Calibri"/>
      <w:b/>
      <w:bCs/>
      <w:sz w:val="20"/>
      <w:szCs w:val="20"/>
    </w:rPr>
  </w:style>
  <w:style w:type="character" w:styleId="Hyperlink">
    <w:name w:val="Hyperlink"/>
    <w:basedOn w:val="DefaultParagraphFont"/>
    <w:uiPriority w:val="99"/>
    <w:unhideWhenUsed/>
    <w:rsid w:val="00424658"/>
    <w:rPr>
      <w:color w:val="467886" w:themeColor="hyperlink"/>
      <w:u w:val="single"/>
    </w:rPr>
  </w:style>
  <w:style w:type="character" w:styleId="Strong">
    <w:name w:val="Strong"/>
    <w:basedOn w:val="DefaultParagraphFont"/>
    <w:uiPriority w:val="22"/>
    <w:qFormat/>
    <w:rsid w:val="00653F82"/>
    <w:rPr>
      <w:b/>
      <w:bCs/>
    </w:rPr>
  </w:style>
  <w:style w:type="paragraph" w:styleId="Header">
    <w:name w:val="header"/>
    <w:basedOn w:val="Normal"/>
    <w:link w:val="HeaderChar"/>
    <w:uiPriority w:val="99"/>
    <w:unhideWhenUsed/>
    <w:rsid w:val="00FD27A5"/>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FD27A5"/>
    <w:rPr>
      <w:kern w:val="0"/>
      <w:sz w:val="20"/>
      <w:szCs w:val="20"/>
      <w:lang w:val="en-GB" w:eastAsia="ja-JP" w:bidi="ar-SA"/>
      <w14:ligatures w14:val="none"/>
    </w:rPr>
  </w:style>
  <w:style w:type="paragraph" w:styleId="Footer">
    <w:name w:val="footer"/>
    <w:basedOn w:val="Normal"/>
    <w:link w:val="FooterChar"/>
    <w:uiPriority w:val="99"/>
    <w:unhideWhenUsed/>
    <w:rsid w:val="00FD27A5"/>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FD27A5"/>
    <w:rPr>
      <w:kern w:val="0"/>
      <w:sz w:val="20"/>
      <w:szCs w:val="20"/>
      <w:lang w:val="en-GB" w:eastAsia="ja-JP" w:bidi="ar-SA"/>
      <w14:ligatures w14:val="none"/>
    </w:rPr>
  </w:style>
  <w:style w:type="table" w:styleId="ListTable6Colourful">
    <w:name w:val="List Table 6 Colorful"/>
    <w:basedOn w:val="TableNormal"/>
    <w:uiPriority w:val="51"/>
    <w:rsid w:val="00AC6ADA"/>
    <w:pPr>
      <w:spacing w:after="0" w:line="240" w:lineRule="auto"/>
    </w:pPr>
    <w:rPr>
      <w:color w:val="000000" w:themeColor="text1"/>
      <w:szCs w:val="24"/>
      <w:lang w:val="it-IT" w:eastAsia="en-US" w:bidi="ar-S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Subject">
    <w:name w:val="annotation subject"/>
    <w:basedOn w:val="CommentText"/>
    <w:next w:val="CommentText"/>
    <w:link w:val="CommentSubjectChar"/>
    <w:uiPriority w:val="99"/>
    <w:semiHidden/>
    <w:unhideWhenUsed/>
    <w:rsid w:val="0062438C"/>
    <w:rPr>
      <w:b/>
      <w:bCs/>
    </w:rPr>
  </w:style>
  <w:style w:type="character" w:customStyle="1" w:styleId="CommentSubjectChar">
    <w:name w:val="Comment Subject Char"/>
    <w:basedOn w:val="CommentTextChar"/>
    <w:link w:val="CommentSubject"/>
    <w:uiPriority w:val="99"/>
    <w:semiHidden/>
    <w:rsid w:val="0062438C"/>
    <w:rPr>
      <w:b/>
      <w:bCs/>
      <w:kern w:val="0"/>
      <w:sz w:val="20"/>
      <w:szCs w:val="20"/>
      <w:lang w:val="en-GB" w:eastAsia="ja-JP" w:bidi="ar-SA"/>
      <w14:ligatures w14:val="none"/>
    </w:rPr>
  </w:style>
  <w:style w:type="paragraph" w:styleId="Revision">
    <w:name w:val="Revision"/>
    <w:hidden/>
    <w:uiPriority w:val="99"/>
    <w:semiHidden/>
    <w:rsid w:val="00BD2848"/>
    <w:pPr>
      <w:spacing w:after="0" w:line="240" w:lineRule="auto"/>
    </w:pPr>
    <w:rPr>
      <w:kern w:val="0"/>
      <w:szCs w:val="24"/>
      <w:lang w:val="en-GB" w:eastAsia="ja-JP"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76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2293</Words>
  <Characters>13076</Characters>
  <Application>Microsoft Office Word</Application>
  <DocSecurity>0</DocSecurity>
  <Lines>108</Lines>
  <Paragraphs>30</Paragraphs>
  <ScaleCrop>false</ScaleCrop>
  <Company/>
  <LinksUpToDate>false</LinksUpToDate>
  <CharactersWithSpaces>15339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Chang</dc:creator>
  <cp:keywords/>
  <dc:description/>
  <cp:lastModifiedBy>stephen chang</cp:lastModifiedBy>
  <cp:revision>2</cp:revision>
  <dcterms:created xsi:type="dcterms:W3CDTF">2026-07-13T12:01:00Z</dcterms:created>
  <dcterms:modified xsi:type="dcterms:W3CDTF">2026-07-13T12:01:00Z</dcterms:modified>
</cp:coreProperties>
</file>