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CCDBB" w14:textId="77777777" w:rsidR="00432B59" w:rsidRPr="00432B59" w:rsidRDefault="00432B59" w:rsidP="00432B59">
      <w:pPr>
        <w:rPr>
          <w:b/>
          <w:bCs/>
          <w:lang w:val="en-CA"/>
        </w:rPr>
      </w:pPr>
      <w:r w:rsidRPr="00432B59">
        <w:rPr>
          <w:b/>
          <w:bCs/>
          <w:lang w:val="en-CA"/>
        </w:rPr>
        <w:t>Extended Data – Extended Data figures and tables</w:t>
      </w:r>
    </w:p>
    <w:p w14:paraId="569D55A0" w14:textId="77777777" w:rsidR="00432B59" w:rsidRPr="00432B59" w:rsidRDefault="00432B59" w:rsidP="00432B59">
      <w:pPr>
        <w:rPr>
          <w:b/>
          <w:bCs/>
          <w:lang w:val="en-CA"/>
        </w:rPr>
      </w:pPr>
      <w:r w:rsidRPr="00432B59">
        <w:rPr>
          <w:b/>
          <w:bCs/>
          <w:lang w:val="en-CA"/>
        </w:rPr>
        <w:t>EDF-1 Geological context of Japan</w:t>
      </w:r>
    </w:p>
    <w:p w14:paraId="6CEABB08" w14:textId="77777777" w:rsidR="00432B59" w:rsidRPr="00432B59" w:rsidRDefault="00432B59" w:rsidP="00432B59">
      <w:pPr>
        <w:rPr>
          <w:lang w:val="en-CA"/>
        </w:rPr>
      </w:pPr>
      <w:r w:rsidRPr="00432B59">
        <w:rPr>
          <w:lang w:val="en-CA"/>
        </w:rPr>
        <w:t xml:space="preserve">Figure showing (A) the current location of Japan respect South and North China cratons. B) </w:t>
      </w:r>
      <w:proofErr w:type="gramStart"/>
      <w:r w:rsidRPr="00432B59">
        <w:rPr>
          <w:lang w:val="en-CA"/>
        </w:rPr>
        <w:t>An</w:t>
      </w:r>
      <w:proofErr w:type="gramEnd"/>
      <w:r w:rsidRPr="00432B59">
        <w:rPr>
          <w:lang w:val="en-CA"/>
        </w:rPr>
        <w:t xml:space="preserve"> schematic geological map showing the main tectonic units. C) A map of Japan showing the outcropping intrusive </w:t>
      </w:r>
      <w:proofErr w:type="spellStart"/>
      <w:r w:rsidRPr="00432B59">
        <w:rPr>
          <w:lang w:val="en-CA"/>
        </w:rPr>
        <w:t>ingneous</w:t>
      </w:r>
      <w:proofErr w:type="spellEnd"/>
      <w:r w:rsidRPr="00432B59">
        <w:rPr>
          <w:lang w:val="en-CA"/>
        </w:rPr>
        <w:t xml:space="preserve"> rocks. Note that most of them are </w:t>
      </w:r>
      <w:proofErr w:type="spellStart"/>
      <w:r w:rsidRPr="00432B59">
        <w:rPr>
          <w:lang w:val="en-CA"/>
        </w:rPr>
        <w:t>Cretacsous</w:t>
      </w:r>
      <w:proofErr w:type="spellEnd"/>
      <w:r w:rsidRPr="00432B59">
        <w:rPr>
          <w:lang w:val="en-CA"/>
        </w:rPr>
        <w:t xml:space="preserve"> and that Paleozoic rocks are very </w:t>
      </w:r>
      <w:proofErr w:type="spellStart"/>
      <w:r w:rsidRPr="00432B59">
        <w:rPr>
          <w:lang w:val="en-CA"/>
        </w:rPr>
        <w:t>limmited</w:t>
      </w:r>
      <w:proofErr w:type="spellEnd"/>
      <w:r w:rsidRPr="00432B59">
        <w:rPr>
          <w:lang w:val="en-CA"/>
        </w:rPr>
        <w:t xml:space="preserve"> outcrops along the </w:t>
      </w:r>
      <w:proofErr w:type="spellStart"/>
      <w:r w:rsidRPr="00432B59">
        <w:rPr>
          <w:lang w:val="en-CA"/>
        </w:rPr>
        <w:t>Kurosegawa</w:t>
      </w:r>
      <w:proofErr w:type="spellEnd"/>
      <w:r w:rsidRPr="00432B59">
        <w:rPr>
          <w:lang w:val="en-CA"/>
        </w:rPr>
        <w:t xml:space="preserve">, </w:t>
      </w:r>
      <w:proofErr w:type="spellStart"/>
      <w:r w:rsidRPr="00432B59">
        <w:rPr>
          <w:lang w:val="en-CA"/>
        </w:rPr>
        <w:t>Maizuru</w:t>
      </w:r>
      <w:proofErr w:type="spellEnd"/>
      <w:r w:rsidRPr="00432B59">
        <w:rPr>
          <w:lang w:val="en-CA"/>
        </w:rPr>
        <w:t xml:space="preserve"> and South </w:t>
      </w:r>
      <w:proofErr w:type="spellStart"/>
      <w:r w:rsidRPr="00432B59">
        <w:rPr>
          <w:lang w:val="en-CA"/>
        </w:rPr>
        <w:t>Kitakami</w:t>
      </w:r>
      <w:proofErr w:type="spellEnd"/>
      <w:r w:rsidRPr="00432B59">
        <w:rPr>
          <w:lang w:val="en-CA"/>
        </w:rPr>
        <w:t>/</w:t>
      </w:r>
      <w:proofErr w:type="spellStart"/>
      <w:r w:rsidRPr="00432B59">
        <w:rPr>
          <w:lang w:val="en-CA"/>
        </w:rPr>
        <w:t>Abukuma</w:t>
      </w:r>
      <w:proofErr w:type="spellEnd"/>
      <w:r w:rsidRPr="00432B59">
        <w:rPr>
          <w:lang w:val="en-CA"/>
        </w:rPr>
        <w:t xml:space="preserve"> belts.</w:t>
      </w:r>
    </w:p>
    <w:p w14:paraId="04160EEE" w14:textId="77777777" w:rsidR="00432B59" w:rsidRPr="00432B59" w:rsidRDefault="00432B59" w:rsidP="00432B59">
      <w:pPr>
        <w:rPr>
          <w:b/>
          <w:bCs/>
          <w:lang w:val="en-CA"/>
        </w:rPr>
      </w:pPr>
    </w:p>
    <w:p w14:paraId="5D477F06" w14:textId="77777777" w:rsidR="00432B59" w:rsidRPr="00432B59" w:rsidRDefault="00432B59" w:rsidP="00432B59">
      <w:pPr>
        <w:rPr>
          <w:b/>
          <w:bCs/>
          <w:lang w:val="en-CA"/>
        </w:rPr>
      </w:pPr>
      <w:r w:rsidRPr="00432B59">
        <w:rPr>
          <w:b/>
          <w:bCs/>
          <w:lang w:val="en-CA"/>
        </w:rPr>
        <w:t>EDF-2 Geochemistry compilation of granites of Japan</w:t>
      </w:r>
    </w:p>
    <w:p w14:paraId="1AE0FCB9" w14:textId="77777777" w:rsidR="00432B59" w:rsidRPr="00432B59" w:rsidRDefault="00432B59" w:rsidP="00432B59">
      <w:pPr>
        <w:rPr>
          <w:b/>
          <w:bCs/>
          <w:lang w:val="en-CA"/>
        </w:rPr>
      </w:pPr>
    </w:p>
    <w:p w14:paraId="444BFC21" w14:textId="77777777" w:rsidR="00432B59" w:rsidRPr="00432B59" w:rsidRDefault="00432B59" w:rsidP="00432B59">
      <w:pPr>
        <w:rPr>
          <w:lang w:val="en-CA"/>
        </w:rPr>
      </w:pPr>
      <w:r w:rsidRPr="00432B59">
        <w:rPr>
          <w:lang w:val="en-CA"/>
        </w:rPr>
        <w:t xml:space="preserve">(a) Sr/Y–Y systematics distinguish </w:t>
      </w:r>
      <w:proofErr w:type="spellStart"/>
      <w:r w:rsidRPr="00432B59">
        <w:rPr>
          <w:lang w:val="en-CA"/>
        </w:rPr>
        <w:t>adakite</w:t>
      </w:r>
      <w:proofErr w:type="spellEnd"/>
      <w:r w:rsidRPr="00432B59">
        <w:rPr>
          <w:lang w:val="en-CA"/>
        </w:rPr>
        <w:t xml:space="preserve">-like compositions from typical arc magmas, with Carboniferous samples characterized by elevated Sr/Y and low Y. (b) Mg#–SiO₂ variations show contrasting differentiation trends between Ordovician, Carboniferous, and Permian magmatism. The combined patterns suggest transient development of </w:t>
      </w:r>
      <w:proofErr w:type="spellStart"/>
      <w:r w:rsidRPr="00432B59">
        <w:rPr>
          <w:lang w:val="en-CA"/>
        </w:rPr>
        <w:t>adakite</w:t>
      </w:r>
      <w:proofErr w:type="spellEnd"/>
      <w:r w:rsidRPr="00432B59">
        <w:rPr>
          <w:lang w:val="en-CA"/>
        </w:rPr>
        <w:t>-like geochemical signatures during Carboniferous magmatism, followed by more typical arc-like compositions in the Permian. Fields are modified after</w:t>
      </w:r>
      <w:r w:rsidRPr="00432B59">
        <w:rPr>
          <w:lang w:val="en-CA"/>
        </w:rPr>
        <w:fldChar w:fldCharType="begin"/>
      </w:r>
      <w:r w:rsidRPr="00432B59">
        <w:rPr>
          <w:lang w:val="en-CA"/>
        </w:rPr>
        <w:instrText xml:space="preserve"> ADDIN ZOTERO_ITEM CSL_CITATION {"citationID":"C5QXiOeb","properties":{"unsorted":false,"formattedCitation":"\\super 52,53\\nosupersub{}","plainCitation":"52,53","noteIndex":0},"citationItems":[{"id":7969,"uris":["http://zotero.org/users/101845/items/PN3P2A39"],"itemData":{"id":7969,"type":"article-journal","abstract":"MOST volcanic rocks in modern island and continental arcs are probably derived from melting of the mantle wedge, induced by hydrous fluids released during dehydration reactions in the subducted lithosphere1. Arc tholeiitic and calc-alkaline basaltic magmas are produced by partial melting of the mantle, and then evolve by crystal fractionation (with or without assimilation and magma mixing) to more silicic magmas2—basalt, andesite, dacite and rhyolite suites. Although most arc magmas are generated by these petrogenetic processes, rocks with the geochemical characteristics of melts derived directly from the subducted lithosphere are present in some modern arcs where relatively young and hot lithosphere is being subducted. These andesites, dacites and sodic rhyolites (dacites seem to be the most common products) or their intrusive equivalents (tonalites and trondhjemites) are usually not associated with parental basaltic magmas3. Here we show that the trace-element geochemistry of these magmas (termed 'adakites') is consistent with a derivation by partial melting of the subducted slab, and in particular that subducting lithosphere younger than 25 Myr seems to be required for slab melting to occur.","container-title":"Nature","DOI":"10.1038/347662a0","ISSN":"1476-4687","issue":"6294","language":"en","license":"1990 Springer Nature Limited","page":"662-665","publisher":"Nature Publishing Group","source":"www.nature.com","title":"Derivation of some modern arc magmas by melting of young subducted lithosphere","volume":"347","author":[{"family":"Defant","given":"Marc J."},{"family":"Drummond","given":"Mark S."}],"issued":{"date-parts":[["1990",10]]}}},{"id":7971,"uris":["http://zotero.org/users/101845/items/323V5LDZ"],"itemData":{"id":7971,"type":"article-journal","abstract":"Examination of an extensive adakite geochemical database identifies two distinct compositional groups. One consists of high-SiO2 adakites (HSA) which is considered to represent subducted basaltic slab-melts that have reacted with peridotite during ascent through mantle wedge. The second group consists of low-SiO2 adakites (LSA) which we interpret to have formed by melting of a peridotitic mantle wedge whose composition has been modified by reaction with felsic slab-melts. The chemical composition of less differentiated (primitive) Archaean tonalite–trondhjemite–granodiorite (TTG) magmas evolved from 4.0 to 2.5 Ga. Mg# (molecular Mg/(Mg+Fe2+), Ni, and Cr contents increased over this period of time and we interpret these changes in terms of changes in the degree to which the TTG magmas interacted with mantle peridotite. Over the same period, concentrations of (CaO+Na2O) and Sr also increased, as the amount of plagioclase, residual from basalt melting, decreased in response to increased pressures at the site of slab-melting. In the Early Archaean, it appears that these interactions were very rare or absent thus leading to the conclusion that subduction was typically flat and lacked the development of a mantle wedge. In contrast, the relatively lower heat production by </w:instrText>
      </w:r>
      <w:r w:rsidRPr="00432B59">
        <w:rPr>
          <w:rFonts w:ascii="Cambria Math" w:hAnsi="Cambria Math" w:cs="Cambria Math"/>
          <w:lang w:val="en-CA"/>
        </w:rPr>
        <w:instrText>∼</w:instrText>
      </w:r>
      <w:r w:rsidRPr="00432B59">
        <w:rPr>
          <w:lang w:val="en-CA"/>
        </w:rPr>
        <w:instrText>2.5 Ga meant that slab-melting occurred at greater depth, where plagioclase was no longer stable, and where the development of a thick mantle wedge ensured interaction between the slab-melts and mantle peridotite. Close compositional similarities between HSA and Late Archaean TTG (T&lt;</w:instrText>
      </w:r>
      <w:r w:rsidRPr="00432B59">
        <w:rPr>
          <w:rFonts w:ascii="Cambria Math" w:hAnsi="Cambria Math" w:cs="Cambria Math"/>
          <w:lang w:val="en-CA"/>
        </w:rPr>
        <w:instrText>∼</w:instrText>
      </w:r>
      <w:r w:rsidRPr="00432B59">
        <w:rPr>
          <w:lang w:val="en-CA"/>
        </w:rPr>
        <w:instrText xml:space="preserve">3.0 Ga) strongly suggest a petrogenetic analogy. However, an analogy between the older Archaean TTG and HSA is not complete because evidence for mantle wedge interaction is missing in most Early Archaean TTGs. Late Archaean sanukitoids and the compositionally similar Closepet-type granites have compositions significantly different from TTG of all ages. However, they show some affinity with LSA which could be considered as their possible analogue. These magmas are all thought to result from melting of a mantle peridotite whose composition has been modified by reaction with slab-melts. We propose that all these magmas are directly linked to slab-melting. Archaean TTG and HSA represent slab-melts that have interacted with peridotite to varying extent, whereas sanukitoids, Closepet-type granites, and LSA correspond to melts of peridotite previously metasomatised by slab-melt. The changes observed from Early Archaean TTG to Late Archaean TTG and to sanukitoids reflect change in both the nature and efficiency of interaction between slab-melt and mantle wedge peridotite. Comparisons between all of these rocks suggest that ancient styles of subduction that have operated since at least </w:instrText>
      </w:r>
      <w:r w:rsidRPr="00432B59">
        <w:rPr>
          <w:rFonts w:ascii="Cambria Math" w:hAnsi="Cambria Math" w:cs="Cambria Math"/>
          <w:lang w:val="en-CA"/>
        </w:rPr>
        <w:instrText>∼</w:instrText>
      </w:r>
      <w:r w:rsidRPr="00432B59">
        <w:rPr>
          <w:lang w:val="en-CA"/>
        </w:rPr>
        <w:instrText>3.3 Ga persist in a limited way today. The secular changes in the degree and style of these interactions is a direct consequence of the cooling of Earth that modified the thermal and dynamic parameters at the subducted slab</w:instrText>
      </w:r>
      <w:r w:rsidRPr="00432B59">
        <w:rPr>
          <w:rFonts w:ascii="Aptos" w:hAnsi="Aptos" w:cs="Aptos"/>
          <w:lang w:val="en-CA"/>
        </w:rPr>
        <w:instrText>–</w:instrText>
      </w:r>
      <w:r w:rsidRPr="00432B59">
        <w:rPr>
          <w:lang w:val="en-CA"/>
        </w:rPr>
        <w:instrText xml:space="preserve">mantle wedge interface.","collection-title":"Geodynamic Controls on Adakite, TTG and Sanukitoid Genesis: Implications for Models of Crust Formation","container-title":"Lithos","DOI":"10.1016/j.lithos.2004.04.048","ISSN":"0024-4937","issue":"1","journalAbbreviation":"Lithos","page":"1-24","source":"ScienceDirect","title":"An overview of adakite, tonalite–trondhjemite–granodiorite (TTG), and sanukitoid: relationships and some implications for crustal evolution","title-short":"An overview of adakite, tonalite–trondhjemite–granodiorite (TTG), and sanukitoid","volume":"79","author":[{"family":"Martin","given":"H."},{"family":"Smithies","given":"R. H."},{"family":"Rapp","given":"R."},{"family":"Moyen","given":"J. -F."},{"family":"Champion","given":"D."}],"issued":{"date-parts":[["2005",1,1]]}}}],"schema":"https://github.com/citation-style-language/schema/raw/master/csl-citation.json"} </w:instrText>
      </w:r>
      <w:r w:rsidRPr="00432B59">
        <w:rPr>
          <w:lang w:val="en-CA"/>
        </w:rPr>
        <w:fldChar w:fldCharType="separate"/>
      </w:r>
      <w:r w:rsidRPr="00432B59">
        <w:rPr>
          <w:vertAlign w:val="superscript"/>
          <w:lang w:val="en-US"/>
        </w:rPr>
        <w:t>52,53</w:t>
      </w:r>
      <w:r w:rsidRPr="00432B59">
        <w:fldChar w:fldCharType="end"/>
      </w:r>
      <w:r w:rsidRPr="00432B59">
        <w:rPr>
          <w:lang w:val="en-CA"/>
        </w:rPr>
        <w:t>.</w:t>
      </w:r>
    </w:p>
    <w:p w14:paraId="32145D4C" w14:textId="77777777" w:rsidR="00432B59" w:rsidRPr="00432B59" w:rsidRDefault="00432B59" w:rsidP="00432B59">
      <w:pPr>
        <w:rPr>
          <w:b/>
          <w:bCs/>
          <w:lang w:val="en-CA"/>
        </w:rPr>
      </w:pPr>
    </w:p>
    <w:p w14:paraId="524C083F" w14:textId="77777777" w:rsidR="00432B59" w:rsidRPr="00432B59" w:rsidRDefault="00432B59" w:rsidP="00432B59">
      <w:pPr>
        <w:rPr>
          <w:b/>
          <w:bCs/>
          <w:lang w:val="en-US"/>
        </w:rPr>
      </w:pPr>
      <w:r w:rsidRPr="00432B59">
        <w:rPr>
          <w:b/>
          <w:bCs/>
          <w:lang w:val="en-US"/>
        </w:rPr>
        <w:t>EDF-3 Dy/Yb–Eu/Eu* plot separated by origin of rocks</w:t>
      </w:r>
      <w:r w:rsidRPr="00432B59">
        <w:rPr>
          <w:b/>
          <w:bCs/>
          <w:lang w:val="en-US"/>
        </w:rPr>
        <w:br/>
      </w:r>
    </w:p>
    <w:p w14:paraId="49E53858" w14:textId="77777777" w:rsidR="00432B59" w:rsidRPr="00432B59" w:rsidRDefault="00432B59" w:rsidP="00432B59">
      <w:pPr>
        <w:rPr>
          <w:lang w:val="en-CA"/>
        </w:rPr>
      </w:pPr>
      <w:r w:rsidRPr="00432B59">
        <w:rPr>
          <w:lang w:val="en-CA"/>
        </w:rPr>
        <w:t>Dy/Yb–Eu/Eu* and U/Yb–Ce/Yb diagrams show temporal changes in zircon chemistry from Cambrian to Carboniferous–Permian magmatism. Cambrian and Ordovician–Silurian zircons generally show higher U/Yb at low Ce/Yb, consistent with stronger crustal contribution, whereas Carboniferous–Permian zircons define lower U/Yb and higher Ce/Yb trends toward more mantle-enriched compositions. Dy/Yb–Eu/Eu* variations further indicate changing plagioclase influence and oxidation conditions during Paleozoic arc evolution.</w:t>
      </w:r>
    </w:p>
    <w:p w14:paraId="79AF718A" w14:textId="77777777" w:rsidR="00432B59" w:rsidRPr="00432B59" w:rsidRDefault="00432B59" w:rsidP="00432B59">
      <w:pPr>
        <w:rPr>
          <w:lang w:val="en-CA"/>
        </w:rPr>
      </w:pPr>
    </w:p>
    <w:p w14:paraId="5AA3B8B6" w14:textId="77777777" w:rsidR="00432B59" w:rsidRPr="00432B59" w:rsidRDefault="00432B59" w:rsidP="00432B59">
      <w:pPr>
        <w:rPr>
          <w:lang w:val="en-CA"/>
        </w:rPr>
      </w:pPr>
    </w:p>
    <w:p w14:paraId="55F20870" w14:textId="77777777" w:rsidR="00432B59" w:rsidRPr="00432B59" w:rsidRDefault="00432B59" w:rsidP="00432B59">
      <w:pPr>
        <w:rPr>
          <w:b/>
          <w:bCs/>
          <w:lang w:val="en-US"/>
        </w:rPr>
      </w:pPr>
      <w:r w:rsidRPr="00432B59">
        <w:rPr>
          <w:b/>
          <w:bCs/>
          <w:lang w:val="en-CA"/>
        </w:rPr>
        <w:t>EDF-4 U/Yb–Nb/Yb</w:t>
      </w:r>
      <w:r w:rsidRPr="00432B59">
        <w:rPr>
          <w:b/>
          <w:bCs/>
          <w:lang w:val="en-US"/>
        </w:rPr>
        <w:t xml:space="preserve"> plot separated by origin of rocks</w:t>
      </w:r>
    </w:p>
    <w:p w14:paraId="413AA739" w14:textId="77777777" w:rsidR="00432B59" w:rsidRPr="00432B59" w:rsidRDefault="00432B59" w:rsidP="00432B59">
      <w:pPr>
        <w:rPr>
          <w:b/>
          <w:bCs/>
          <w:lang w:val="en-CA"/>
        </w:rPr>
      </w:pPr>
    </w:p>
    <w:p w14:paraId="022E1D30" w14:textId="77777777" w:rsidR="00432B59" w:rsidRPr="00432B59" w:rsidRDefault="00432B59" w:rsidP="00432B59">
      <w:pPr>
        <w:rPr>
          <w:lang w:val="en-CA"/>
        </w:rPr>
      </w:pPr>
      <w:r w:rsidRPr="00432B59">
        <w:rPr>
          <w:lang w:val="en-CA"/>
        </w:rPr>
        <w:t xml:space="preserve">The U/Yb–Nb/Yb diagram shows systematic temporal variations in magma source characteristics. Cambrian and Ordovician–Silurian zircons generally display higher U/Yb at relatively low Ce/Yb, consistent with stronger crustal influence, whereas </w:t>
      </w:r>
      <w:r w:rsidRPr="00432B59">
        <w:rPr>
          <w:lang w:val="en-CA"/>
        </w:rPr>
        <w:lastRenderedPageBreak/>
        <w:t>Carboniferous–Permian zircons define lower U/Yb and higher Ce/Yb trends, indicating increased mantle contribution and different oxidation state.</w:t>
      </w:r>
    </w:p>
    <w:p w14:paraId="3E2267FF" w14:textId="77777777" w:rsidR="00432B59" w:rsidRPr="00432B59" w:rsidRDefault="00432B59" w:rsidP="00432B59">
      <w:pPr>
        <w:rPr>
          <w:b/>
          <w:bCs/>
          <w:lang w:val="en-CA"/>
        </w:rPr>
      </w:pPr>
    </w:p>
    <w:p w14:paraId="48FC65E6" w14:textId="77777777" w:rsidR="00432B59" w:rsidRPr="00432B59" w:rsidRDefault="00432B59" w:rsidP="00432B59">
      <w:pPr>
        <w:rPr>
          <w:b/>
          <w:bCs/>
          <w:lang w:val="en-CA"/>
        </w:rPr>
      </w:pPr>
      <w:r w:rsidRPr="00432B59">
        <w:rPr>
          <w:b/>
          <w:bCs/>
          <w:lang w:val="en-CA"/>
        </w:rPr>
        <w:t>EDF-5 Table including minimum extent of known thinned continental fragments</w:t>
      </w:r>
    </w:p>
    <w:p w14:paraId="15DE053E" w14:textId="77777777" w:rsidR="00432B59" w:rsidRPr="00432B59" w:rsidRDefault="00432B59" w:rsidP="00432B59">
      <w:pPr>
        <w:rPr>
          <w:lang w:val="en-CA"/>
        </w:rPr>
      </w:pPr>
      <w:r w:rsidRPr="00432B59">
        <w:rPr>
          <w:lang w:val="en-CA"/>
        </w:rPr>
        <w:t xml:space="preserve">This table list the area of continental fragments and </w:t>
      </w:r>
      <w:proofErr w:type="spellStart"/>
      <w:r w:rsidRPr="00432B59">
        <w:rPr>
          <w:lang w:val="en-CA"/>
        </w:rPr>
        <w:t>clasiffies</w:t>
      </w:r>
      <w:proofErr w:type="spellEnd"/>
      <w:r w:rsidRPr="00432B59">
        <w:rPr>
          <w:lang w:val="en-CA"/>
        </w:rPr>
        <w:t xml:space="preserve"> them into their tectonic setting (</w:t>
      </w:r>
      <w:proofErr w:type="spellStart"/>
      <w:r w:rsidRPr="00432B59">
        <w:rPr>
          <w:lang w:val="en-CA"/>
        </w:rPr>
        <w:t>hyperexteneded</w:t>
      </w:r>
      <w:proofErr w:type="spellEnd"/>
      <w:r w:rsidRPr="00432B59">
        <w:rPr>
          <w:lang w:val="en-CA"/>
        </w:rPr>
        <w:t xml:space="preserve"> margins, microcontinents within oceanic plates, extended back-arcs). This table does not include smaller, but widespread, slivers as the found in the transforms of the </w:t>
      </w:r>
      <w:proofErr w:type="spellStart"/>
      <w:r w:rsidRPr="00432B59">
        <w:rPr>
          <w:lang w:val="en-CA"/>
        </w:rPr>
        <w:t>atlantic</w:t>
      </w:r>
      <w:proofErr w:type="spellEnd"/>
      <w:r w:rsidRPr="00432B59">
        <w:rPr>
          <w:lang w:val="en-CA"/>
        </w:rPr>
        <w:t xml:space="preserve"> or in oceanic islands.</w:t>
      </w:r>
    </w:p>
    <w:p w14:paraId="017BE974" w14:textId="77777777" w:rsidR="00432B59" w:rsidRPr="00432B59" w:rsidRDefault="00432B59" w:rsidP="00432B59">
      <w:pPr>
        <w:rPr>
          <w:b/>
          <w:bCs/>
          <w:lang w:val="en-CA"/>
        </w:rPr>
      </w:pPr>
    </w:p>
    <w:p w14:paraId="09B7B706" w14:textId="77777777" w:rsidR="00432B59" w:rsidRPr="00432B59" w:rsidRDefault="00432B59" w:rsidP="00432B59">
      <w:pPr>
        <w:rPr>
          <w:b/>
          <w:bCs/>
          <w:lang w:val="en-CA"/>
        </w:rPr>
      </w:pPr>
      <w:r w:rsidRPr="00432B59">
        <w:rPr>
          <w:b/>
          <w:bCs/>
          <w:lang w:val="en-CA"/>
        </w:rPr>
        <w:t>EDF-6 Recommended Hf values for zircon standards</w:t>
      </w:r>
    </w:p>
    <w:p w14:paraId="67F51747" w14:textId="77777777" w:rsidR="00432B59" w:rsidRPr="00432B59" w:rsidRDefault="00432B59" w:rsidP="00432B59">
      <w:pPr>
        <w:rPr>
          <w:lang w:val="en-AU"/>
        </w:rPr>
      </w:pPr>
      <w:r w:rsidRPr="00432B59">
        <w:rPr>
          <w:lang w:val="en-AU"/>
        </w:rPr>
        <w:t xml:space="preserve">Recommended </w:t>
      </w:r>
      <w:r w:rsidRPr="00432B59">
        <w:rPr>
          <w:vertAlign w:val="superscript"/>
          <w:lang w:val="en-AU"/>
        </w:rPr>
        <w:t>176</w:t>
      </w:r>
      <w:r w:rsidRPr="00432B59">
        <w:rPr>
          <w:lang w:val="en-AU"/>
        </w:rPr>
        <w:t>Hf/</w:t>
      </w:r>
      <w:r w:rsidRPr="00432B59">
        <w:rPr>
          <w:vertAlign w:val="superscript"/>
          <w:lang w:val="en-AU"/>
        </w:rPr>
        <w:t>177</w:t>
      </w:r>
      <w:r w:rsidRPr="00432B59">
        <w:rPr>
          <w:lang w:val="en-AU"/>
        </w:rPr>
        <w:t>Hf value for zircon reference materials and weighted mean standard corrected ratio obtained in each analytical session (Mud Tank primary reference material).</w:t>
      </w:r>
    </w:p>
    <w:p w14:paraId="408AE9AE" w14:textId="77777777" w:rsidR="00432B59" w:rsidRPr="00432B59" w:rsidRDefault="00432B59" w:rsidP="00432B59">
      <w:pPr>
        <w:rPr>
          <w:b/>
          <w:bCs/>
          <w:lang w:val="en-AU"/>
        </w:rPr>
      </w:pPr>
    </w:p>
    <w:p w14:paraId="2C338324" w14:textId="77777777" w:rsidR="00432B59" w:rsidRPr="00432B59" w:rsidRDefault="00432B59" w:rsidP="00432B59">
      <w:pPr>
        <w:rPr>
          <w:b/>
          <w:bCs/>
          <w:lang w:val="en-CA"/>
        </w:rPr>
      </w:pPr>
      <w:r w:rsidRPr="00432B59">
        <w:rPr>
          <w:b/>
          <w:bCs/>
          <w:lang w:val="en-CA"/>
        </w:rPr>
        <w:t>EDF-7 Recommended ages values for zircon standards</w:t>
      </w:r>
    </w:p>
    <w:p w14:paraId="4F3AC821" w14:textId="77777777" w:rsidR="00432B59" w:rsidRPr="00432B59" w:rsidRDefault="00432B59" w:rsidP="00432B59">
      <w:pPr>
        <w:rPr>
          <w:lang w:val="en-AU"/>
        </w:rPr>
      </w:pPr>
      <w:r w:rsidRPr="00432B59">
        <w:rPr>
          <w:lang w:val="en-AU"/>
        </w:rPr>
        <w:t>Recommended ages for zircon reference materials and weighted mean standard corrected ages obtained in each analytical session.</w:t>
      </w:r>
    </w:p>
    <w:p w14:paraId="1D1C81D7" w14:textId="77777777" w:rsidR="00432B59" w:rsidRPr="00432B59" w:rsidRDefault="00432B59" w:rsidP="00432B59">
      <w:pPr>
        <w:rPr>
          <w:b/>
          <w:bCs/>
          <w:lang w:val="en-CA"/>
        </w:rPr>
      </w:pPr>
    </w:p>
    <w:p w14:paraId="69ADE580" w14:textId="77777777" w:rsidR="00432B59" w:rsidRPr="00432B59" w:rsidRDefault="00432B59" w:rsidP="00432B59">
      <w:pPr>
        <w:rPr>
          <w:b/>
          <w:bCs/>
          <w:lang w:val="en-CA"/>
        </w:rPr>
      </w:pPr>
      <w:r w:rsidRPr="00432B59">
        <w:rPr>
          <w:b/>
          <w:bCs/>
          <w:lang w:val="en-CA"/>
        </w:rPr>
        <w:br w:type="page"/>
      </w:r>
    </w:p>
    <w:p w14:paraId="256BC55A"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59"/>
    <w:rsid w:val="00344301"/>
    <w:rsid w:val="00432B59"/>
    <w:rsid w:val="00767E38"/>
    <w:rsid w:val="00866F7D"/>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76F45"/>
  <w15:chartTrackingRefBased/>
  <w15:docId w15:val="{3BA5DCA2-210A-49C0-8DD4-7EAF6605E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2B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2B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2B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2B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2B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2B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2B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2B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2B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B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2B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2B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2B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2B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2B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2B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2B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2B59"/>
    <w:rPr>
      <w:rFonts w:eastAsiaTheme="majorEastAsia" w:cstheme="majorBidi"/>
      <w:color w:val="272727" w:themeColor="text1" w:themeTint="D8"/>
    </w:rPr>
  </w:style>
  <w:style w:type="paragraph" w:styleId="Title">
    <w:name w:val="Title"/>
    <w:basedOn w:val="Normal"/>
    <w:next w:val="Normal"/>
    <w:link w:val="TitleChar"/>
    <w:uiPriority w:val="10"/>
    <w:qFormat/>
    <w:rsid w:val="00432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B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2B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2B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2B59"/>
    <w:pPr>
      <w:spacing w:before="160"/>
      <w:jc w:val="center"/>
    </w:pPr>
    <w:rPr>
      <w:i/>
      <w:iCs/>
      <w:color w:val="404040" w:themeColor="text1" w:themeTint="BF"/>
    </w:rPr>
  </w:style>
  <w:style w:type="character" w:customStyle="1" w:styleId="QuoteChar">
    <w:name w:val="Quote Char"/>
    <w:basedOn w:val="DefaultParagraphFont"/>
    <w:link w:val="Quote"/>
    <w:uiPriority w:val="29"/>
    <w:rsid w:val="00432B59"/>
    <w:rPr>
      <w:i/>
      <w:iCs/>
      <w:color w:val="404040" w:themeColor="text1" w:themeTint="BF"/>
    </w:rPr>
  </w:style>
  <w:style w:type="paragraph" w:styleId="ListParagraph">
    <w:name w:val="List Paragraph"/>
    <w:basedOn w:val="Normal"/>
    <w:uiPriority w:val="34"/>
    <w:qFormat/>
    <w:rsid w:val="00432B59"/>
    <w:pPr>
      <w:ind w:left="720"/>
      <w:contextualSpacing/>
    </w:pPr>
  </w:style>
  <w:style w:type="character" w:styleId="IntenseEmphasis">
    <w:name w:val="Intense Emphasis"/>
    <w:basedOn w:val="DefaultParagraphFont"/>
    <w:uiPriority w:val="21"/>
    <w:qFormat/>
    <w:rsid w:val="00432B59"/>
    <w:rPr>
      <w:i/>
      <w:iCs/>
      <w:color w:val="0F4761" w:themeColor="accent1" w:themeShade="BF"/>
    </w:rPr>
  </w:style>
  <w:style w:type="paragraph" w:styleId="IntenseQuote">
    <w:name w:val="Intense Quote"/>
    <w:basedOn w:val="Normal"/>
    <w:next w:val="Normal"/>
    <w:link w:val="IntenseQuoteChar"/>
    <w:uiPriority w:val="30"/>
    <w:qFormat/>
    <w:rsid w:val="00432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2B59"/>
    <w:rPr>
      <w:i/>
      <w:iCs/>
      <w:color w:val="0F4761" w:themeColor="accent1" w:themeShade="BF"/>
    </w:rPr>
  </w:style>
  <w:style w:type="character" w:styleId="IntenseReference">
    <w:name w:val="Intense Reference"/>
    <w:basedOn w:val="DefaultParagraphFont"/>
    <w:uiPriority w:val="32"/>
    <w:qFormat/>
    <w:rsid w:val="00432B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1316</Words>
  <Characters>7505</Characters>
  <Application>Microsoft Office Word</Application>
  <DocSecurity>0</DocSecurity>
  <Lines>62</Lines>
  <Paragraphs>17</Paragraphs>
  <ScaleCrop>false</ScaleCrop>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2026-08-14T07:02:00Z</dcterms:created>
  <dcterms:modified xsi:type="dcterms:W3CDTF">2026-08-14T07:02:00Z</dcterms:modified>
</cp:coreProperties>
</file>