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B37C0B" w14:textId="1A535399" w:rsidR="007B70A1" w:rsidRDefault="00282956">
      <w:pPr>
        <w:rPr>
          <w:rFonts w:eastAsiaTheme="minorEastAsia" w:cs="Times New Roman"/>
          <w:b/>
          <w:bCs/>
          <w:sz w:val="24"/>
          <w:szCs w:val="28"/>
        </w:rPr>
      </w:pPr>
      <w:r w:rsidRPr="003943E4">
        <w:rPr>
          <w:rFonts w:eastAsiaTheme="minorEastAsia" w:cs="Times New Roman"/>
          <w:b/>
          <w:bCs/>
          <w:sz w:val="24"/>
          <w:szCs w:val="28"/>
        </w:rPr>
        <w:t>Mass spectrometric analysis</w:t>
      </w:r>
    </w:p>
    <w:p w14:paraId="09BAD686" w14:textId="420EDA63" w:rsidR="00282956" w:rsidRDefault="00282956">
      <w:r w:rsidRPr="00282956">
        <w:t xml:space="preserve">Exosome samples were sonicated in lysis buffer (8 M urea, 1% Protease Inhibitor Cocktail) on ice. The remaining debris was removed by centrifugation. For digestion, the protein solution was reduced with 5 mM dithiothreitol at 56 °C for 30 min, and 11 mM iodoacetamide was used for alkylation at room temperature in dark for 15 min. Finally, trypsin was added, and the mass ratio of trypsin to protein was 1:50 for the first digestion overnight, and the mass ratio of trypsin to protein was 1:100 for the second digestion for 4 hours. After trypsin digestion, peptide was reconstituted in 0.5 M TEAB and processed according to the manufacturer’s protocol for TMT kit. Briefly, one unit of TMT reagent were thawed and reconstituted in acetonitrile. The peptide mixtures were then incubated for 2 h at room temperature and pooled. The tryptic peptides were fractionated into fractions by high pH reverse-phase HPLC using Thermo </w:t>
      </w:r>
      <w:proofErr w:type="spellStart"/>
      <w:r w:rsidRPr="00282956">
        <w:t>Betasil</w:t>
      </w:r>
      <w:proofErr w:type="spellEnd"/>
      <w:r w:rsidRPr="00282956">
        <w:t xml:space="preserve"> C18 column (5 </w:t>
      </w:r>
      <w:proofErr w:type="spellStart"/>
      <w:r w:rsidRPr="00282956">
        <w:t>μm</w:t>
      </w:r>
      <w:proofErr w:type="spellEnd"/>
      <w:r w:rsidRPr="00282956">
        <w:t xml:space="preserve"> particles, 10 mm ID, 250 mm length). For LC-MS/MS analysis, the tryptic peptides were dissolved in 0.1% formic acid (solvent A), directly loaded onto a home-made reversed-phase analytical column (15-cm length, 75 </w:t>
      </w:r>
      <w:proofErr w:type="spellStart"/>
      <w:r w:rsidRPr="00282956">
        <w:t>μm</w:t>
      </w:r>
      <w:proofErr w:type="spellEnd"/>
      <w:r w:rsidRPr="00282956">
        <w:t xml:space="preserve"> i.d.). The gradient was comprised of an increase from 6% to 23% solvent B (0.1% formic acid in 98% acetonitrile) over 26 min, 23% to 35% in 8 min and climbing to 80% in 3 min then holding at 80% for the last 3 min, all at a constant flow rate of 350 </w:t>
      </w:r>
      <w:proofErr w:type="spellStart"/>
      <w:r w:rsidRPr="00282956">
        <w:t>nL</w:t>
      </w:r>
      <w:proofErr w:type="spellEnd"/>
      <w:r w:rsidRPr="00282956">
        <w:t>/min on an EASY-</w:t>
      </w:r>
      <w:proofErr w:type="spellStart"/>
      <w:r w:rsidRPr="00282956">
        <w:t>nLC</w:t>
      </w:r>
      <w:proofErr w:type="spellEnd"/>
      <w:r w:rsidRPr="00282956">
        <w:t xml:space="preserve"> 1000 UPLC system. The peptides were subjected to NSI source followed by tandem mass spectrometry (MS/MS) in Q </w:t>
      </w:r>
      <w:proofErr w:type="spellStart"/>
      <w:r w:rsidRPr="00282956">
        <w:t>ExactiveTM</w:t>
      </w:r>
      <w:proofErr w:type="spellEnd"/>
      <w:r w:rsidRPr="00282956">
        <w:t xml:space="preserve"> Plus (Thermo) coupled online to the UPLC. The electrospray voltage applied was 2.0 kV. The m/z scan range was 350 to 1550 for full scan, and intact peptides were detected in the Orbitrap at a resolution of 60,000. The scanning range of the secondary mass spectrum is fixed at 100 m/z, and the secondary scanning resolution is set to 15,000. The data acquisition mode uses the data-dependent scanning (DDA) program, that is, the first 20 peptide precursor ions with the highest signal intensity are selected to enter the HCD collision cell and fragmented using 32% of the fragmentation energy after the first scan. Grade mass spectrometry analysis. Automatic gain control (AGC) was set at 5E4. Fixed first mass was set as 70 m/z. The resulting MS/MS data were processed using </w:t>
      </w:r>
      <w:proofErr w:type="spellStart"/>
      <w:r w:rsidRPr="00282956">
        <w:t>Maxquant</w:t>
      </w:r>
      <w:proofErr w:type="spellEnd"/>
      <w:r w:rsidRPr="00282956">
        <w:t xml:space="preserve"> search engine (v.1.5.2.8). Search parameter settings: The database is Human_SwissProt_1808 (20387 sequences), an anti-database is added to calculate the false positive rate (FDR) caused by random matching, and a common contamination library is added to the database to eliminate the contamination of the protein in the identification results influences. Trypsin/P was specified as cleavage enzyme allowing up to 2 missing cleavages. The mass tolerance for precursor ions was set as 20 ppm in First search and 5 ppm in Main search, and the mass tolerance for fragment ions was set as 0.02 Da. Carbamidomethyl on </w:t>
      </w:r>
      <w:proofErr w:type="spellStart"/>
      <w:r w:rsidRPr="00282956">
        <w:t>Cys</w:t>
      </w:r>
      <w:proofErr w:type="spellEnd"/>
      <w:r w:rsidRPr="00282956">
        <w:t xml:space="preserve"> was specified as fixed modification and acetylation modification and oxidation on Met were specified as variable modifications.</w:t>
      </w:r>
    </w:p>
    <w:sectPr w:rsidR="002829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52BDBD" w14:textId="77777777" w:rsidR="005A5073" w:rsidRDefault="005A5073" w:rsidP="00282956">
      <w:r>
        <w:separator/>
      </w:r>
    </w:p>
  </w:endnote>
  <w:endnote w:type="continuationSeparator" w:id="0">
    <w:p w14:paraId="17F0C0A9" w14:textId="77777777" w:rsidR="005A5073" w:rsidRDefault="005A5073" w:rsidP="00282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50BFB7" w14:textId="77777777" w:rsidR="005A5073" w:rsidRDefault="005A5073" w:rsidP="00282956">
      <w:r>
        <w:separator/>
      </w:r>
    </w:p>
  </w:footnote>
  <w:footnote w:type="continuationSeparator" w:id="0">
    <w:p w14:paraId="3868BB6F" w14:textId="77777777" w:rsidR="005A5073" w:rsidRDefault="005A5073" w:rsidP="002829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E7A"/>
    <w:rsid w:val="00282956"/>
    <w:rsid w:val="005A5073"/>
    <w:rsid w:val="0062572A"/>
    <w:rsid w:val="007B70A1"/>
    <w:rsid w:val="00A237CB"/>
    <w:rsid w:val="00A90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95CA1"/>
  <w15:chartTrackingRefBased/>
  <w15:docId w15:val="{3FA888DA-F7DC-4216-BEBF-564932FF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29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2956"/>
    <w:rPr>
      <w:sz w:val="18"/>
      <w:szCs w:val="18"/>
    </w:rPr>
  </w:style>
  <w:style w:type="paragraph" w:styleId="a5">
    <w:name w:val="footer"/>
    <w:basedOn w:val="a"/>
    <w:link w:val="a6"/>
    <w:uiPriority w:val="99"/>
    <w:unhideWhenUsed/>
    <w:rsid w:val="00282956"/>
    <w:pPr>
      <w:tabs>
        <w:tab w:val="center" w:pos="4153"/>
        <w:tab w:val="right" w:pos="8306"/>
      </w:tabs>
      <w:snapToGrid w:val="0"/>
      <w:jc w:val="left"/>
    </w:pPr>
    <w:rPr>
      <w:sz w:val="18"/>
      <w:szCs w:val="18"/>
    </w:rPr>
  </w:style>
  <w:style w:type="character" w:customStyle="1" w:styleId="a6">
    <w:name w:val="页脚 字符"/>
    <w:basedOn w:val="a0"/>
    <w:link w:val="a5"/>
    <w:uiPriority w:val="99"/>
    <w:rsid w:val="002829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464</Words>
  <Characters>2650</Characters>
  <Application>Microsoft Office Word</Application>
  <DocSecurity>0</DocSecurity>
  <Lines>22</Lines>
  <Paragraphs>6</Paragraphs>
  <ScaleCrop>false</ScaleCrop>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 子聪</dc:creator>
  <cp:keywords/>
  <dc:description/>
  <cp:lastModifiedBy>高 子聪</cp:lastModifiedBy>
  <cp:revision>2</cp:revision>
  <dcterms:created xsi:type="dcterms:W3CDTF">2020-10-20T09:19:00Z</dcterms:created>
  <dcterms:modified xsi:type="dcterms:W3CDTF">2020-10-20T09:21:00Z</dcterms:modified>
</cp:coreProperties>
</file>